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ind w:firstLine="883" w:firstLineChars="200"/>
        <w:jc w:val="center"/>
        <w:rPr>
          <w:rFonts w:ascii="Times New Roman" w:hAnsi="Times New Roman" w:eastAsiaTheme="majorEastAsia"/>
          <w:b/>
          <w:bCs/>
          <w:sz w:val="28"/>
          <w:szCs w:val="28"/>
        </w:rPr>
      </w:pPr>
      <w:r>
        <w:rPr>
          <w:rFonts w:hint="eastAsia" w:ascii="Times New Roman" w:hAnsi="Times New Roman"/>
          <w:b/>
          <w:bCs/>
          <w:sz w:val="44"/>
          <w:szCs w:val="44"/>
        </w:rPr>
        <w:t>桦川县创业乡2022年政府信息公开工作年度报告</w:t>
      </w:r>
    </w:p>
    <w:p>
      <w:pPr>
        <w:pStyle w:val="2"/>
        <w:spacing w:line="600" w:lineRule="exact"/>
        <w:ind w:firstLine="560" w:firstLineChars="200"/>
        <w:rPr>
          <w:rFonts w:ascii="Times New Roman" w:hAnsi="Times New Roman" w:eastAsia="黑体"/>
          <w:sz w:val="28"/>
          <w:szCs w:val="28"/>
        </w:rPr>
      </w:pPr>
      <w:r>
        <w:rPr>
          <w:rFonts w:ascii="Times New Roman" w:hAnsi="Times New Roman" w:eastAsia="黑体"/>
          <w:sz w:val="28"/>
          <w:szCs w:val="28"/>
        </w:rPr>
        <w:t>一、总体情况</w:t>
      </w:r>
    </w:p>
    <w:p>
      <w:pPr>
        <w:snapToGrid w:val="0"/>
        <w:spacing w:line="600" w:lineRule="exact"/>
        <w:rPr>
          <w:rFonts w:ascii="Times New Roman" w:hAnsi="Times New Roman" w:eastAsia="仿宋"/>
          <w:sz w:val="32"/>
          <w:szCs w:val="32"/>
        </w:rPr>
      </w:pPr>
      <w:r>
        <w:rPr>
          <w:rFonts w:ascii="Times New Roman" w:hAnsi="Times New Roman" w:eastAsia="仿宋"/>
          <w:sz w:val="32"/>
          <w:szCs w:val="32"/>
        </w:rPr>
        <w:t xml:space="preserve">   根据根据《中华人民共和国政府信息公开条例》，我乡把政府信息公开工作列入重要议事日程，及时调整信息公开工作领导小组，明确分管领导及具体责任人。具体工作内容包括负责收集、整理、发布政府信息，确保信息公开全面、及时、准确、无差错。</w:t>
      </w:r>
    </w:p>
    <w:p>
      <w:pPr>
        <w:pStyle w:val="16"/>
        <w:spacing w:line="600" w:lineRule="exact"/>
        <w:rPr>
          <w:rFonts w:ascii="Times New Roman" w:hAnsi="Times New Roman"/>
        </w:rPr>
      </w:pPr>
      <w:r>
        <w:rPr>
          <w:rFonts w:ascii="Times New Roman" w:hAnsi="Times New Roman"/>
        </w:rPr>
        <w:t>窗体顶端</w:t>
      </w:r>
    </w:p>
    <w:p>
      <w:pPr>
        <w:pStyle w:val="4"/>
        <w:spacing w:before="0" w:beforeAutospacing="0" w:after="0" w:afterAutospacing="0" w:line="600" w:lineRule="exact"/>
        <w:ind w:firstLine="640" w:firstLineChars="200"/>
        <w:rPr>
          <w:rFonts w:ascii="Times New Roman" w:hAnsi="Times New Roman" w:eastAsia="仿宋"/>
          <w:kern w:val="2"/>
          <w:sz w:val="32"/>
          <w:szCs w:val="32"/>
        </w:rPr>
      </w:pPr>
      <w:r>
        <w:rPr>
          <w:rFonts w:ascii="Times New Roman" w:hAnsi="Times New Roman" w:eastAsia="仿宋"/>
          <w:kern w:val="2"/>
          <w:sz w:val="32"/>
          <w:szCs w:val="32"/>
        </w:rPr>
        <w:t>2022年创业乡全面贯彻落实省、市、县政府信息公开工作要求，结合全乡实际，不断完善制度建设，坚持目标导向，提升主动公开信息质量，加大重点领域信息公开力度，改善依申请公开服务工作，增强群众公开体验与获得感，努力保障人民群众的知情权、参与权、表达权和监督权不断向纵深发展，为服务和推进全乡经济社会发展，促进法治政府、创新政府、廉洁政府和服务型政府建设提供了坚强有力保障。</w:t>
      </w:r>
    </w:p>
    <w:p>
      <w:pPr>
        <w:pStyle w:val="4"/>
        <w:spacing w:before="0" w:beforeAutospacing="0" w:after="0" w:afterAutospacing="0" w:line="600" w:lineRule="exact"/>
        <w:ind w:firstLine="643" w:firstLineChars="200"/>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（一）规范建设，提高政务公开质量</w:t>
      </w:r>
    </w:p>
    <w:p>
      <w:pPr>
        <w:pStyle w:val="4"/>
        <w:spacing w:before="0" w:beforeAutospacing="0" w:after="0" w:afterAutospacing="0" w:line="600" w:lineRule="exact"/>
        <w:ind w:firstLine="640" w:firstLineChars="200"/>
        <w:rPr>
          <w:rFonts w:ascii="Times New Roman" w:hAnsi="Times New Roman" w:eastAsia="仿宋"/>
          <w:kern w:val="2"/>
          <w:sz w:val="32"/>
          <w:szCs w:val="32"/>
        </w:rPr>
      </w:pPr>
      <w:r>
        <w:rPr>
          <w:rFonts w:ascii="Times New Roman" w:hAnsi="Times New Roman" w:eastAsia="仿宋"/>
          <w:kern w:val="2"/>
          <w:sz w:val="32"/>
          <w:szCs w:val="32"/>
        </w:rPr>
        <w:t>创业乡认真贯彻落实《中华人民共和国政府信息公开条例》和县委、县政府有关文件和会议精神，强化对政府信息公开工作相关文件学习，建立健全工作机制，完善领导机制，形成一把手亲自抓，分管领导具体抓的工作格局。加强规范化建设,完善信息管理，突出政务公开重点，规范政务公开内容，提高政务公开水平，根据政府信息公开工作指导思想及基本原则，全面梳理各类信息，规范化、系统化政府信息公开内容并及时公开发布，进一步提高政务公开的质量。对照《条例》，创业乡做到“三个更加”：一是公开的内容更加充实。对政务公开的范围、政务公开的内容、政务公开的形式、政务公开的制度等作了进一步的要求。二是公开的时间更加及时。针对公开项目的不同情况，确定公开时间，做到常规性工作定期公开和更新，临时性工作随时公开，固定性工作长期公开。三是公开重点更加突出。坚持把群众最关心、最需要了解的</w:t>
      </w:r>
      <w:bookmarkStart w:id="0" w:name="_GoBack"/>
      <w:bookmarkEnd w:id="0"/>
      <w:r>
        <w:rPr>
          <w:rFonts w:ascii="Times New Roman" w:hAnsi="Times New Roman" w:eastAsia="仿宋"/>
          <w:kern w:val="2"/>
          <w:sz w:val="32"/>
          <w:szCs w:val="32"/>
        </w:rPr>
        <w:t>事项公开作为政务公开的重点，从信息公开、电子政务和便民服务三个方面入手，加大推行政务公开的力度。</w:t>
      </w:r>
    </w:p>
    <w:p>
      <w:pPr>
        <w:pStyle w:val="4"/>
        <w:spacing w:before="0" w:beforeAutospacing="0" w:after="0" w:afterAutospacing="0" w:line="600" w:lineRule="exact"/>
        <w:ind w:firstLine="643" w:firstLineChars="200"/>
        <w:rPr>
          <w:rFonts w:ascii="楷体_GB2312" w:hAnsi="楷体_GB2312" w:eastAsia="楷体_GB2312" w:cs="楷体_GB2312"/>
          <w:b/>
          <w:bCs/>
          <w:kern w:val="2"/>
          <w:sz w:val="32"/>
          <w:szCs w:val="32"/>
        </w:rPr>
      </w:pPr>
      <w:r>
        <w:rPr>
          <w:rFonts w:ascii="楷体_GB2312" w:hAnsi="楷体_GB2312" w:eastAsia="楷体_GB2312" w:cs="楷体_GB2312"/>
          <w:b/>
          <w:bCs/>
          <w:kern w:val="2"/>
          <w:sz w:val="32"/>
          <w:szCs w:val="32"/>
        </w:rPr>
        <w:t>（二）用好载体，拓宽公开渠道</w:t>
      </w:r>
    </w:p>
    <w:p>
      <w:pPr>
        <w:pStyle w:val="4"/>
        <w:spacing w:before="0" w:beforeAutospacing="0" w:after="0" w:afterAutospacing="0" w:line="600" w:lineRule="exact"/>
        <w:ind w:firstLine="640" w:firstLineChars="200"/>
        <w:rPr>
          <w:rFonts w:ascii="Times New Roman" w:hAnsi="Times New Roman"/>
        </w:rPr>
      </w:pPr>
      <w:r>
        <w:rPr>
          <w:rFonts w:ascii="Times New Roman" w:hAnsi="Times New Roman" w:eastAsia="仿宋"/>
          <w:kern w:val="2"/>
          <w:sz w:val="32"/>
          <w:szCs w:val="32"/>
        </w:rPr>
        <w:t>利用信息化手段丰富信息公开形式，拓宽信息公开渠道，我乡在县政府网站、政府信息公告栏、电子信息屏等设备，主动公开相关信息，利用动感创业、微信网格群等形式发布乡镇工作动态信息。现代方法与传统方法相结合，加大宣传力度，营造良好氛围，确保政府信息公开工作依法有序开展。2021年度创业乡通过政府信息公开网站公开乡镇动态信息32条，主动公开基本目录1条，政策文件1条，政策解读1条，通过QQ群、微信群及其他方式主动公开信息共计900余条，重点工作通报30余条。</w:t>
      </w:r>
    </w:p>
    <w:p>
      <w:pPr>
        <w:pStyle w:val="2"/>
        <w:spacing w:line="600" w:lineRule="exact"/>
        <w:ind w:firstLine="560" w:firstLineChars="200"/>
        <w:rPr>
          <w:rFonts w:ascii="黑体" w:hAnsi="黑体" w:eastAsia="黑体" w:cs="黑体"/>
          <w:sz w:val="28"/>
          <w:szCs w:val="28"/>
        </w:rPr>
      </w:pPr>
      <w:r>
        <w:rPr>
          <w:rFonts w:hint="eastAsia" w:ascii="黑体" w:hAnsi="黑体" w:eastAsia="黑体" w:cs="黑体"/>
          <w:sz w:val="28"/>
          <w:szCs w:val="28"/>
        </w:rPr>
        <w:t>二、主动公开政府信息情况</w:t>
      </w:r>
    </w:p>
    <w:p>
      <w:pPr>
        <w:pStyle w:val="2"/>
        <w:spacing w:line="600" w:lineRule="exact"/>
        <w:ind w:firstLine="560" w:firstLineChars="200"/>
        <w:rPr>
          <w:rFonts w:ascii="黑体" w:hAnsi="黑体" w:eastAsia="黑体" w:cs="黑体"/>
          <w:sz w:val="28"/>
          <w:szCs w:val="28"/>
        </w:rPr>
      </w:pPr>
    </w:p>
    <w:tbl>
      <w:tblPr>
        <w:tblStyle w:val="5"/>
        <w:tblpPr w:leftFromText="180" w:rightFromText="180" w:vertAnchor="text" w:horzAnchor="page" w:tblpX="1166" w:tblpY="413"/>
        <w:tblOverlap w:val="never"/>
        <w:tblW w:w="9735" w:type="dxa"/>
        <w:tblInd w:w="0" w:type="dxa"/>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autofit"/>
        <w:tblCellMar>
          <w:top w:w="0" w:type="dxa"/>
          <w:left w:w="0" w:type="dxa"/>
          <w:bottom w:w="0" w:type="dxa"/>
          <w:right w:w="0" w:type="dxa"/>
        </w:tblCellMar>
      </w:tblPr>
      <w:tblGrid>
        <w:gridCol w:w="2430"/>
        <w:gridCol w:w="2430"/>
        <w:gridCol w:w="2430"/>
        <w:gridCol w:w="2445"/>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tabs>
                <w:tab w:val="center" w:pos="4867"/>
                <w:tab w:val="left" w:pos="6208"/>
              </w:tabs>
              <w:spacing w:before="0" w:beforeAutospacing="0" w:after="0" w:afterAutospacing="0" w:line="600" w:lineRule="exact"/>
              <w:rPr>
                <w:rFonts w:ascii="Times New Roman" w:hAnsi="Times New Roman"/>
              </w:rPr>
            </w:pPr>
            <w:r>
              <w:rPr>
                <w:rFonts w:ascii="Times New Roman" w:hAnsi="Times New Roman"/>
                <w:color w:val="000000"/>
                <w:sz w:val="19"/>
                <w:szCs w:val="19"/>
              </w:rPr>
              <w:tab/>
            </w:r>
            <w:r>
              <w:rPr>
                <w:rFonts w:ascii="Times New Roman" w:hAnsi="Times New Roman"/>
                <w:color w:val="000000"/>
                <w:sz w:val="19"/>
                <w:szCs w:val="19"/>
              </w:rPr>
              <w:t>第二十条第（一）项</w:t>
            </w:r>
            <w:r>
              <w:rPr>
                <w:rFonts w:ascii="Times New Roman" w:hAnsi="Times New Roman"/>
                <w:color w:val="000000"/>
                <w:sz w:val="19"/>
                <w:szCs w:val="19"/>
              </w:rPr>
              <w:tab/>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color w:val="000000"/>
                <w:sz w:val="19"/>
                <w:szCs w:val="19"/>
              </w:rPr>
              <w:t>信息内容</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color w:val="000000"/>
                <w:sz w:val="19"/>
                <w:szCs w:val="19"/>
              </w:rPr>
              <w:t>本年</w:t>
            </w:r>
            <w:r>
              <w:rPr>
                <w:rFonts w:ascii="Times New Roman" w:hAnsi="Times New Roman"/>
                <w:sz w:val="19"/>
                <w:szCs w:val="19"/>
              </w:rPr>
              <w:t>制发件数</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color w:val="000000"/>
                <w:sz w:val="19"/>
                <w:szCs w:val="19"/>
              </w:rPr>
              <w:t>本年废止件数</w:t>
            </w:r>
          </w:p>
        </w:tc>
        <w:tc>
          <w:tcPr>
            <w:tcW w:w="244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color w:val="000000"/>
                <w:sz w:val="19"/>
                <w:szCs w:val="19"/>
              </w:rPr>
              <w:t>现行有效件</w:t>
            </w:r>
            <w:r>
              <w:rPr>
                <w:rFonts w:ascii="Times New Roman" w:hAnsi="Times New Roman"/>
                <w:sz w:val="19"/>
                <w:szCs w:val="19"/>
              </w:rPr>
              <w:t>数</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rPr>
                <w:rFonts w:ascii="Times New Roman" w:hAnsi="Times New Roman"/>
              </w:rPr>
            </w:pPr>
            <w:r>
              <w:rPr>
                <w:rFonts w:ascii="Times New Roman" w:hAnsi="Times New Roman"/>
                <w:color w:val="000000"/>
                <w:sz w:val="19"/>
                <w:szCs w:val="19"/>
              </w:rPr>
              <w:t>规章</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24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rPr>
                <w:rFonts w:ascii="Times New Roman" w:hAnsi="Times New Roman"/>
              </w:rPr>
            </w:pPr>
            <w:r>
              <w:rPr>
                <w:rFonts w:ascii="Times New Roman" w:hAnsi="Times New Roman"/>
                <w:color w:val="000000"/>
                <w:sz w:val="19"/>
                <w:szCs w:val="19"/>
              </w:rPr>
              <w:t>行政规范性文件</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244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color w:val="000000"/>
                <w:sz w:val="19"/>
                <w:szCs w:val="19"/>
              </w:rPr>
              <w:t>第二十条第（五）项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color w:val="000000"/>
                <w:sz w:val="19"/>
                <w:szCs w:val="19"/>
              </w:rPr>
              <w:t>信息内容</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color w:val="000000"/>
                <w:sz w:val="19"/>
                <w:szCs w:val="19"/>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rPr>
                <w:rFonts w:ascii="Times New Roman" w:hAnsi="Times New Roman"/>
              </w:rPr>
            </w:pPr>
            <w:r>
              <w:rPr>
                <w:rFonts w:ascii="Times New Roman" w:hAnsi="Times New Roman"/>
                <w:color w:val="000000"/>
                <w:sz w:val="19"/>
                <w:szCs w:val="19"/>
              </w:rPr>
              <w:t>行政许可</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color w:val="000000"/>
                <w:sz w:val="19"/>
                <w:szCs w:val="19"/>
              </w:rPr>
              <w:t>第二十条第（六）项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color w:val="000000"/>
                <w:sz w:val="19"/>
                <w:szCs w:val="19"/>
              </w:rPr>
              <w:t>信息内容</w:t>
            </w:r>
          </w:p>
        </w:tc>
        <w:tc>
          <w:tcPr>
            <w:tcW w:w="7305" w:type="dxa"/>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color w:val="000000"/>
                <w:sz w:val="19"/>
                <w:szCs w:val="19"/>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rPr>
                <w:rFonts w:ascii="Times New Roman" w:hAnsi="Times New Roman"/>
              </w:rPr>
            </w:pPr>
            <w:r>
              <w:rPr>
                <w:rFonts w:ascii="Times New Roman" w:hAnsi="Times New Roman"/>
                <w:color w:val="000000"/>
                <w:sz w:val="19"/>
                <w:szCs w:val="19"/>
              </w:rPr>
              <w:t>行政处罚</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rPr>
                <w:rFonts w:ascii="Times New Roman" w:hAnsi="Times New Roman"/>
              </w:rPr>
            </w:pPr>
            <w:r>
              <w:rPr>
                <w:rFonts w:ascii="Times New Roman" w:hAnsi="Times New Roman"/>
                <w:color w:val="000000"/>
                <w:sz w:val="19"/>
                <w:szCs w:val="19"/>
              </w:rPr>
              <w:t>行政强制</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color w:val="000000"/>
                <w:sz w:val="19"/>
                <w:szCs w:val="19"/>
              </w:rPr>
              <w:t>第二十条第（八）项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color w:val="000000"/>
                <w:sz w:val="19"/>
                <w:szCs w:val="19"/>
              </w:rPr>
              <w:t>信息内容</w:t>
            </w:r>
          </w:p>
        </w:tc>
        <w:tc>
          <w:tcPr>
            <w:tcW w:w="7305" w:type="dxa"/>
            <w:gridSpan w:val="3"/>
            <w:tcBorders>
              <w:top w:val="nil"/>
              <w:left w:val="nil"/>
              <w:bottom w:val="single" w:color="auto" w:sz="6" w:space="0"/>
              <w:right w:val="single" w:color="000000"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color w:val="000000"/>
                <w:sz w:val="19"/>
                <w:szCs w:val="19"/>
              </w:rPr>
              <w:t>本年收费金额（单位：万元）</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rPr>
                <w:rFonts w:ascii="Times New Roman" w:hAnsi="Times New Roman"/>
              </w:rPr>
            </w:pPr>
            <w:r>
              <w:rPr>
                <w:rFonts w:ascii="Times New Roman" w:hAnsi="Times New Roman"/>
                <w:color w:val="000000"/>
                <w:sz w:val="19"/>
                <w:szCs w:val="19"/>
              </w:rPr>
              <w:t>行政事业性收费</w:t>
            </w:r>
          </w:p>
        </w:tc>
        <w:tc>
          <w:tcPr>
            <w:tcW w:w="7305" w:type="dxa"/>
            <w:gridSpan w:val="3"/>
            <w:tcBorders>
              <w:top w:val="nil"/>
              <w:left w:val="nil"/>
              <w:bottom w:val="single" w:color="auto" w:sz="6" w:space="0"/>
              <w:right w:val="single" w:color="000000"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r>
    </w:tbl>
    <w:p>
      <w:pPr>
        <w:pStyle w:val="2"/>
        <w:spacing w:line="600" w:lineRule="exact"/>
        <w:ind w:firstLine="560" w:firstLineChars="200"/>
        <w:rPr>
          <w:rFonts w:ascii="黑体" w:hAnsi="黑体" w:eastAsia="黑体" w:cs="黑体"/>
          <w:sz w:val="28"/>
          <w:szCs w:val="28"/>
        </w:rPr>
      </w:pPr>
      <w:r>
        <w:rPr>
          <w:rFonts w:ascii="黑体" w:hAnsi="黑体" w:eastAsia="黑体" w:cs="黑体"/>
          <w:sz w:val="28"/>
          <w:szCs w:val="28"/>
        </w:rPr>
        <w:t>三、收到和处理政府信息公开申请情况</w:t>
      </w:r>
    </w:p>
    <w:tbl>
      <w:tblPr>
        <w:tblStyle w:val="5"/>
        <w:tblpPr w:leftFromText="180" w:rightFromText="180" w:vertAnchor="text" w:horzAnchor="page" w:tblpX="1256" w:tblpY="297"/>
        <w:tblOverlap w:val="never"/>
        <w:tblW w:w="9750" w:type="dxa"/>
        <w:tblInd w:w="0" w:type="dxa"/>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autofit"/>
        <w:tblCellMar>
          <w:top w:w="0" w:type="dxa"/>
          <w:left w:w="0" w:type="dxa"/>
          <w:bottom w:w="0" w:type="dxa"/>
          <w:right w:w="0" w:type="dxa"/>
        </w:tblCellMar>
      </w:tblPr>
      <w:tblGrid>
        <w:gridCol w:w="760"/>
        <w:gridCol w:w="941"/>
        <w:gridCol w:w="3205"/>
        <w:gridCol w:w="692"/>
        <w:gridCol w:w="692"/>
        <w:gridCol w:w="692"/>
        <w:gridCol w:w="692"/>
        <w:gridCol w:w="692"/>
        <w:gridCol w:w="692"/>
        <w:gridCol w:w="692"/>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4906" w:type="dxa"/>
            <w:gridSpan w:val="3"/>
            <w:vMerge w:val="restart"/>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pPr>
              <w:spacing w:line="600" w:lineRule="exact"/>
              <w:rPr>
                <w:rFonts w:ascii="Times New Roman" w:hAnsi="Times New Roman"/>
              </w:rPr>
            </w:pPr>
            <w:r>
              <w:rPr>
                <w:rFonts w:ascii="Times New Roman" w:hAnsi="Times New Roman"/>
              </w:rPr>
              <w:t>（本列数据的勾稽关系为：第一项加第二项之和，等于第三项加第四项之和）</w:t>
            </w:r>
          </w:p>
        </w:tc>
        <w:tc>
          <w:tcPr>
            <w:tcW w:w="4844" w:type="dxa"/>
            <w:gridSpan w:val="7"/>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rPr>
            </w:pPr>
            <w:r>
              <w:rPr>
                <w:rFonts w:ascii="Times New Roman" w:hAnsi="Times New Roman"/>
              </w:rPr>
              <w:t>申请人情况</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4906"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pPr>
              <w:spacing w:line="600" w:lineRule="exact"/>
              <w:rPr>
                <w:rFonts w:ascii="Times New Roman" w:hAnsi="Times New Roman"/>
                <w:sz w:val="24"/>
                <w:szCs w:val="24"/>
              </w:rPr>
            </w:pPr>
          </w:p>
        </w:tc>
        <w:tc>
          <w:tcPr>
            <w:tcW w:w="692"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自然人</w:t>
            </w:r>
          </w:p>
        </w:tc>
        <w:tc>
          <w:tcPr>
            <w:tcW w:w="3460" w:type="dxa"/>
            <w:gridSpan w:val="5"/>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法人或其他组织</w:t>
            </w:r>
          </w:p>
        </w:tc>
        <w:tc>
          <w:tcPr>
            <w:tcW w:w="692" w:type="dxa"/>
            <w:vMerge w:val="restart"/>
            <w:tcBorders>
              <w:top w:val="single"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总计</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4906"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pPr>
              <w:spacing w:line="600" w:lineRule="exact"/>
              <w:rPr>
                <w:rFonts w:ascii="Times New Roman" w:hAnsi="Times New Roman"/>
                <w:sz w:val="24"/>
                <w:szCs w:val="24"/>
              </w:rPr>
            </w:pPr>
          </w:p>
        </w:tc>
        <w:tc>
          <w:tcPr>
            <w:tcW w:w="692"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商业</w:t>
            </w:r>
          </w:p>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企业</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科研</w:t>
            </w:r>
          </w:p>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机构</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社会公益组织</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法律服务机构</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其他</w:t>
            </w:r>
          </w:p>
        </w:tc>
        <w:tc>
          <w:tcPr>
            <w:tcW w:w="692" w:type="dxa"/>
            <w:vMerge w:val="continue"/>
            <w:tcBorders>
              <w:top w:val="single"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4906"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rPr>
                <w:rFonts w:ascii="Times New Roman" w:hAnsi="Times New Roman"/>
              </w:rPr>
            </w:pPr>
            <w:r>
              <w:rPr>
                <w:rFonts w:ascii="Times New Roman" w:hAnsi="Times New Roman"/>
                <w:sz w:val="19"/>
                <w:szCs w:val="19"/>
              </w:rPr>
              <w:t>一、本年新收政府信息公开申请数量</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4906"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rPr>
                <w:rFonts w:ascii="Times New Roman" w:hAnsi="Times New Roman"/>
              </w:rPr>
            </w:pPr>
            <w:r>
              <w:rPr>
                <w:rFonts w:ascii="Times New Roman" w:hAnsi="Times New Roman"/>
                <w:sz w:val="19"/>
                <w:szCs w:val="19"/>
              </w:rPr>
              <w:t>二、上年结转政府信息公开申请数量</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restart"/>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rPr>
                <w:rFonts w:ascii="Times New Roman" w:hAnsi="Times New Roman"/>
              </w:rPr>
            </w:pPr>
            <w:r>
              <w:rPr>
                <w:rFonts w:ascii="Times New Roman" w:hAnsi="Times New Roman"/>
                <w:sz w:val="19"/>
                <w:szCs w:val="19"/>
              </w:rPr>
              <w:t>三、本年度办理结果</w:t>
            </w:r>
          </w:p>
        </w:tc>
        <w:tc>
          <w:tcPr>
            <w:tcW w:w="4146"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rPr>
                <w:rFonts w:ascii="Times New Roman" w:hAnsi="Times New Roman"/>
              </w:rPr>
            </w:pPr>
            <w:r>
              <w:rPr>
                <w:rFonts w:ascii="Times New Roman" w:hAnsi="Times New Roman"/>
                <w:sz w:val="19"/>
                <w:szCs w:val="19"/>
              </w:rPr>
              <w:t>（一）予以公开</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4146"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rPr>
                <w:rFonts w:ascii="Times New Roman" w:hAnsi="Times New Roman"/>
              </w:rPr>
            </w:pPr>
            <w:r>
              <w:rPr>
                <w:rFonts w:ascii="Times New Roman" w:hAnsi="Times New Roman"/>
                <w:sz w:val="19"/>
                <w:szCs w:val="19"/>
              </w:rPr>
              <w:t>（二）部分公开</w:t>
            </w:r>
            <w:r>
              <w:rPr>
                <w:rFonts w:ascii="Times New Roman" w:hAnsi="Times New Roman" w:eastAsia="楷体"/>
                <w:sz w:val="19"/>
                <w:szCs w:val="19"/>
              </w:rPr>
              <w:t>（区分处理的，只计这一情形，不计其他情形）</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941"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rPr>
                <w:rFonts w:ascii="Times New Roman" w:hAnsi="Times New Roman"/>
              </w:rPr>
            </w:pPr>
            <w:r>
              <w:rPr>
                <w:rFonts w:ascii="Times New Roman" w:hAnsi="Times New Roman"/>
                <w:sz w:val="19"/>
                <w:szCs w:val="19"/>
              </w:rPr>
              <w:t>（三）不予公开</w:t>
            </w: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spacing w:before="0" w:beforeAutospacing="0" w:after="0" w:afterAutospacing="0" w:line="600" w:lineRule="exact"/>
              <w:rPr>
                <w:rFonts w:ascii="Times New Roman" w:hAnsi="Times New Roman"/>
              </w:rPr>
            </w:pPr>
            <w:r>
              <w:rPr>
                <w:rFonts w:ascii="Times New Roman" w:hAnsi="Times New Roman"/>
                <w:sz w:val="19"/>
                <w:szCs w:val="19"/>
              </w:rPr>
              <w:t>1.属于国家秘密</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spacing w:before="0" w:beforeAutospacing="0" w:after="0" w:afterAutospacing="0" w:line="600" w:lineRule="exact"/>
              <w:rPr>
                <w:rFonts w:ascii="Times New Roman" w:hAnsi="Times New Roman"/>
              </w:rPr>
            </w:pPr>
            <w:r>
              <w:rPr>
                <w:rFonts w:ascii="Times New Roman" w:hAnsi="Times New Roman"/>
                <w:sz w:val="19"/>
                <w:szCs w:val="19"/>
              </w:rPr>
              <w:t>2.其他法律行政法规禁止公开</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spacing w:before="0" w:beforeAutospacing="0" w:after="0" w:afterAutospacing="0" w:line="600" w:lineRule="exact"/>
              <w:rPr>
                <w:rFonts w:ascii="Times New Roman" w:hAnsi="Times New Roman"/>
              </w:rPr>
            </w:pPr>
            <w:r>
              <w:rPr>
                <w:rFonts w:ascii="Times New Roman" w:hAnsi="Times New Roman"/>
                <w:sz w:val="19"/>
                <w:szCs w:val="19"/>
              </w:rPr>
              <w:t>3.危及“三安全一稳定”</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spacing w:before="0" w:beforeAutospacing="0" w:after="0" w:afterAutospacing="0" w:line="600" w:lineRule="exact"/>
              <w:rPr>
                <w:rFonts w:ascii="Times New Roman" w:hAnsi="Times New Roman"/>
              </w:rPr>
            </w:pPr>
            <w:r>
              <w:rPr>
                <w:rFonts w:ascii="Times New Roman" w:hAnsi="Times New Roman"/>
                <w:sz w:val="19"/>
                <w:szCs w:val="19"/>
              </w:rPr>
              <w:t>4.保护第三方合法权益</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spacing w:before="0" w:beforeAutospacing="0" w:after="0" w:afterAutospacing="0" w:line="600" w:lineRule="exact"/>
              <w:rPr>
                <w:rFonts w:ascii="Times New Roman" w:hAnsi="Times New Roman"/>
              </w:rPr>
            </w:pPr>
            <w:r>
              <w:rPr>
                <w:rFonts w:ascii="Times New Roman" w:hAnsi="Times New Roman"/>
                <w:sz w:val="19"/>
                <w:szCs w:val="19"/>
              </w:rPr>
              <w:t>5.属于三类内部事务信息</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spacing w:before="0" w:beforeAutospacing="0" w:after="0" w:afterAutospacing="0" w:line="600" w:lineRule="exact"/>
              <w:rPr>
                <w:rFonts w:ascii="Times New Roman" w:hAnsi="Times New Roman"/>
              </w:rPr>
            </w:pPr>
            <w:r>
              <w:rPr>
                <w:rFonts w:ascii="Times New Roman" w:hAnsi="Times New Roman"/>
                <w:sz w:val="19"/>
                <w:szCs w:val="19"/>
              </w:rPr>
              <w:t>6.属于四类过程性信息</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282" w:hRule="atLeast"/>
        </w:trPr>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spacing w:before="0" w:beforeAutospacing="0" w:after="0" w:afterAutospacing="0" w:line="600" w:lineRule="exact"/>
              <w:rPr>
                <w:rFonts w:ascii="Times New Roman" w:hAnsi="Times New Roman"/>
              </w:rPr>
            </w:pPr>
            <w:r>
              <w:rPr>
                <w:rFonts w:ascii="Times New Roman" w:hAnsi="Times New Roman"/>
                <w:sz w:val="19"/>
                <w:szCs w:val="19"/>
              </w:rPr>
              <w:t>7.属于行政执法案卷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spacing w:before="0" w:beforeAutospacing="0" w:after="0" w:afterAutospacing="0" w:line="600" w:lineRule="exact"/>
              <w:rPr>
                <w:rFonts w:ascii="Times New Roman" w:hAnsi="Times New Roman"/>
              </w:rPr>
            </w:pPr>
            <w:r>
              <w:rPr>
                <w:rFonts w:ascii="Times New Roman" w:hAnsi="Times New Roman"/>
                <w:sz w:val="19"/>
                <w:szCs w:val="19"/>
              </w:rPr>
              <w:t>8.属于行政查询事项</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941"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rPr>
                <w:rFonts w:ascii="Times New Roman" w:hAnsi="Times New Roman"/>
              </w:rPr>
            </w:pPr>
            <w:r>
              <w:rPr>
                <w:rFonts w:ascii="Times New Roman" w:hAnsi="Times New Roman"/>
                <w:sz w:val="19"/>
                <w:szCs w:val="19"/>
              </w:rPr>
              <w:t>（四）无法提供</w:t>
            </w: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spacing w:before="0" w:beforeAutospacing="0" w:after="0" w:afterAutospacing="0" w:line="600" w:lineRule="exact"/>
              <w:rPr>
                <w:rFonts w:ascii="Times New Roman" w:hAnsi="Times New Roman"/>
              </w:rPr>
            </w:pPr>
            <w:r>
              <w:rPr>
                <w:rFonts w:ascii="Times New Roman" w:hAnsi="Times New Roman"/>
                <w:sz w:val="19"/>
                <w:szCs w:val="19"/>
              </w:rPr>
              <w:t>1.本机关不掌握相关政府信息</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spacing w:before="0" w:beforeAutospacing="0" w:after="0" w:afterAutospacing="0" w:line="600" w:lineRule="exact"/>
              <w:rPr>
                <w:rFonts w:ascii="Times New Roman" w:hAnsi="Times New Roman"/>
              </w:rPr>
            </w:pPr>
            <w:r>
              <w:rPr>
                <w:rFonts w:ascii="Times New Roman" w:hAnsi="Times New Roman"/>
                <w:sz w:val="19"/>
                <w:szCs w:val="19"/>
              </w:rPr>
              <w:t>2.没有现成信息需要另行制作</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spacing w:before="0" w:beforeAutospacing="0" w:after="0" w:afterAutospacing="0" w:line="600" w:lineRule="exact"/>
              <w:rPr>
                <w:rFonts w:ascii="Times New Roman" w:hAnsi="Times New Roman"/>
              </w:rPr>
            </w:pPr>
            <w:r>
              <w:rPr>
                <w:rFonts w:ascii="Times New Roman" w:hAnsi="Times New Roman"/>
                <w:sz w:val="19"/>
                <w:szCs w:val="19"/>
              </w:rPr>
              <w:t>3.补正后申请内容仍不明确</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941"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rPr>
                <w:rFonts w:ascii="Times New Roman" w:hAnsi="Times New Roman"/>
              </w:rPr>
            </w:pPr>
            <w:r>
              <w:rPr>
                <w:rFonts w:ascii="Times New Roman" w:hAnsi="Times New Roman"/>
                <w:sz w:val="19"/>
                <w:szCs w:val="19"/>
              </w:rPr>
              <w:t>（五）不予处理</w:t>
            </w: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spacing w:before="0" w:beforeAutospacing="0" w:after="0" w:afterAutospacing="0" w:line="600" w:lineRule="exact"/>
              <w:rPr>
                <w:rFonts w:ascii="Times New Roman" w:hAnsi="Times New Roman"/>
              </w:rPr>
            </w:pPr>
            <w:r>
              <w:rPr>
                <w:rFonts w:ascii="Times New Roman" w:hAnsi="Times New Roman"/>
                <w:sz w:val="19"/>
                <w:szCs w:val="19"/>
              </w:rPr>
              <w:t>1.信访举报投诉类申请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spacing w:before="0" w:beforeAutospacing="0" w:after="0" w:afterAutospacing="0" w:line="600" w:lineRule="exact"/>
              <w:rPr>
                <w:rFonts w:ascii="Times New Roman" w:hAnsi="Times New Roman"/>
              </w:rPr>
            </w:pPr>
            <w:r>
              <w:rPr>
                <w:rFonts w:ascii="Times New Roman" w:hAnsi="Times New Roman"/>
                <w:sz w:val="19"/>
                <w:szCs w:val="19"/>
              </w:rPr>
              <w:t>2.重复申请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spacing w:before="0" w:beforeAutospacing="0" w:after="0" w:afterAutospacing="0" w:line="600" w:lineRule="exact"/>
              <w:rPr>
                <w:rFonts w:ascii="Times New Roman" w:hAnsi="Times New Roman"/>
              </w:rPr>
            </w:pPr>
            <w:r>
              <w:rPr>
                <w:rFonts w:ascii="Times New Roman" w:hAnsi="Times New Roman"/>
                <w:sz w:val="19"/>
                <w:szCs w:val="19"/>
              </w:rPr>
              <w:t>3.要求提供公开出版物</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spacing w:before="0" w:beforeAutospacing="0" w:after="0" w:afterAutospacing="0" w:line="600" w:lineRule="exact"/>
              <w:rPr>
                <w:rFonts w:ascii="Times New Roman" w:hAnsi="Times New Roman"/>
              </w:rPr>
            </w:pPr>
            <w:r>
              <w:rPr>
                <w:rFonts w:ascii="Times New Roman" w:hAnsi="Times New Roman"/>
                <w:sz w:val="19"/>
                <w:szCs w:val="19"/>
              </w:rPr>
              <w:t>4.无正当理由大量反复申请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780" w:hRule="atLeast"/>
        </w:trPr>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94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3205"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both"/>
              <w:rPr>
                <w:rFonts w:ascii="Times New Roman" w:hAnsi="Times New Roman"/>
              </w:rPr>
            </w:pPr>
            <w:r>
              <w:rPr>
                <w:rFonts w:ascii="Times New Roman" w:hAnsi="Times New Roman"/>
                <w:sz w:val="19"/>
                <w:szCs w:val="19"/>
              </w:rPr>
              <w:t>5.要求行政机关确认或重新出具已获取信息</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outset"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941" w:type="dxa"/>
            <w:vMerge w:val="restart"/>
            <w:tcBorders>
              <w:top w:val="outset"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rPr>
                <w:rFonts w:ascii="Times New Roman" w:hAnsi="Times New Roman"/>
              </w:rPr>
            </w:pPr>
            <w:r>
              <w:rPr>
                <w:rFonts w:ascii="Times New Roman" w:hAnsi="Times New Roman"/>
                <w:sz w:val="19"/>
                <w:szCs w:val="19"/>
              </w:rPr>
              <w:t>（六）其他处理</w:t>
            </w: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both"/>
              <w:rPr>
                <w:rFonts w:ascii="Times New Roman" w:hAnsi="Times New Roman"/>
              </w:rPr>
            </w:pPr>
            <w:r>
              <w:rPr>
                <w:rFonts w:ascii="Times New Roman" w:hAnsi="Times New Roman"/>
                <w:sz w:val="19"/>
                <w:szCs w:val="19"/>
              </w:rPr>
              <w:t>1.申请人无正当理由逾期不补正、行政机关不再处理其政府信息公开申请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941" w:type="dxa"/>
            <w:vMerge w:val="continue"/>
            <w:tcBorders>
              <w:top w:val="outset"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jc w:val="both"/>
              <w:rPr>
                <w:rFonts w:ascii="Times New Roman" w:hAnsi="Times New Roman"/>
              </w:rPr>
            </w:pPr>
            <w:r>
              <w:rPr>
                <w:rFonts w:ascii="Times New Roman" w:hAnsi="Times New Roman"/>
                <w:sz w:val="19"/>
                <w:szCs w:val="19"/>
              </w:rPr>
              <w:t>2.申请人逾期未按收费通知要求缴纳费用、行政机关不再处理其政府信息公开申请</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941" w:type="dxa"/>
            <w:vMerge w:val="continue"/>
            <w:tcBorders>
              <w:top w:val="outset"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32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rPr>
                <w:rFonts w:ascii="Times New Roman" w:hAnsi="Times New Roman"/>
              </w:rPr>
            </w:pPr>
            <w:r>
              <w:rPr>
                <w:rFonts w:ascii="Times New Roman" w:hAnsi="Times New Roman"/>
                <w:sz w:val="19"/>
                <w:szCs w:val="19"/>
              </w:rPr>
              <w:t>3.其他</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spacing w:line="600" w:lineRule="exact"/>
              <w:rPr>
                <w:rFonts w:ascii="Times New Roman" w:hAnsi="Times New Roman"/>
                <w:sz w:val="24"/>
                <w:szCs w:val="24"/>
              </w:rPr>
            </w:pPr>
          </w:p>
        </w:tc>
        <w:tc>
          <w:tcPr>
            <w:tcW w:w="4146"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rPr>
                <w:rFonts w:ascii="Times New Roman" w:hAnsi="Times New Roman"/>
              </w:rPr>
            </w:pPr>
            <w:r>
              <w:rPr>
                <w:rFonts w:ascii="Times New Roman" w:hAnsi="Times New Roman"/>
                <w:sz w:val="19"/>
                <w:szCs w:val="19"/>
              </w:rPr>
              <w:t>（七）总计</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4906"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spacing w:before="0" w:beforeAutospacing="0" w:after="0" w:afterAutospacing="0" w:line="600" w:lineRule="exact"/>
              <w:rPr>
                <w:rFonts w:ascii="Times New Roman" w:hAnsi="Times New Roman"/>
              </w:rPr>
            </w:pPr>
            <w:r>
              <w:rPr>
                <w:rFonts w:ascii="Times New Roman" w:hAnsi="Times New Roman"/>
                <w:sz w:val="19"/>
                <w:szCs w:val="19"/>
              </w:rPr>
              <w:t>四、结转下年度继续办理</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spacing w:line="600" w:lineRule="exact"/>
              <w:jc w:val="left"/>
              <w:rPr>
                <w:rFonts w:ascii="Times New Roman" w:hAnsi="Times New Roman"/>
              </w:rPr>
            </w:pPr>
            <w:r>
              <w:rPr>
                <w:rFonts w:ascii="Times New Roman" w:hAnsi="Times New Roman"/>
              </w:rPr>
              <w:t>0</w:t>
            </w:r>
          </w:p>
        </w:tc>
        <w:tc>
          <w:tcPr>
            <w:tcW w:w="692" w:type="dxa"/>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spacing w:line="600" w:lineRule="exact"/>
              <w:jc w:val="left"/>
              <w:rPr>
                <w:rFonts w:ascii="Times New Roman" w:hAnsi="Times New Roman"/>
              </w:rPr>
            </w:pPr>
            <w:r>
              <w:rPr>
                <w:rFonts w:ascii="Times New Roman" w:hAnsi="Times New Roman"/>
              </w:rPr>
              <w:t>0</w:t>
            </w:r>
          </w:p>
        </w:tc>
      </w:tr>
    </w:tbl>
    <w:p>
      <w:pPr>
        <w:pStyle w:val="2"/>
        <w:spacing w:line="600" w:lineRule="exact"/>
        <w:ind w:firstLine="560" w:firstLineChars="200"/>
        <w:rPr>
          <w:rFonts w:ascii="Times New Roman" w:hAnsi="Times New Roman"/>
          <w:b/>
          <w:bCs/>
          <w:sz w:val="28"/>
          <w:szCs w:val="28"/>
        </w:rPr>
      </w:pPr>
      <w:r>
        <w:rPr>
          <w:rFonts w:hint="eastAsia" w:ascii="黑体" w:hAnsi="黑体" w:eastAsia="黑体" w:cs="黑体"/>
          <w:sz w:val="28"/>
          <w:szCs w:val="28"/>
        </w:rPr>
        <w:t>四、</w:t>
      </w:r>
      <w:r>
        <w:rPr>
          <w:rFonts w:ascii="黑体" w:hAnsi="黑体" w:eastAsia="黑体" w:cs="黑体"/>
          <w:sz w:val="28"/>
          <w:szCs w:val="28"/>
        </w:rPr>
        <w:t>政府信息公开行政复议、行政诉讼情况</w:t>
      </w:r>
    </w:p>
    <w:tbl>
      <w:tblPr>
        <w:tblStyle w:val="5"/>
        <w:tblpPr w:leftFromText="180" w:rightFromText="180" w:vertAnchor="text" w:horzAnchor="page" w:tblpX="1202" w:tblpY="207"/>
        <w:tblOverlap w:val="never"/>
        <w:tblW w:w="9750" w:type="dxa"/>
        <w:tblInd w:w="0" w:type="dxa"/>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autofit"/>
        <w:tblCellMar>
          <w:top w:w="0" w:type="dxa"/>
          <w:left w:w="0" w:type="dxa"/>
          <w:bottom w:w="0" w:type="dxa"/>
          <w:right w:w="0" w:type="dxa"/>
        </w:tblCellMar>
      </w:tblPr>
      <w:tblGrid>
        <w:gridCol w:w="650"/>
        <w:gridCol w:w="650"/>
        <w:gridCol w:w="650"/>
        <w:gridCol w:w="650"/>
        <w:gridCol w:w="650"/>
        <w:gridCol w:w="650"/>
        <w:gridCol w:w="650"/>
        <w:gridCol w:w="650"/>
        <w:gridCol w:w="650"/>
        <w:gridCol w:w="650"/>
        <w:gridCol w:w="650"/>
        <w:gridCol w:w="650"/>
        <w:gridCol w:w="650"/>
        <w:gridCol w:w="650"/>
        <w:gridCol w:w="650"/>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325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行政复议</w:t>
            </w:r>
          </w:p>
        </w:tc>
        <w:tc>
          <w:tcPr>
            <w:tcW w:w="6500" w:type="dxa"/>
            <w:gridSpan w:val="10"/>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行政诉讼</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65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结果维持</w:t>
            </w:r>
          </w:p>
        </w:tc>
        <w:tc>
          <w:tcPr>
            <w:tcW w:w="65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结果</w:t>
            </w:r>
            <w:r>
              <w:rPr>
                <w:rFonts w:ascii="Times New Roman" w:hAnsi="Times New Roman"/>
                <w:sz w:val="19"/>
                <w:szCs w:val="19"/>
              </w:rPr>
              <w:br w:type="textWrapping"/>
            </w:r>
            <w:r>
              <w:rPr>
                <w:rFonts w:ascii="Times New Roman" w:hAnsi="Times New Roman"/>
                <w:sz w:val="19"/>
                <w:szCs w:val="19"/>
              </w:rPr>
              <w:t>纠正</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其他</w:t>
            </w:r>
            <w:r>
              <w:rPr>
                <w:rFonts w:ascii="Times New Roman" w:hAnsi="Times New Roman"/>
                <w:sz w:val="19"/>
                <w:szCs w:val="19"/>
              </w:rPr>
              <w:br w:type="textWrapping"/>
            </w:r>
            <w:r>
              <w:rPr>
                <w:rFonts w:ascii="Times New Roman" w:hAnsi="Times New Roman"/>
                <w:sz w:val="19"/>
                <w:szCs w:val="19"/>
              </w:rPr>
              <w:t>结果</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尚未</w:t>
            </w:r>
            <w:r>
              <w:rPr>
                <w:rFonts w:ascii="Times New Roman" w:hAnsi="Times New Roman"/>
                <w:sz w:val="19"/>
                <w:szCs w:val="19"/>
              </w:rPr>
              <w:br w:type="textWrapping"/>
            </w:r>
            <w:r>
              <w:rPr>
                <w:rFonts w:ascii="Times New Roman" w:hAnsi="Times New Roman"/>
                <w:sz w:val="19"/>
                <w:szCs w:val="19"/>
              </w:rPr>
              <w:t>审结</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总计</w:t>
            </w:r>
          </w:p>
        </w:tc>
        <w:tc>
          <w:tcPr>
            <w:tcW w:w="325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未经复议直接起诉</w:t>
            </w:r>
          </w:p>
        </w:tc>
        <w:tc>
          <w:tcPr>
            <w:tcW w:w="325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复议后起诉</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65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rPr>
                <w:rFonts w:ascii="Times New Roman" w:hAnsi="Times New Roman"/>
                <w:sz w:val="24"/>
                <w:szCs w:val="24"/>
              </w:rPr>
            </w:pPr>
          </w:p>
        </w:tc>
        <w:tc>
          <w:tcPr>
            <w:tcW w:w="65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rPr>
                <w:rFonts w:ascii="Times New Roman" w:hAnsi="Times New Roman"/>
                <w:sz w:val="24"/>
                <w:szCs w:val="24"/>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rPr>
                <w:rFonts w:ascii="Times New Roman" w:hAnsi="Times New Roman"/>
                <w:sz w:val="24"/>
                <w:szCs w:val="24"/>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rPr>
                <w:rFonts w:ascii="Times New Roman" w:hAnsi="Times New Roman"/>
                <w:sz w:val="24"/>
                <w:szCs w:val="24"/>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rPr>
                <w:rFonts w:ascii="Times New Roman" w:hAnsi="Times New Roman"/>
                <w:sz w:val="24"/>
                <w:szCs w:val="24"/>
              </w:rPr>
            </w:pP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结果</w:t>
            </w:r>
            <w:r>
              <w:rPr>
                <w:rFonts w:ascii="Times New Roman" w:hAnsi="Times New Roman"/>
                <w:sz w:val="19"/>
                <w:szCs w:val="19"/>
              </w:rPr>
              <w:br w:type="textWrapping"/>
            </w:r>
            <w:r>
              <w:rPr>
                <w:rFonts w:ascii="Times New Roman" w:hAnsi="Times New Roman"/>
                <w:sz w:val="19"/>
                <w:szCs w:val="19"/>
              </w:rPr>
              <w:t>维持</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结果</w:t>
            </w:r>
            <w:r>
              <w:rPr>
                <w:rFonts w:ascii="Times New Roman" w:hAnsi="Times New Roman"/>
                <w:sz w:val="19"/>
                <w:szCs w:val="19"/>
              </w:rPr>
              <w:br w:type="textWrapping"/>
            </w:r>
            <w:r>
              <w:rPr>
                <w:rFonts w:ascii="Times New Roman" w:hAnsi="Times New Roman"/>
                <w:sz w:val="19"/>
                <w:szCs w:val="19"/>
              </w:rPr>
              <w:t>纠正</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其他</w:t>
            </w:r>
            <w:r>
              <w:rPr>
                <w:rFonts w:ascii="Times New Roman" w:hAnsi="Times New Roman"/>
                <w:sz w:val="19"/>
                <w:szCs w:val="19"/>
              </w:rPr>
              <w:br w:type="textWrapping"/>
            </w:r>
            <w:r>
              <w:rPr>
                <w:rFonts w:ascii="Times New Roman" w:hAnsi="Times New Roman"/>
                <w:sz w:val="19"/>
                <w:szCs w:val="19"/>
              </w:rPr>
              <w:t>结果</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尚未</w:t>
            </w:r>
            <w:r>
              <w:rPr>
                <w:rFonts w:ascii="Times New Roman" w:hAnsi="Times New Roman"/>
                <w:sz w:val="19"/>
                <w:szCs w:val="19"/>
              </w:rPr>
              <w:br w:type="textWrapping"/>
            </w:r>
            <w:r>
              <w:rPr>
                <w:rFonts w:ascii="Times New Roman" w:hAnsi="Times New Roman"/>
                <w:sz w:val="19"/>
                <w:szCs w:val="19"/>
              </w:rPr>
              <w:t>审结</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color w:val="000000"/>
                <w:sz w:val="19"/>
                <w:szCs w:val="19"/>
              </w:rPr>
              <w:t>总计</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结果</w:t>
            </w:r>
            <w:r>
              <w:rPr>
                <w:rFonts w:ascii="Times New Roman" w:hAnsi="Times New Roman"/>
                <w:sz w:val="19"/>
                <w:szCs w:val="19"/>
              </w:rPr>
              <w:br w:type="textWrapping"/>
            </w:r>
            <w:r>
              <w:rPr>
                <w:rFonts w:ascii="Times New Roman" w:hAnsi="Times New Roman"/>
                <w:sz w:val="19"/>
                <w:szCs w:val="19"/>
              </w:rPr>
              <w:t>维持</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结果</w:t>
            </w:r>
            <w:r>
              <w:rPr>
                <w:rFonts w:ascii="Times New Roman" w:hAnsi="Times New Roman"/>
                <w:sz w:val="19"/>
                <w:szCs w:val="19"/>
              </w:rPr>
              <w:br w:type="textWrapping"/>
            </w:r>
            <w:r>
              <w:rPr>
                <w:rFonts w:ascii="Times New Roman" w:hAnsi="Times New Roman"/>
                <w:sz w:val="19"/>
                <w:szCs w:val="19"/>
              </w:rPr>
              <w:t>纠正</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color w:val="000000"/>
                <w:sz w:val="19"/>
                <w:szCs w:val="19"/>
              </w:rPr>
              <w:t>其他</w:t>
            </w:r>
            <w:r>
              <w:rPr>
                <w:rFonts w:ascii="Times New Roman" w:hAnsi="Times New Roman"/>
                <w:color w:val="000000"/>
                <w:sz w:val="19"/>
                <w:szCs w:val="19"/>
              </w:rPr>
              <w:br w:type="textWrapping"/>
            </w:r>
            <w:r>
              <w:rPr>
                <w:rFonts w:ascii="Times New Roman" w:hAnsi="Times New Roman"/>
                <w:color w:val="000000"/>
                <w:sz w:val="19"/>
                <w:szCs w:val="19"/>
              </w:rPr>
              <w:t>结果</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sz w:val="19"/>
                <w:szCs w:val="19"/>
              </w:rPr>
              <w:t>尚未</w:t>
            </w:r>
            <w:r>
              <w:rPr>
                <w:rFonts w:ascii="Times New Roman" w:hAnsi="Times New Roman"/>
                <w:sz w:val="19"/>
                <w:szCs w:val="19"/>
              </w:rPr>
              <w:br w:type="textWrapping"/>
            </w:r>
            <w:r>
              <w:rPr>
                <w:rFonts w:ascii="Times New Roman" w:hAnsi="Times New Roman"/>
                <w:sz w:val="19"/>
                <w:szCs w:val="19"/>
              </w:rPr>
              <w:t>审结</w:t>
            </w:r>
          </w:p>
        </w:tc>
        <w:tc>
          <w:tcPr>
            <w:tcW w:w="6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spacing w:before="0" w:beforeAutospacing="0" w:after="0" w:afterAutospacing="0" w:line="600" w:lineRule="exact"/>
              <w:jc w:val="center"/>
              <w:rPr>
                <w:rFonts w:ascii="Times New Roman" w:hAnsi="Times New Roman"/>
              </w:rPr>
            </w:pPr>
            <w:r>
              <w:rPr>
                <w:rFonts w:ascii="Times New Roman" w:hAnsi="Times New Roman"/>
                <w:color w:val="000000"/>
                <w:sz w:val="19"/>
                <w:szCs w:val="19"/>
              </w:rPr>
              <w:t>总计</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trPr>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jc w:val="left"/>
              <w:rPr>
                <w:rFonts w:ascii="Times New Roman" w:hAnsi="Times New Roman"/>
              </w:rPr>
            </w:pPr>
            <w:r>
              <w:rPr>
                <w:rFonts w:ascii="Times New Roman" w:hAnsi="Times New Roma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jc w:val="left"/>
              <w:rPr>
                <w:rFonts w:ascii="Times New Roman" w:hAnsi="Times New Roman"/>
              </w:rPr>
            </w:pPr>
            <w:r>
              <w:rPr>
                <w:rFonts w:ascii="Times New Roman" w:hAnsi="Times New Roma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jc w:val="left"/>
              <w:rPr>
                <w:rFonts w:ascii="Times New Roman" w:hAnsi="Times New Roman"/>
              </w:rPr>
            </w:pPr>
            <w:r>
              <w:rPr>
                <w:rFonts w:ascii="Times New Roman" w:hAnsi="Times New Roma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jc w:val="left"/>
              <w:rPr>
                <w:rFonts w:ascii="Times New Roman" w:hAnsi="Times New Roman"/>
              </w:rPr>
            </w:pPr>
            <w:r>
              <w:rPr>
                <w:rFonts w:ascii="Times New Roman" w:hAnsi="Times New Roma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jc w:val="left"/>
              <w:rPr>
                <w:rFonts w:ascii="Times New Roman" w:hAnsi="Times New Roman"/>
              </w:rPr>
            </w:pPr>
            <w:r>
              <w:rPr>
                <w:rFonts w:ascii="Times New Roman" w:hAnsi="Times New Roma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jc w:val="left"/>
              <w:rPr>
                <w:rFonts w:ascii="Times New Roman" w:hAnsi="Times New Roman"/>
              </w:rPr>
            </w:pPr>
            <w:r>
              <w:rPr>
                <w:rFonts w:ascii="Times New Roman" w:hAnsi="Times New Roma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jc w:val="left"/>
              <w:rPr>
                <w:rFonts w:ascii="Times New Roman" w:hAnsi="Times New Roman"/>
              </w:rPr>
            </w:pPr>
            <w:r>
              <w:rPr>
                <w:rFonts w:ascii="Times New Roman" w:hAnsi="Times New Roma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jc w:val="left"/>
              <w:rPr>
                <w:rFonts w:ascii="Times New Roman" w:hAnsi="Times New Roman"/>
              </w:rPr>
            </w:pPr>
            <w:r>
              <w:rPr>
                <w:rFonts w:ascii="Times New Roman" w:hAnsi="Times New Roma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jc w:val="left"/>
              <w:rPr>
                <w:rFonts w:ascii="Times New Roman" w:hAnsi="Times New Roman"/>
              </w:rPr>
            </w:pPr>
            <w:r>
              <w:rPr>
                <w:rFonts w:ascii="Times New Roman" w:hAnsi="Times New Roma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jc w:val="left"/>
              <w:rPr>
                <w:rFonts w:ascii="Times New Roman" w:hAnsi="Times New Roman"/>
              </w:rPr>
            </w:pPr>
            <w:r>
              <w:rPr>
                <w:rFonts w:ascii="Times New Roman" w:hAnsi="Times New Roma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jc w:val="left"/>
              <w:rPr>
                <w:rFonts w:ascii="Times New Roman" w:hAnsi="Times New Roman"/>
              </w:rPr>
            </w:pPr>
            <w:r>
              <w:rPr>
                <w:rFonts w:ascii="Times New Roman" w:hAnsi="Times New Roma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jc w:val="left"/>
              <w:rPr>
                <w:rFonts w:ascii="Times New Roman" w:hAnsi="Times New Roman"/>
              </w:rPr>
            </w:pPr>
            <w:r>
              <w:rPr>
                <w:rFonts w:ascii="Times New Roman" w:hAnsi="Times New Roma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jc w:val="left"/>
              <w:rPr>
                <w:rFonts w:ascii="Times New Roman" w:hAnsi="Times New Roman"/>
              </w:rPr>
            </w:pPr>
            <w:r>
              <w:rPr>
                <w:rFonts w:ascii="Times New Roman" w:hAnsi="Times New Roma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jc w:val="left"/>
              <w:rPr>
                <w:rFonts w:ascii="Times New Roman" w:hAnsi="Times New Roman"/>
              </w:rPr>
            </w:pPr>
            <w:r>
              <w:rPr>
                <w:rFonts w:ascii="Times New Roman" w:hAnsi="Times New Roman"/>
              </w:rPr>
              <w:t>0</w:t>
            </w:r>
          </w:p>
        </w:tc>
        <w:tc>
          <w:tcPr>
            <w:tcW w:w="6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600" w:lineRule="exact"/>
              <w:jc w:val="left"/>
              <w:rPr>
                <w:rFonts w:ascii="Times New Roman" w:hAnsi="Times New Roman"/>
              </w:rPr>
            </w:pPr>
            <w:r>
              <w:rPr>
                <w:rFonts w:ascii="Times New Roman" w:hAnsi="Times New Roman"/>
              </w:rPr>
              <w:t>0</w:t>
            </w:r>
          </w:p>
        </w:tc>
      </w:tr>
    </w:tbl>
    <w:p>
      <w:pPr>
        <w:pStyle w:val="16"/>
        <w:spacing w:line="600" w:lineRule="exact"/>
        <w:rPr>
          <w:rFonts w:ascii="Times New Roman" w:hAnsi="Times New Roman"/>
        </w:rPr>
      </w:pPr>
      <w:r>
        <w:rPr>
          <w:rFonts w:ascii="Times New Roman" w:hAnsi="Times New Roman"/>
        </w:rPr>
        <w:t>窗体顶端</w:t>
      </w:r>
    </w:p>
    <w:p>
      <w:pPr>
        <w:pStyle w:val="2"/>
        <w:spacing w:line="600" w:lineRule="exact"/>
        <w:ind w:firstLine="560" w:firstLineChars="200"/>
        <w:rPr>
          <w:rFonts w:ascii="黑体" w:hAnsi="黑体" w:eastAsia="黑体" w:cs="黑体"/>
          <w:sz w:val="28"/>
          <w:szCs w:val="28"/>
        </w:rPr>
      </w:pPr>
      <w:r>
        <w:rPr>
          <w:rFonts w:ascii="黑体" w:hAnsi="黑体" w:eastAsia="黑体" w:cs="黑体"/>
          <w:sz w:val="28"/>
          <w:szCs w:val="28"/>
        </w:rPr>
        <w:t>五、存在的主要问题及改进情况</w:t>
      </w:r>
    </w:p>
    <w:p>
      <w:pPr>
        <w:pStyle w:val="4"/>
        <w:spacing w:before="0" w:beforeAutospacing="0" w:after="0" w:afterAutospacing="0" w:line="600" w:lineRule="exact"/>
        <w:ind w:firstLine="643" w:firstLineChars="200"/>
        <w:rPr>
          <w:rFonts w:ascii="楷体_GB2312" w:hAnsi="楷体_GB2312" w:eastAsia="楷体_GB2312" w:cs="楷体_GB2312"/>
          <w:b/>
          <w:bCs/>
          <w:kern w:val="2"/>
          <w:sz w:val="32"/>
          <w:szCs w:val="32"/>
        </w:rPr>
      </w:pPr>
      <w:r>
        <w:rPr>
          <w:rFonts w:ascii="楷体_GB2312" w:hAnsi="楷体_GB2312" w:eastAsia="楷体_GB2312" w:cs="楷体_GB2312"/>
          <w:b/>
          <w:bCs/>
          <w:kern w:val="2"/>
          <w:sz w:val="32"/>
          <w:szCs w:val="32"/>
        </w:rPr>
        <w:t>（一）存在问题</w:t>
      </w:r>
    </w:p>
    <w:p>
      <w:pPr>
        <w:pStyle w:val="4"/>
        <w:spacing w:before="0" w:beforeAutospacing="0" w:after="0" w:afterAutospacing="0" w:line="600" w:lineRule="exact"/>
        <w:ind w:firstLine="640" w:firstLineChars="200"/>
        <w:rPr>
          <w:rFonts w:ascii="Times New Roman" w:hAnsi="Times New Roman" w:eastAsia="仿宋"/>
          <w:kern w:val="2"/>
          <w:sz w:val="32"/>
          <w:szCs w:val="32"/>
        </w:rPr>
      </w:pPr>
      <w:r>
        <w:rPr>
          <w:rFonts w:ascii="Times New Roman" w:hAnsi="Times New Roman" w:eastAsia="仿宋"/>
          <w:kern w:val="2"/>
          <w:sz w:val="32"/>
          <w:szCs w:val="32"/>
        </w:rPr>
        <w:t>一是组织学习《中华人民共和国政府信息公开条例》及政府信息公开工作相关文件学习不够深入，广大干部职工积极推进政务公开的历史使命感和政治责任感有待提高。</w:t>
      </w:r>
    </w:p>
    <w:p>
      <w:pPr>
        <w:pStyle w:val="4"/>
        <w:spacing w:before="0" w:beforeAutospacing="0" w:after="0" w:afterAutospacing="0" w:line="600" w:lineRule="exact"/>
        <w:ind w:firstLine="640" w:firstLineChars="200"/>
        <w:rPr>
          <w:rFonts w:ascii="Times New Roman" w:hAnsi="Times New Roman" w:eastAsia="仿宋"/>
          <w:kern w:val="2"/>
          <w:sz w:val="32"/>
          <w:szCs w:val="32"/>
        </w:rPr>
      </w:pPr>
      <w:r>
        <w:rPr>
          <w:rFonts w:ascii="Times New Roman" w:hAnsi="Times New Roman" w:eastAsia="仿宋"/>
          <w:kern w:val="2"/>
          <w:sz w:val="32"/>
          <w:szCs w:val="32"/>
        </w:rPr>
        <w:t>二是公开信息的质量和时效有待提升，政府信息公开不及时，推动政务公开和政府信息公开的力度还不足，公开内容不具体、重点不突出，政府信息公开专职人员对业务不熟悉。信息公开内容与群众真正想要的信息有时存在“错位”现象，存在着群众关心的没有有效公开，注重结果公开，有时忽略了过程公开；在与群众生活密切相关的公共服务领域，政策措施通俗化解读工作有待进一步加强；及时准确回应社会关切的能力有待进一步提升。</w:t>
      </w:r>
    </w:p>
    <w:p>
      <w:pPr>
        <w:pStyle w:val="4"/>
        <w:spacing w:before="0" w:beforeAutospacing="0" w:after="0" w:afterAutospacing="0" w:line="600" w:lineRule="exact"/>
        <w:ind w:firstLine="643" w:firstLineChars="200"/>
        <w:rPr>
          <w:rFonts w:ascii="楷体_GB2312" w:hAnsi="楷体_GB2312" w:eastAsia="楷体_GB2312" w:cs="楷体_GB2312"/>
          <w:b/>
          <w:bCs/>
          <w:kern w:val="2"/>
          <w:sz w:val="32"/>
          <w:szCs w:val="32"/>
        </w:rPr>
      </w:pPr>
      <w:r>
        <w:rPr>
          <w:rFonts w:ascii="楷体_GB2312" w:hAnsi="楷体_GB2312" w:eastAsia="楷体_GB2312" w:cs="楷体_GB2312"/>
          <w:b/>
          <w:bCs/>
          <w:kern w:val="2"/>
          <w:sz w:val="32"/>
          <w:szCs w:val="32"/>
        </w:rPr>
        <w:t>（二）改进措施</w:t>
      </w:r>
    </w:p>
    <w:p>
      <w:pPr>
        <w:pStyle w:val="4"/>
        <w:spacing w:before="0" w:beforeAutospacing="0" w:after="0" w:afterAutospacing="0" w:line="600" w:lineRule="exact"/>
        <w:ind w:firstLine="640" w:firstLineChars="200"/>
        <w:rPr>
          <w:rFonts w:ascii="Times New Roman" w:hAnsi="Times New Roman" w:eastAsia="仿宋"/>
          <w:kern w:val="2"/>
          <w:sz w:val="32"/>
          <w:szCs w:val="32"/>
        </w:rPr>
      </w:pPr>
      <w:r>
        <w:rPr>
          <w:rFonts w:ascii="Times New Roman" w:hAnsi="Times New Roman" w:eastAsia="仿宋"/>
          <w:kern w:val="2"/>
          <w:sz w:val="32"/>
          <w:szCs w:val="32"/>
        </w:rPr>
        <w:t>一是加强政府工作人员对《中华人民共和国政府信息公开条例》的准确度、理解度和掌握度，切实转变思想观念，增强工作主动性和自觉性，以政府信息公开服务领导决策、服务中心工作开展、服务人民群众信息需求，着力做到以公开促公正、以公开立公信，维护法治政府、透明政府的良好形象。</w:t>
      </w:r>
    </w:p>
    <w:p>
      <w:pPr>
        <w:pStyle w:val="4"/>
        <w:spacing w:before="0" w:beforeAutospacing="0" w:after="0" w:afterAutospacing="0" w:line="600" w:lineRule="exact"/>
        <w:ind w:firstLine="640" w:firstLineChars="200"/>
        <w:rPr>
          <w:rFonts w:ascii="Times New Roman" w:hAnsi="Times New Roman" w:eastAsia="仿宋"/>
          <w:kern w:val="2"/>
          <w:sz w:val="32"/>
          <w:szCs w:val="32"/>
        </w:rPr>
      </w:pPr>
      <w:r>
        <w:rPr>
          <w:rFonts w:ascii="Times New Roman" w:hAnsi="Times New Roman" w:eastAsia="仿宋"/>
          <w:kern w:val="2"/>
          <w:sz w:val="32"/>
          <w:szCs w:val="32"/>
        </w:rPr>
        <w:t>二是提高政府信息公开的质量和实效，进一步深化群众关注的重点领域信息公开力度。抓好载体建设，创新政务公开工作的新形式、新途径、新方法，加强对“互联网+”、微博、微信等新技术、新媒体的学习和应用，推进互联网和政府信息公开工作的深度融合，进一步扩大政务公开的覆盖面，增强政务公开的实效性；强化宣传引导，营造良好氛围。及时关注舆情，回应社会关切。进一步完善政府信息公开栏目的功能，加强宣传和普及力度，提高网站知晓率，增强广大群众积极参与和监督的意识，努力营造推进政务公开、加强软环境建设的良好社会氛围。积极稳妥推进政府数据开放共享，服务社会管理创新。</w:t>
      </w:r>
    </w:p>
    <w:p>
      <w:pPr>
        <w:pStyle w:val="2"/>
        <w:spacing w:line="600" w:lineRule="exact"/>
        <w:ind w:firstLine="560" w:firstLineChars="200"/>
        <w:rPr>
          <w:rFonts w:ascii="黑体" w:hAnsi="黑体" w:eastAsia="黑体" w:cs="黑体"/>
          <w:sz w:val="28"/>
          <w:szCs w:val="28"/>
        </w:rPr>
      </w:pPr>
      <w:r>
        <w:rPr>
          <w:rFonts w:ascii="黑体" w:hAnsi="黑体" w:eastAsia="黑体" w:cs="黑体"/>
          <w:sz w:val="28"/>
          <w:szCs w:val="28"/>
        </w:rPr>
        <w:t>六、其他需要报告的事项</w:t>
      </w:r>
    </w:p>
    <w:p>
      <w:pPr>
        <w:pStyle w:val="4"/>
        <w:spacing w:before="0" w:beforeAutospacing="0" w:after="0" w:afterAutospacing="0"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kern w:val="2"/>
          <w:sz w:val="32"/>
          <w:szCs w:val="32"/>
        </w:rPr>
        <w:t>本年度创业乡不存在收取信息处理费的情况。</w:t>
      </w:r>
    </w:p>
    <w:sectPr>
      <w:headerReference r:id="rId3" w:type="default"/>
      <w:footerReference r:id="rId4" w:type="default"/>
      <w:pgSz w:w="11906" w:h="16838"/>
      <w:pgMar w:top="1383" w:right="1800" w:bottom="1383" w:left="1800" w:header="851" w:footer="82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zMThlYWRkYmIwNzUzNDhiMGZjOGE4ZjZkYjUwZTYifQ=="/>
  </w:docVars>
  <w:rsids>
    <w:rsidRoot w:val="004D2FC1"/>
    <w:rsid w:val="00027C09"/>
    <w:rsid w:val="001A28EB"/>
    <w:rsid w:val="001F5523"/>
    <w:rsid w:val="0036456F"/>
    <w:rsid w:val="003A28C6"/>
    <w:rsid w:val="003C6B24"/>
    <w:rsid w:val="003E5C42"/>
    <w:rsid w:val="003F6ACD"/>
    <w:rsid w:val="004977D0"/>
    <w:rsid w:val="004B0842"/>
    <w:rsid w:val="004D2FC1"/>
    <w:rsid w:val="005432AA"/>
    <w:rsid w:val="00544510"/>
    <w:rsid w:val="006106E8"/>
    <w:rsid w:val="00672B2A"/>
    <w:rsid w:val="006D09BA"/>
    <w:rsid w:val="007376CA"/>
    <w:rsid w:val="007D7A40"/>
    <w:rsid w:val="007F0E09"/>
    <w:rsid w:val="00897F58"/>
    <w:rsid w:val="008A62E6"/>
    <w:rsid w:val="00AE091E"/>
    <w:rsid w:val="00B33FB6"/>
    <w:rsid w:val="00C23D37"/>
    <w:rsid w:val="00C954A3"/>
    <w:rsid w:val="00CC352C"/>
    <w:rsid w:val="00CE12E2"/>
    <w:rsid w:val="00E64E6D"/>
    <w:rsid w:val="00FF7FDF"/>
    <w:rsid w:val="01B60C0B"/>
    <w:rsid w:val="06844434"/>
    <w:rsid w:val="068B1FF6"/>
    <w:rsid w:val="07FC5B84"/>
    <w:rsid w:val="0ADE4524"/>
    <w:rsid w:val="0FC7045D"/>
    <w:rsid w:val="16485EE5"/>
    <w:rsid w:val="167D5321"/>
    <w:rsid w:val="1AF535C6"/>
    <w:rsid w:val="1BF3238B"/>
    <w:rsid w:val="21B36DF6"/>
    <w:rsid w:val="244D33DA"/>
    <w:rsid w:val="25DF46D5"/>
    <w:rsid w:val="26D70853"/>
    <w:rsid w:val="34B05339"/>
    <w:rsid w:val="38055D7C"/>
    <w:rsid w:val="3E0814BB"/>
    <w:rsid w:val="3E94544D"/>
    <w:rsid w:val="42C54575"/>
    <w:rsid w:val="46A05064"/>
    <w:rsid w:val="47B923A1"/>
    <w:rsid w:val="4B6B7223"/>
    <w:rsid w:val="59B26A03"/>
    <w:rsid w:val="5AB16782"/>
    <w:rsid w:val="5D395C9B"/>
    <w:rsid w:val="65D94DCA"/>
    <w:rsid w:val="68096587"/>
    <w:rsid w:val="68E20654"/>
    <w:rsid w:val="6B314631"/>
    <w:rsid w:val="6BB84671"/>
    <w:rsid w:val="6EF02577"/>
    <w:rsid w:val="76AE5727"/>
    <w:rsid w:val="76B02F04"/>
    <w:rsid w:val="7A9D4903"/>
    <w:rsid w:val="FEEFE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jc w:val="left"/>
    </w:pPr>
    <w:rPr>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333333"/>
      <w:u w:val="none"/>
    </w:rPr>
  </w:style>
  <w:style w:type="character" w:styleId="9">
    <w:name w:val="Emphasis"/>
    <w:basedOn w:val="6"/>
    <w:qFormat/>
    <w:uiPriority w:val="20"/>
  </w:style>
  <w:style w:type="character" w:styleId="10">
    <w:name w:val="Hyperlink"/>
    <w:basedOn w:val="6"/>
    <w:unhideWhenUsed/>
    <w:qFormat/>
    <w:uiPriority w:val="99"/>
    <w:rPr>
      <w:color w:val="0000FF"/>
      <w:u w:val="single"/>
    </w:rPr>
  </w:style>
  <w:style w:type="character" w:customStyle="1" w:styleId="11">
    <w:name w:val="font01"/>
    <w:basedOn w:val="6"/>
    <w:qFormat/>
    <w:uiPriority w:val="0"/>
    <w:rPr>
      <w:rFonts w:hint="eastAsia" w:ascii="宋体" w:hAnsi="宋体" w:eastAsia="宋体" w:cs="宋体"/>
      <w:color w:val="000000"/>
      <w:sz w:val="24"/>
      <w:szCs w:val="24"/>
    </w:rPr>
  </w:style>
  <w:style w:type="character" w:customStyle="1" w:styleId="12">
    <w:name w:val="页眉 字符"/>
    <w:basedOn w:val="6"/>
    <w:link w:val="3"/>
    <w:qFormat/>
    <w:uiPriority w:val="0"/>
    <w:rPr>
      <w:sz w:val="18"/>
      <w:szCs w:val="18"/>
    </w:rPr>
  </w:style>
  <w:style w:type="character" w:customStyle="1" w:styleId="13">
    <w:name w:val="font71"/>
    <w:basedOn w:val="6"/>
    <w:qFormat/>
    <w:uiPriority w:val="0"/>
    <w:rPr>
      <w:rFonts w:hint="eastAsia" w:ascii="宋体" w:hAnsi="宋体" w:eastAsia="宋体" w:cs="宋体"/>
      <w:color w:val="000000"/>
      <w:sz w:val="24"/>
      <w:szCs w:val="24"/>
    </w:rPr>
  </w:style>
  <w:style w:type="character" w:customStyle="1" w:styleId="14">
    <w:name w:val="页眉 Char1"/>
    <w:basedOn w:val="6"/>
    <w:semiHidden/>
    <w:qFormat/>
    <w:uiPriority w:val="99"/>
    <w:rPr>
      <w:rFonts w:ascii="Calibri" w:hAnsi="Calibri" w:eastAsia="宋体" w:cs="Times New Roman"/>
      <w:sz w:val="18"/>
      <w:szCs w:val="18"/>
    </w:rPr>
  </w:style>
  <w:style w:type="character" w:customStyle="1" w:styleId="15">
    <w:name w:val="页脚 字符"/>
    <w:basedOn w:val="6"/>
    <w:link w:val="2"/>
    <w:qFormat/>
    <w:uiPriority w:val="99"/>
    <w:rPr>
      <w:rFonts w:ascii="Calibri" w:hAnsi="Calibri" w:eastAsia="宋体" w:cs="Times New Roman"/>
      <w:sz w:val="18"/>
      <w:szCs w:val="18"/>
    </w:rPr>
  </w:style>
  <w:style w:type="paragraph" w:customStyle="1" w:styleId="16">
    <w:name w:val="_Style 15"/>
    <w:basedOn w:val="1"/>
    <w:next w:val="1"/>
    <w:qFormat/>
    <w:uiPriority w:val="0"/>
    <w:pPr>
      <w:pBdr>
        <w:bottom w:val="single" w:color="auto" w:sz="6" w:space="1"/>
      </w:pBdr>
      <w:jc w:val="center"/>
    </w:pPr>
    <w:rPr>
      <w:rFonts w:ascii="Arial"/>
      <w:vanish/>
      <w:sz w:val="16"/>
    </w:rPr>
  </w:style>
  <w:style w:type="paragraph" w:customStyle="1" w:styleId="17">
    <w:name w:val="_Style 16"/>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455</Words>
  <Characters>2600</Characters>
  <Lines>21</Lines>
  <Paragraphs>6</Paragraphs>
  <TotalTime>15</TotalTime>
  <ScaleCrop>false</ScaleCrop>
  <LinksUpToDate>false</LinksUpToDate>
  <CharactersWithSpaces>3049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2018-02-01T14:11:00Z</dcterms:created>
  <dc:creator>Lenovo</dc:creator>
  <cp:lastModifiedBy>Administrator</cp:lastModifiedBy>
  <cp:lastPrinted>2022-01-13T09:27:00Z</cp:lastPrinted>
  <dcterms:modified xsi:type="dcterms:W3CDTF">2023-01-28T01:27:58Z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2EA3096D05C24B30AF327ADC3673A1B6</vt:lpwstr>
  </property>
</Properties>
</file>