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宋体" w:hAnsi="宋体" w:eastAsia="宋体" w:cs="宋体"/>
          <w:color w:val="333333"/>
        </w:rPr>
      </w:pPr>
    </w:p>
    <w:p>
      <w:pPr>
        <w:pStyle w:val="2"/>
        <w:bidi w:val="0"/>
        <w:jc w:val="center"/>
        <w:rPr>
          <w:rFonts w:hint="eastAsia"/>
          <w:b/>
          <w:bCs/>
          <w:sz w:val="44"/>
          <w:szCs w:val="44"/>
          <w:lang w:val="en-US" w:eastAsia="zh-CN"/>
        </w:rPr>
      </w:pPr>
      <w:bookmarkStart w:id="0" w:name="_GoBack"/>
      <w:r>
        <w:rPr>
          <w:rFonts w:hint="eastAsia"/>
          <w:b/>
          <w:bCs/>
          <w:sz w:val="44"/>
          <w:szCs w:val="44"/>
          <w:lang w:eastAsia="zh-CN"/>
        </w:rPr>
        <w:t>佳木斯市桦川生态环境局</w:t>
      </w:r>
      <w:r>
        <w:rPr>
          <w:rFonts w:hint="eastAsia"/>
          <w:b/>
          <w:bCs/>
          <w:sz w:val="44"/>
          <w:szCs w:val="44"/>
          <w:lang w:val="en-US" w:eastAsia="zh-CN"/>
        </w:rPr>
        <w:t>2021年</w:t>
      </w:r>
    </w:p>
    <w:p>
      <w:pPr>
        <w:pStyle w:val="2"/>
        <w:bidi w:val="0"/>
        <w:jc w:val="center"/>
        <w:rPr>
          <w:rFonts w:hint="eastAsia"/>
          <w:b/>
          <w:bCs/>
          <w:sz w:val="44"/>
          <w:szCs w:val="44"/>
        </w:rPr>
      </w:pPr>
      <w:r>
        <w:rPr>
          <w:rFonts w:hint="eastAsia"/>
          <w:b/>
          <w:bCs/>
          <w:sz w:val="44"/>
          <w:szCs w:val="44"/>
        </w:rPr>
        <w:t>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color w:val="333333"/>
        </w:rPr>
      </w:pPr>
    </w:p>
    <w:p>
      <w:pPr>
        <w:pStyle w:val="2"/>
        <w:bidi w:val="0"/>
        <w:ind w:firstLine="562" w:firstLineChars="200"/>
        <w:rPr>
          <w:rFonts w:hint="eastAsia" w:asciiTheme="minorEastAsia" w:hAnsiTheme="minorEastAsia" w:eastAsiaTheme="minorEastAsia" w:cstheme="minorEastAsia"/>
          <w:b/>
          <w:bCs/>
          <w:sz w:val="28"/>
          <w:szCs w:val="28"/>
        </w:rPr>
      </w:pPr>
    </w:p>
    <w:p>
      <w:pPr>
        <w:pStyle w:val="2"/>
        <w:keepNext w:val="0"/>
        <w:keepLines w:val="0"/>
        <w:pageBreakBefore w:val="0"/>
        <w:kinsoku/>
        <w:wordWrap/>
        <w:overflowPunct/>
        <w:topLinePunct w:val="0"/>
        <w:autoSpaceDE/>
        <w:autoSpaceDN/>
        <w:bidi w:val="0"/>
        <w:adjustRightInd/>
        <w:spacing w:line="52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一、总体情况</w:t>
      </w:r>
      <w:r>
        <w:rPr>
          <w:rFonts w:hint="eastAsia" w:asciiTheme="minorEastAsia" w:hAnsiTheme="minorEastAsia" w:eastAsiaTheme="minorEastAsia" w:cstheme="minorEastAsia"/>
          <w:sz w:val="28"/>
          <w:szCs w:val="28"/>
        </w:rPr>
        <w:t xml:space="preserve"> </w:t>
      </w:r>
    </w:p>
    <w:p>
      <w:pPr>
        <w:pStyle w:val="2"/>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认真贯彻《中华人民共和国政府信息公开条例》精神按照市县有关文件的规定要求，在加强组织领导、推进制度建设、完善工作机制、规范公开内容形式和程序等方面开展工作，取得积极成效。</w:t>
      </w:r>
    </w:p>
    <w:p>
      <w:pPr>
        <w:keepNext w:val="0"/>
        <w:keepLines w:val="0"/>
        <w:pageBreakBefore w:val="0"/>
        <w:widowControl/>
        <w:suppressLineNumbers w:val="0"/>
        <w:kinsoku/>
        <w:wordWrap/>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作开展情况:一是我局高度重视政府信息公开工作，成立以局长任组长的政府信息公开领导小组，并多次召开专题会议研究部署，将政府信息公开工作落实在局办公室，由办公室具体负责政府信息公开工作的组织、协调、实施和落实工作，并要求各职能股室指定一人专门负责政府信息公开工作。二是按照县政府政务公开的要求，进一步建立健全主动公开、依申请公开、保密审查、协调发布、工作考核、社会评议责任追究等项政府信息公开工作制度，形成了较为完善的政务公开制度体系，做到以制度规范公开行为，用制度约束权力行使;我局及时组织各相关负责人共同讨论研究，编制了《佳木斯市桦川生态环境局政府信息公开目录》和《佳木斯市桦川生态环境局政府信息公开指南》，确定机构职能、政策法规、业务工作、行政职权、审批、收费、执法、环境突发事件预警信息和应急预案等十大类与公众密切相关的信息子以公开。做到既确保政府信息的安全，又利于保障公众的知情权。三是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color w:val="333333"/>
          <w:kern w:val="0"/>
          <w:sz w:val="28"/>
          <w:szCs w:val="28"/>
          <w:lang w:val="en-US" w:eastAsia="zh-CN" w:bidi="ar"/>
        </w:rPr>
        <w:t>年，我局把县政府网站作为信息公开的主要渠道，主动公开项 目审批、环境执法、污染减排等重点环境信息；全年共计公开</w:t>
      </w:r>
      <w:r>
        <w:rPr>
          <w:rFonts w:hint="eastAsia" w:asciiTheme="minorEastAsia" w:hAnsiTheme="minorEastAsia" w:eastAsiaTheme="minorEastAsia" w:cstheme="minorEastAsia"/>
          <w:color w:val="auto"/>
          <w:kern w:val="0"/>
          <w:sz w:val="28"/>
          <w:szCs w:val="28"/>
          <w:lang w:val="en-US" w:eastAsia="zh-CN" w:bidi="ar"/>
        </w:rPr>
        <w:t>62条</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333333"/>
          <w:kern w:val="0"/>
          <w:sz w:val="28"/>
          <w:szCs w:val="28"/>
          <w:lang w:val="en-US" w:eastAsia="zh-CN" w:bidi="ar"/>
        </w:rPr>
        <w:t>（二）制定和落实相关配套措施：</w:t>
      </w:r>
      <w:r>
        <w:rPr>
          <w:rFonts w:hint="eastAsia" w:asciiTheme="minorEastAsia" w:hAnsiTheme="minorEastAsia" w:eastAsiaTheme="minorEastAsia" w:cstheme="minorEastAsia"/>
          <w:color w:val="333333"/>
          <w:kern w:val="0"/>
          <w:sz w:val="28"/>
          <w:szCs w:val="28"/>
          <w:lang w:val="en-US" w:eastAsia="zh-CN" w:bidi="ar"/>
        </w:rPr>
        <w:t>一是建立健全政务公开监督机制，由局领导小组，定期检查与突击检查相结合，明察暗访，对政务公开工作进行全方位检查，对发现的问题及时纠正，边整边改，督促落实。二是重视政府信息公开保密管理工作，认真执行《中华人民共和国保守国家秘密法》和《条例》有关规定，按照“谁公开、谁负责”的原则，建立信息发布保密审查制度，切实履行信息公开前的保密审查职责，对拟公开的政府信息在公开前均应进行保密审查，防止在政府信息公开过程中泄露国家秘密；政府信息公开发布保密审查要遵循合法、合理、适度的原则，做到既能够维护国家秘密安全、又有利于提高政府工作的透明度，促进依法行政；经审查属于国家秘密的信息，政府信息公开发布单位未经批准或授权不得擅自公开。三是建立政府信息公开考核机制，将政府信息公开工作纳入年度绩效指标考核，与其他重要业绩指标同布置、同检查、同考核，做到责任到人，形成一级抓一级、层层抓落实的工作机制。</w:t>
      </w:r>
    </w:p>
    <w:p>
      <w:pPr>
        <w:keepNext w:val="0"/>
        <w:keepLines w:val="0"/>
        <w:pageBreakBefore w:val="0"/>
        <w:widowControl/>
        <w:suppressLineNumbers w:val="0"/>
        <w:kinsoku/>
        <w:wordWrap/>
        <w:overflowPunct/>
        <w:topLinePunct w:val="0"/>
        <w:autoSpaceDE/>
        <w:autoSpaceDN/>
        <w:bidi w:val="0"/>
        <w:adjustRightInd/>
        <w:spacing w:line="560" w:lineRule="exact"/>
        <w:ind w:firstLine="562" w:firstLineChars="200"/>
        <w:jc w:val="left"/>
        <w:textAlignment w:val="auto"/>
        <w:rPr>
          <w:rFonts w:hint="eastAsia"/>
          <w:b/>
          <w:bCs/>
          <w:sz w:val="28"/>
          <w:szCs w:val="28"/>
        </w:rPr>
      </w:pPr>
      <w:r>
        <w:rPr>
          <w:rFonts w:hint="eastAsia" w:asciiTheme="minorEastAsia" w:hAnsiTheme="minorEastAsia" w:eastAsiaTheme="minorEastAsia" w:cstheme="minorEastAsia"/>
          <w:b/>
          <w:bCs/>
          <w:color w:val="333333"/>
          <w:kern w:val="0"/>
          <w:sz w:val="28"/>
          <w:szCs w:val="28"/>
          <w:lang w:val="en-US" w:eastAsia="zh-CN" w:bidi="ar"/>
        </w:rPr>
        <w:t>（三）政府信息公开情况：</w:t>
      </w:r>
      <w:r>
        <w:rPr>
          <w:rFonts w:hint="eastAsia" w:asciiTheme="minorEastAsia" w:hAnsiTheme="minorEastAsia" w:eastAsiaTheme="minorEastAsia" w:cstheme="minorEastAsia"/>
          <w:color w:val="333333"/>
          <w:kern w:val="0"/>
          <w:sz w:val="28"/>
          <w:szCs w:val="28"/>
          <w:lang w:val="en-US" w:eastAsia="zh-CN" w:bidi="ar"/>
        </w:rPr>
        <w:t>一是主动公开情况。2021年，我局把县政府网站作为信息公开的主要渠道，主动公开项目审批、环境执法、污染减排等重点环境信息；公开信息目录仅限于主动公开和依申请公开；公开目录编排体系分为信息名称、信息索引（部门代码、类别代码）、生成日期、发文机构、发文字号等部分；局内目录信息分类齐全，包括：机构职能、行政权力、法律法规、部门文件、环境应急、重点领域环境信息、环境执法、环境信访等。二是依申请公开情况。按依申请 公开信息的要求，通过信件、电子邮件和网络办公等形式公开 受理依申请公开信息;本年度未接收到有关依申请公开政府信息的情况。</w:t>
      </w:r>
    </w:p>
    <w:p>
      <w:pPr>
        <w:pStyle w:val="2"/>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b/>
          <w:bCs/>
          <w:sz w:val="28"/>
          <w:szCs w:val="28"/>
        </w:rPr>
      </w:pPr>
      <w:r>
        <w:rPr>
          <w:rFonts w:hint="eastAsia"/>
          <w:b/>
          <w:bCs/>
          <w:sz w:val="28"/>
          <w:szCs w:val="28"/>
        </w:rPr>
        <w:t>二、主动公开政府信息情况</w:t>
      </w:r>
    </w:p>
    <w:tbl>
      <w:tblPr>
        <w:tblStyle w:val="5"/>
        <w:tblpPr w:leftFromText="180" w:rightFromText="180" w:vertAnchor="text" w:horzAnchor="page" w:tblpX="1166" w:tblpY="413"/>
        <w:tblOverlap w:val="never"/>
        <w:tblW w:w="973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center" w:pos="4867"/>
                <w:tab w:val="left" w:pos="6208"/>
              </w:tabs>
              <w:spacing w:before="0" w:beforeAutospacing="0" w:after="0" w:afterAutospacing="0"/>
              <w:ind w:left="0" w:right="0"/>
              <w:jc w:val="left"/>
              <w:rPr>
                <w:rFonts w:hint="default"/>
                <w:highlight w:val="none"/>
                <w:shd w:val="clear" w:color="auto" w:fill="auto"/>
              </w:rPr>
            </w:pPr>
            <w:r>
              <w:rPr>
                <w:rFonts w:hint="default" w:ascii="宋体" w:hAnsi="宋体" w:eastAsia="宋体" w:cs="宋体"/>
                <w:color w:val="000000"/>
                <w:sz w:val="19"/>
                <w:szCs w:val="19"/>
                <w:highlight w:val="none"/>
                <w:shd w:val="clear" w:color="auto" w:fill="auto"/>
              </w:rPr>
              <w:tab/>
            </w:r>
            <w:r>
              <w:rPr>
                <w:rFonts w:hint="eastAsia" w:ascii="宋体" w:hAnsi="宋体" w:eastAsia="宋体" w:cs="宋体"/>
                <w:color w:val="000000"/>
                <w:sz w:val="19"/>
                <w:szCs w:val="19"/>
                <w:highlight w:val="none"/>
                <w:shd w:val="clear" w:color="auto" w:fill="auto"/>
              </w:rPr>
              <w:t>第二十条第（一）项</w:t>
            </w:r>
            <w:r>
              <w:rPr>
                <w:rFonts w:hint="default" w:ascii="宋体" w:hAnsi="宋体" w:eastAsia="宋体" w:cs="宋体"/>
                <w:color w:val="000000"/>
                <w:sz w:val="19"/>
                <w:szCs w:val="19"/>
                <w:highlight w:val="none"/>
                <w:shd w:val="clear" w:color="auto" w:fill="auto"/>
              </w:rPr>
              <w:tab/>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本年</w:t>
            </w:r>
            <w:r>
              <w:rPr>
                <w:rFonts w:hint="eastAsia" w:ascii="宋体" w:hAnsi="宋体" w:eastAsia="宋体" w:cs="宋体"/>
                <w:sz w:val="19"/>
                <w:szCs w:val="19"/>
                <w:highlight w:val="none"/>
                <w:shd w:val="clear" w:color="auto" w:fill="auto"/>
              </w:rPr>
              <w:t>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本年废止件数</w:t>
            </w:r>
          </w:p>
        </w:tc>
        <w:tc>
          <w:tcPr>
            <w:tcW w:w="24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现行有效件</w:t>
            </w:r>
            <w:r>
              <w:rPr>
                <w:rFonts w:hint="eastAsia" w:ascii="宋体" w:hAnsi="宋体" w:eastAsia="宋体" w:cs="宋体"/>
                <w:sz w:val="19"/>
                <w:szCs w:val="19"/>
                <w:highlight w:val="none"/>
                <w:shd w:val="clear" w:color="auto" w:fill="auto"/>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default" w:eastAsia="宋体"/>
                <w:lang w:val="en-US" w:eastAsia="zh-CN"/>
              </w:rPr>
            </w:pPr>
            <w:r>
              <w:rPr>
                <w:rFonts w:hint="eastAsia"/>
                <w:lang w:val="en-US" w:eastAsia="zh-CN"/>
              </w:rPr>
              <w:t>19</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8</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color w:val="00000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line="240" w:lineRule="auto"/>
              <w:ind w:left="0" w:right="0"/>
              <w:jc w:val="left"/>
              <w:rPr>
                <w:rFonts w:hint="eastAsia" w:eastAsia="宋体"/>
                <w:lang w:val="en-US" w:eastAsia="zh-CN"/>
              </w:rPr>
            </w:pPr>
            <w:r>
              <w:rPr>
                <w:rFonts w:hint="eastAsia"/>
                <w:lang w:val="en-US" w:eastAsia="zh-CN"/>
              </w:rPr>
              <w:t>0</w:t>
            </w:r>
          </w:p>
        </w:tc>
      </w:tr>
    </w:tbl>
    <w:p>
      <w:pPr>
        <w:bidi w:val="0"/>
        <w:rPr>
          <w:rFonts w:hint="eastAsia"/>
        </w:rPr>
      </w:pPr>
    </w:p>
    <w:p>
      <w:pPr>
        <w:bidi w:val="0"/>
        <w:rPr>
          <w:rFonts w:hint="eastAsia"/>
        </w:rPr>
      </w:pPr>
    </w:p>
    <w:p>
      <w:pPr>
        <w:bidi w:val="0"/>
        <w:ind w:firstLine="281" w:firstLineChars="100"/>
        <w:rPr>
          <w:rFonts w:hint="eastAsia"/>
          <w:b/>
          <w:bCs/>
          <w:sz w:val="28"/>
          <w:szCs w:val="28"/>
        </w:rPr>
      </w:pPr>
      <w:r>
        <w:rPr>
          <w:rFonts w:hint="eastAsia"/>
          <w:b/>
          <w:bCs/>
          <w:sz w:val="28"/>
          <w:szCs w:val="28"/>
        </w:rPr>
        <w:t>三、收到和处理政府信息公开申请情况</w:t>
      </w:r>
    </w:p>
    <w:tbl>
      <w:tblPr>
        <w:tblStyle w:val="5"/>
        <w:tblpPr w:leftFromText="180" w:rightFromText="180" w:vertAnchor="text" w:horzAnchor="page" w:tblpX="1256" w:tblpY="29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bidi w:val="0"/>
            </w:pPr>
            <w:r>
              <w:rPr>
                <w:rFonts w:hint="eastAsia"/>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bidi w:val="0"/>
            </w:pPr>
            <w:r>
              <w:rPr>
                <w:rFonts w:hint="eastAsia"/>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240" w:lineRule="auto"/>
              <w:rPr>
                <w:rFonts w:hint="eastAsia" w:ascii="宋体"/>
                <w:sz w:val="24"/>
                <w:szCs w:val="24"/>
              </w:rPr>
            </w:pPr>
          </w:p>
        </w:tc>
        <w:tc>
          <w:tcPr>
            <w:tcW w:w="692"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240" w:lineRule="auto"/>
              <w:rPr>
                <w:rFonts w:hint="eastAsia" w:ascii="宋体"/>
                <w:sz w:val="24"/>
                <w:szCs w:val="24"/>
              </w:rPr>
            </w:pPr>
          </w:p>
        </w:tc>
        <w:tc>
          <w:tcPr>
            <w:tcW w:w="692"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240" w:lineRule="auto"/>
              <w:rPr>
                <w:rFonts w:hint="eastAsia" w:ascii="宋体"/>
                <w:sz w:val="24"/>
                <w:szCs w:val="24"/>
              </w:rPr>
            </w:pP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商业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企业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科研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240" w:lineRule="auto"/>
              <w:rPr>
                <w:rFonts w:hint="eastAsia" w:ascii="宋体"/>
                <w:sz w:val="24"/>
                <w:szCs w:val="24"/>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（一）予以公开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（二）部分公开</w:t>
            </w:r>
            <w:r>
              <w:rPr>
                <w:rFonts w:hint="eastAsia" w:ascii="楷体" w:hAnsi="楷体" w:eastAsia="楷体" w:cs="楷体"/>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（三）不予公开</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1.属于国家秘密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2.其他法律行政法规禁止公开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3.危及“三安全一稳定”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4.保护第三方合法权益</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5.属于三类内部事务信息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6.属于四类过程性信息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7.属于行政执法案卷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8.属于行政查询事项</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（四）无法提供</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1.本机关不掌握相关政府信息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2.没有现成信息需要另行制作</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3.补正后申请内容仍不明确</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（五）不予处理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1.信访举报投诉类申请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3.要求提供公开出版物</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4.无正当理由大量反复申请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（六）其他处理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3.其他</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（七）总计</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四、结转下年度继续办理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pPr>
            <w:r>
              <w:rPr>
                <w:rFonts w:hint="eastAsia"/>
                <w:lang w:val="en-US" w:eastAsia="zh-CN"/>
              </w:rPr>
              <w:t>0</w:t>
            </w:r>
          </w:p>
        </w:tc>
      </w:tr>
    </w:tbl>
    <w:p>
      <w:pPr>
        <w:pStyle w:val="2"/>
        <w:bidi w:val="0"/>
        <w:rPr>
          <w:rFonts w:hint="eastAsia"/>
        </w:rPr>
      </w:pPr>
    </w:p>
    <w:p>
      <w:pPr>
        <w:pStyle w:val="2"/>
        <w:bidi w:val="0"/>
        <w:rPr>
          <w:rFonts w:hint="eastAsia"/>
          <w:b/>
          <w:bCs/>
          <w:sz w:val="28"/>
          <w:szCs w:val="28"/>
        </w:rPr>
      </w:pPr>
    </w:p>
    <w:p>
      <w:pPr>
        <w:pStyle w:val="2"/>
        <w:numPr>
          <w:ilvl w:val="0"/>
          <w:numId w:val="0"/>
        </w:numPr>
        <w:bidi w:val="0"/>
        <w:ind w:firstLine="281" w:firstLineChars="100"/>
        <w:rPr>
          <w:rFonts w:hint="eastAsia"/>
          <w:b/>
          <w:bCs/>
          <w:sz w:val="28"/>
          <w:szCs w:val="28"/>
        </w:rPr>
      </w:pPr>
      <w:r>
        <w:rPr>
          <w:rFonts w:hint="eastAsia"/>
          <w:b/>
          <w:bCs/>
          <w:sz w:val="28"/>
          <w:szCs w:val="28"/>
          <w:lang w:eastAsia="zh-CN"/>
        </w:rPr>
        <w:t>四、</w:t>
      </w:r>
      <w:r>
        <w:rPr>
          <w:rFonts w:hint="eastAsia"/>
          <w:b/>
          <w:bCs/>
          <w:sz w:val="28"/>
          <w:szCs w:val="28"/>
        </w:rPr>
        <w:t>政府信息公开行政复议、行政诉讼情况</w:t>
      </w:r>
    </w:p>
    <w:p>
      <w:pPr>
        <w:pStyle w:val="2"/>
        <w:numPr>
          <w:ilvl w:val="0"/>
          <w:numId w:val="0"/>
        </w:numPr>
        <w:bidi w:val="0"/>
        <w:rPr>
          <w:rFonts w:hint="eastAsia"/>
          <w:b/>
          <w:bCs/>
          <w:sz w:val="28"/>
          <w:szCs w:val="28"/>
        </w:rPr>
      </w:pPr>
    </w:p>
    <w:tbl>
      <w:tblPr>
        <w:tblStyle w:val="5"/>
        <w:tblpPr w:leftFromText="180" w:rightFromText="180" w:vertAnchor="text" w:horzAnchor="page" w:tblpX="1202" w:tblpY="20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其他</w:t>
            </w:r>
            <w:r>
              <w:rPr>
                <w:sz w:val="19"/>
                <w:szCs w:val="19"/>
              </w:rPr>
              <w:br w:type="textWrapping"/>
            </w:r>
            <w:r>
              <w:rPr>
                <w:rFonts w:hint="eastAsia" w:ascii="宋体" w:hAnsi="宋体" w:eastAsia="宋体" w:cs="宋体"/>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维持</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其他</w:t>
            </w:r>
            <w:r>
              <w:rPr>
                <w:sz w:val="19"/>
                <w:szCs w:val="19"/>
              </w:rPr>
              <w:br w:type="textWrapping"/>
            </w:r>
            <w:r>
              <w:rPr>
                <w:rFonts w:hint="eastAsia" w:ascii="宋体" w:hAnsi="宋体" w:eastAsia="宋体" w:cs="宋体"/>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其他</w:t>
            </w:r>
            <w:r>
              <w:rPr>
                <w:color w:val="000000"/>
                <w:sz w:val="19"/>
                <w:szCs w:val="19"/>
              </w:rPr>
              <w:br w:type="textWrapping"/>
            </w:r>
            <w:r>
              <w:rPr>
                <w:rFonts w:hint="eastAsia" w:ascii="宋体" w:hAnsi="宋体" w:eastAsia="宋体" w:cs="宋体"/>
                <w:color w:val="00000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lang w:val="en-US" w:eastAsia="zh-CN"/>
              </w:rPr>
              <w:t>0</w:t>
            </w:r>
          </w:p>
        </w:tc>
      </w:tr>
    </w:tbl>
    <w:p>
      <w:pPr>
        <w:pStyle w:val="2"/>
        <w:numPr>
          <w:ilvl w:val="0"/>
          <w:numId w:val="0"/>
        </w:numPr>
        <w:bidi w:val="0"/>
        <w:ind w:firstLine="562" w:firstLineChars="200"/>
      </w:pPr>
      <w:r>
        <w:rPr>
          <w:rFonts w:hint="eastAsia"/>
          <w:b/>
          <w:bCs/>
          <w:sz w:val="28"/>
          <w:szCs w:val="28"/>
          <w:lang w:eastAsia="zh-CN"/>
        </w:rPr>
        <w:t>五、</w:t>
      </w:r>
      <w:r>
        <w:rPr>
          <w:rFonts w:hint="eastAsia"/>
          <w:b/>
          <w:bCs/>
          <w:sz w:val="28"/>
          <w:szCs w:val="28"/>
        </w:rPr>
        <w:t>存在的主要问题及改进情况</w:t>
      </w:r>
    </w:p>
    <w:p>
      <w:pPr>
        <w:pStyle w:val="2"/>
        <w:numPr>
          <w:ilvl w:val="0"/>
          <w:numId w:val="0"/>
        </w:numPr>
        <w:bidi w:val="0"/>
        <w:ind w:firstLine="620" w:firstLineChars="200"/>
      </w:pPr>
      <w:r>
        <w:rPr>
          <w:rFonts w:ascii="仿宋" w:hAnsi="仿宋" w:eastAsia="仿宋" w:cs="仿宋"/>
          <w:color w:val="000000"/>
          <w:kern w:val="0"/>
          <w:sz w:val="31"/>
          <w:szCs w:val="31"/>
          <w:lang w:val="en-US" w:eastAsia="zh-CN" w:bidi="ar"/>
        </w:rPr>
        <w:t>主要是</w:t>
      </w:r>
      <w:r>
        <w:rPr>
          <w:rFonts w:hint="eastAsia" w:ascii="仿宋" w:hAnsi="仿宋" w:eastAsia="仿宋" w:cs="仿宋"/>
          <w:color w:val="333333"/>
          <w:kern w:val="0"/>
          <w:sz w:val="31"/>
          <w:szCs w:val="31"/>
          <w:lang w:val="en-US" w:eastAsia="zh-CN" w:bidi="ar"/>
        </w:rPr>
        <w:t>信息公开报送不及时，今后严格按照要求及落实信息员及时报送信息，提高报送信息质量。</w:t>
      </w:r>
    </w:p>
    <w:p>
      <w:pPr>
        <w:pStyle w:val="2"/>
        <w:bidi w:val="0"/>
        <w:ind w:firstLine="562" w:firstLineChars="200"/>
        <w:rPr>
          <w:rFonts w:hint="eastAsia"/>
          <w:b/>
          <w:bCs/>
          <w:sz w:val="28"/>
          <w:szCs w:val="28"/>
        </w:rPr>
      </w:pPr>
      <w:r>
        <w:rPr>
          <w:rFonts w:hint="eastAsia"/>
          <w:b/>
          <w:bCs/>
          <w:sz w:val="28"/>
          <w:szCs w:val="28"/>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jc w:val="both"/>
        <w:textAlignment w:val="auto"/>
        <w:rPr>
          <w:rFonts w:hint="default" w:ascii="仿宋" w:hAnsi="仿宋" w:eastAsia="仿宋" w:cs="仿宋"/>
          <w:b w:val="0"/>
          <w:bCs w:val="0"/>
          <w:i w:val="0"/>
          <w:caps w:val="0"/>
          <w:color w:val="auto"/>
          <w:spacing w:val="8"/>
          <w:sz w:val="32"/>
          <w:szCs w:val="32"/>
          <w:lang w:val="en-US" w:eastAsia="zh-CN"/>
        </w:rPr>
      </w:pPr>
      <w:r>
        <w:rPr>
          <w:rFonts w:hint="eastAsia" w:ascii="仿宋" w:hAnsi="仿宋" w:eastAsia="仿宋" w:cs="仿宋"/>
          <w:color w:val="333333"/>
          <w:kern w:val="0"/>
          <w:sz w:val="31"/>
          <w:szCs w:val="31"/>
          <w:lang w:val="en-US" w:eastAsia="zh-CN" w:bidi="ar"/>
        </w:rPr>
        <w:t>无</w:t>
      </w:r>
    </w:p>
    <w:p/>
    <w:bookmarkEnd w:id="0"/>
    <w:sectPr>
      <w:headerReference r:id="rId3" w:type="default"/>
      <w:footerReference r:id="rId4" w:type="default"/>
      <w:pgSz w:w="11906" w:h="16838"/>
      <w:pgMar w:top="1383" w:right="1800" w:bottom="1383" w:left="1800"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D62CC"/>
    <w:rsid w:val="13997D6F"/>
    <w:rsid w:val="3A7D62CC"/>
    <w:rsid w:val="5A85215F"/>
    <w:rsid w:val="5EE1600F"/>
    <w:rsid w:val="7E972048"/>
    <w:rsid w:val="E7C7D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2022-01-13T10:51:00Z</dcterms:created>
  <dc:creator>Administrator</dc:creator>
  <cp:lastModifiedBy>greatwall</cp:lastModifiedBy>
  <dcterms:modified xsi:type="dcterms:W3CDTF">2022-01-21T16:34:08Z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2F8BE439A8A14E82A1FE3D4F49E939D9</vt:lpwstr>
  </property>
</Properties>
</file>