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桦川县营商环境建设监督局202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政府信息公开工作年度报告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年，桦川县营商环境建设监督局认真贯彻执行《中华人民共和国 政府信息公开条例》（以下简称《条例》），将深入推行政府信息公开工作作为提高行政效能，构建人民群众满意型政府机构的重要手段，采取有效措施，建立和完善各项制度、深化政务公开内容、报告全文由总体情况、主动公开政府信息情况、收到和处理政府信息公开申请情况，政府信息公开行政复议、行政诉讼情况，存在的主要问题及改进情况等五部分组成。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桦川县营商环境建设监督局提高政治站位，加强组织领导，增强思想认识，强化责任落实，将其摆上局重要议事范围，作为2021年度重要工作来抓，与业务工作同部署、同安排、同推进。同时我局成立以局长为组长，分管副职任副组长的政府信息公开工作领导小组，并安排专人负责政府信息公开工作，做到专人、专事，确保局政府信息公开工作更加高效，规范运行。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严格履行义务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条例》明确的公开重点，全面公开了规范性文件、重大决策、发展规划等内容。针对公开项目的不同情况，确定公开时间，做到常规性工作定期公开，临时性工作随时公开，固定性工作长期公开。坚持把群众最关心、最需要了解的事项公开作为政务公开的重点，加大推行政府信息公开的力度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（三）网上公开，加强透明度。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按照省、市、县营商环境建设工作要求，县营商局在县政府信息网公开了县营商环境投诉举报电话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0454-3830288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。同时，开设“涉企公开”专栏。加大涉企政务信息公开力度，发布涉企信息33条，发布“放管服”改革信息38条，让企业充分享受政策红利。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加强学习宣传，营造浓厚氛围。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及时在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政府门户网站政府公开专栏和“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营在佳木斯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”微信公众号上及时公布工作动态和政策解读，方便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企业、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群众更好地了解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成效，也为群众办事提供了极大的便利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2021年通过“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营在佳木斯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”微信公众号发布信息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佳木斯日报发布信息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2条、桦川印象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发布信息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10条、省级媒体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发布信息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bidi w:val="0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</w:p>
    <w:p>
      <w:pPr>
        <w:pStyle w:val="2"/>
        <w:numPr>
          <w:ilvl w:val="0"/>
          <w:numId w:val="0"/>
        </w:numPr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bidi w:val="0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政府信息公开行政复议、行政诉讼情况</w:t>
      </w:r>
    </w:p>
    <w:tbl>
      <w:tblPr>
        <w:tblStyle w:val="4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桦川县营商环境建设监督局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政府信息公开工作在广度和深度上都得到一定程度的增强，但由于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我局在实际工作中无行政权力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，可主动公开信息种类偏少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一些公开的内容还需进一步深化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信息公开工作配套制度还需进一步完善；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今后工作中，我局将针对这些问题，认真研究加以解决，通过继续加强信息公开制度建设，加强业务指导和培训；进一步增强对信息公开工作的责任感，以县政府门户网站、佳木斯市政务服务网不断充实公开内容，严把信息公开质量，加大信息公开宣传力度，以满足群众对政府信息日益增长的需求，让群众切实感受到政府信息公开带来的便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其他需报告事项。</w:t>
      </w:r>
    </w:p>
    <w:p>
      <w:pPr>
        <w:pStyle w:val="2"/>
        <w:bidi w:val="0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40F93"/>
    <w:rsid w:val="04C74740"/>
    <w:rsid w:val="05340F93"/>
    <w:rsid w:val="053E0EA6"/>
    <w:rsid w:val="058D14E6"/>
    <w:rsid w:val="0A00497C"/>
    <w:rsid w:val="12B46304"/>
    <w:rsid w:val="17EE4066"/>
    <w:rsid w:val="1ECC5632"/>
    <w:rsid w:val="26D46B1D"/>
    <w:rsid w:val="2F8C0420"/>
    <w:rsid w:val="3B4E4C98"/>
    <w:rsid w:val="3FE94F8F"/>
    <w:rsid w:val="4A722025"/>
    <w:rsid w:val="4C2B661C"/>
    <w:rsid w:val="4E0F02B7"/>
    <w:rsid w:val="57863BBD"/>
    <w:rsid w:val="5C6C2D78"/>
    <w:rsid w:val="5D30024A"/>
    <w:rsid w:val="6A570BC4"/>
    <w:rsid w:val="77D47CF8"/>
    <w:rsid w:val="7BF32717"/>
    <w:rsid w:val="7C4C4F2B"/>
    <w:rsid w:val="7DFFAF15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dlspan5"/>
    <w:basedOn w:val="5"/>
    <w:qFormat/>
    <w:uiPriority w:val="0"/>
  </w:style>
  <w:style w:type="character" w:customStyle="1" w:styleId="9">
    <w:name w:val="dlspan6"/>
    <w:basedOn w:val="5"/>
    <w:qFormat/>
    <w:uiPriority w:val="0"/>
  </w:style>
  <w:style w:type="character" w:customStyle="1" w:styleId="10">
    <w:name w:val="dlspan4"/>
    <w:basedOn w:val="5"/>
    <w:qFormat/>
    <w:uiPriority w:val="0"/>
  </w:style>
  <w:style w:type="character" w:customStyle="1" w:styleId="11">
    <w:name w:val="dlspan2&gt;a"/>
    <w:basedOn w:val="5"/>
    <w:qFormat/>
    <w:uiPriority w:val="0"/>
  </w:style>
  <w:style w:type="character" w:customStyle="1" w:styleId="12">
    <w:name w:val="dlspan1"/>
    <w:basedOn w:val="5"/>
    <w:qFormat/>
    <w:uiPriority w:val="0"/>
  </w:style>
  <w:style w:type="character" w:customStyle="1" w:styleId="13">
    <w:name w:val="disabled"/>
    <w:basedOn w:val="5"/>
    <w:qFormat/>
    <w:uiPriority w:val="0"/>
    <w:rPr>
      <w:color w:val="CCCCCC"/>
      <w:bdr w:val="single" w:color="F5F5F5" w:sz="6" w:space="0"/>
    </w:rPr>
  </w:style>
  <w:style w:type="character" w:customStyle="1" w:styleId="14">
    <w:name w:val="dlspan3"/>
    <w:basedOn w:val="5"/>
    <w:qFormat/>
    <w:uiPriority w:val="0"/>
  </w:style>
  <w:style w:type="character" w:customStyle="1" w:styleId="15">
    <w:name w:val="dlspan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2022-01-13T14:33:00Z</dcterms:created>
  <dc:creator>张湃</dc:creator>
  <cp:lastModifiedBy>greatwall</cp:lastModifiedBy>
  <dcterms:modified xsi:type="dcterms:W3CDTF">2022-01-21T16:00:39Z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25FF9E67532A41F88AFB462333D043E0</vt:lpwstr>
  </property>
</Properties>
</file>