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line="420" w:lineRule="atLeast"/>
        <w:ind w:firstLine="420"/>
        <w:jc w:val="both"/>
        <w:rPr>
          <w:rFonts w:ascii="宋体" w:hAnsi="宋体" w:cs="宋体"/>
          <w:color w:val="333333"/>
        </w:rPr>
      </w:pPr>
    </w:p>
    <w:p>
      <w:pPr>
        <w:pStyle w:val="2"/>
        <w:jc w:val="center"/>
        <w:rPr>
          <w:sz w:val="44"/>
          <w:szCs w:val="44"/>
        </w:rPr>
      </w:pPr>
      <w:r>
        <w:rPr>
          <w:rFonts w:hint="eastAsia"/>
          <w:sz w:val="44"/>
          <w:szCs w:val="44"/>
        </w:rPr>
        <w:t>桦川县医疗保障局</w:t>
      </w:r>
      <w:r>
        <w:rPr>
          <w:rFonts w:hint="default"/>
          <w:sz w:val="44"/>
          <w:szCs w:val="44"/>
        </w:rPr>
        <w:t>2021年政府</w:t>
      </w:r>
      <w:r>
        <w:rPr>
          <w:rFonts w:hint="eastAsia"/>
          <w:sz w:val="44"/>
          <w:szCs w:val="44"/>
        </w:rPr>
        <w:t>信息公开工作年度报告</w:t>
      </w:r>
    </w:p>
    <w:p>
      <w:pPr>
        <w:pStyle w:val="3"/>
        <w:widowControl/>
        <w:shd w:val="clear" w:color="auto" w:fill="FFFFFF"/>
        <w:spacing w:before="0" w:beforeAutospacing="0" w:after="0" w:afterAutospacing="0" w:line="420" w:lineRule="atLeast"/>
        <w:ind w:firstLine="420"/>
        <w:jc w:val="center"/>
        <w:rPr>
          <w:rFonts w:ascii="宋体" w:hAnsi="宋体" w:cs="宋体"/>
          <w:color w:val="333333"/>
        </w:rPr>
      </w:pPr>
    </w:p>
    <w:p>
      <w:pPr>
        <w:pStyle w:val="2"/>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一、总体情况</w:t>
      </w:r>
    </w:p>
    <w:p>
      <w:pPr>
        <w:pStyle w:val="7"/>
        <w:tabs>
          <w:tab w:val="left" w:pos="615"/>
        </w:tabs>
        <w:spacing w:line="600" w:lineRule="exact"/>
        <w:ind w:firstLine="642" w:firstLineChars="200"/>
        <w:rPr>
          <w:rFonts w:hint="eastAsia" w:ascii="黑体" w:hAnsi="黑体" w:eastAsia="黑体" w:cs="黑体"/>
          <w:b/>
          <w:bCs/>
          <w:color w:val="000000"/>
          <w:kern w:val="0"/>
        </w:rPr>
      </w:pPr>
      <w:r>
        <w:rPr>
          <w:rFonts w:hint="eastAsia" w:ascii="黑体" w:hAnsi="黑体" w:eastAsia="黑体" w:cs="黑体"/>
          <w:b/>
          <w:bCs/>
          <w:color w:val="000000"/>
          <w:kern w:val="0"/>
        </w:rPr>
        <w:t>1.基本情况</w:t>
      </w:r>
    </w:p>
    <w:p>
      <w:pPr>
        <w:spacing w:afterLines="50"/>
        <w:ind w:firstLine="640" w:firstLineChars="200"/>
        <w:jc w:val="left"/>
        <w:rPr>
          <w:rFonts w:hint="eastAsia" w:ascii="黑体" w:hAnsi="黑体" w:eastAsia="黑体" w:cs="黑体"/>
          <w:color w:val="000000"/>
          <w:kern w:val="0"/>
          <w:sz w:val="32"/>
          <w:szCs w:val="32"/>
        </w:rPr>
      </w:pPr>
      <w:r>
        <w:rPr>
          <w:rFonts w:hint="eastAsia" w:ascii="仿宋" w:hAnsi="仿宋" w:eastAsia="仿宋" w:cs="仿宋"/>
          <w:color w:val="000000"/>
          <w:kern w:val="0"/>
          <w:sz w:val="32"/>
          <w:szCs w:val="32"/>
        </w:rPr>
        <w:t>桦川县医疗保障局，机构规格为正科级，行政编制5个，设局长（正科级）1名，副局长（副科级）1名，其余3名人员已全部配齐。核定内设岗位4个，分别是：办公室岗位、待遇保障管理岗位、医药价格和招标采购岗位、基金监管岗位。下设事业单位1家：桦川县医疗保险服务中心，机构规格为副科级,设主任（副科级）1名，目前空缺，但有1名副科级干部（原医保局副局长）。医疗保险服务中心配备事业编制28名，现有在编在岗工作人员17名，现空编11名，借调人员7名，借调人员编制尚未安置。核定内设机构5个，分别是：综合股、内控审核股、参保登记股、基金财务股、医药费用结算股。</w:t>
      </w:r>
    </w:p>
    <w:p>
      <w:pPr>
        <w:pStyle w:val="7"/>
        <w:tabs>
          <w:tab w:val="left" w:pos="615"/>
        </w:tabs>
        <w:spacing w:line="600" w:lineRule="exact"/>
        <w:ind w:firstLine="963" w:firstLineChars="300"/>
        <w:rPr>
          <w:rFonts w:hint="eastAsia" w:ascii="黑体" w:hAnsi="黑体" w:eastAsia="黑体" w:cs="黑体"/>
          <w:b/>
          <w:bCs/>
          <w:color w:val="000000"/>
          <w:kern w:val="0"/>
        </w:rPr>
      </w:pPr>
      <w:r>
        <w:rPr>
          <w:rFonts w:hint="eastAsia" w:ascii="黑体" w:hAnsi="黑体" w:eastAsia="黑体" w:cs="黑体"/>
          <w:b/>
          <w:bCs/>
          <w:color w:val="000000"/>
          <w:kern w:val="0"/>
        </w:rPr>
        <w:t>2.基金运行情况：</w:t>
      </w:r>
    </w:p>
    <w:p>
      <w:pPr>
        <w:pStyle w:val="3"/>
        <w:widowControl/>
        <w:shd w:val="clear" w:color="auto" w:fill="FFFFFF"/>
        <w:spacing w:before="0" w:beforeAutospacing="0" w:after="0" w:afterAutospacing="0" w:line="600" w:lineRule="exact"/>
        <w:ind w:firstLine="642" w:firstLineChars="200"/>
        <w:rPr>
          <w:rFonts w:ascii="仿宋" w:hAnsi="仿宋" w:eastAsia="仿宋" w:cs="仿宋"/>
          <w:color w:val="000000"/>
          <w:sz w:val="32"/>
          <w:szCs w:val="32"/>
        </w:rPr>
      </w:pPr>
      <w:r>
        <w:rPr>
          <w:rFonts w:hint="eastAsia" w:ascii="仿宋" w:hAnsi="仿宋" w:eastAsia="仿宋" w:cs="仿宋"/>
          <w:b/>
          <w:bCs/>
          <w:color w:val="000000"/>
          <w:sz w:val="32"/>
          <w:szCs w:val="32"/>
        </w:rPr>
        <w:t>（一）城乡居民基本医保基金</w:t>
      </w:r>
      <w:r>
        <w:rPr>
          <w:rFonts w:hint="eastAsia" w:ascii="仿宋" w:hAnsi="仿宋" w:eastAsia="仿宋" w:cs="仿宋"/>
          <w:color w:val="000000"/>
          <w:sz w:val="32"/>
          <w:szCs w:val="32"/>
        </w:rPr>
        <w:t>。截至2021年9月城乡居民基本医疗参保人数为</w:t>
      </w:r>
      <w:r>
        <w:rPr>
          <w:rFonts w:hint="eastAsia" w:ascii="仿宋_GB2312" w:hAnsi="仿宋_GB2312" w:eastAsia="仿宋_GB2312" w:cs="仿宋_GB2312"/>
          <w:sz w:val="32"/>
          <w:szCs w:val="32"/>
          <w:shd w:val="clear" w:color="auto" w:fill="FFFFFF"/>
        </w:rPr>
        <w:t>139182</w:t>
      </w:r>
      <w:r>
        <w:rPr>
          <w:rFonts w:hint="eastAsia" w:ascii="仿宋" w:hAnsi="仿宋" w:eastAsia="仿宋" w:cs="仿宋"/>
          <w:color w:val="000000"/>
          <w:sz w:val="32"/>
          <w:szCs w:val="32"/>
        </w:rPr>
        <w:t>人；累计结余医保基金3383.43万元。</w:t>
      </w:r>
    </w:p>
    <w:p>
      <w:pPr>
        <w:pStyle w:val="3"/>
        <w:widowControl/>
        <w:shd w:val="clear" w:color="auto" w:fill="FFFFFF"/>
        <w:spacing w:before="0" w:beforeAutospacing="0" w:after="0" w:afterAutospacing="0" w:line="600" w:lineRule="exact"/>
        <w:ind w:firstLine="642"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（二）职工基本医疗保险基金</w:t>
      </w:r>
      <w:r>
        <w:rPr>
          <w:rFonts w:hint="eastAsia" w:ascii="仿宋" w:hAnsi="仿宋" w:eastAsia="仿宋" w:cs="仿宋"/>
          <w:color w:val="000000"/>
          <w:sz w:val="32"/>
          <w:szCs w:val="32"/>
        </w:rPr>
        <w:t>。截至2021年9月参保人数为</w:t>
      </w:r>
      <w:r>
        <w:rPr>
          <w:rFonts w:hint="eastAsia" w:ascii="仿宋" w:hAnsi="仿宋" w:eastAsia="仿宋" w:cs="仿宋_GB2312"/>
          <w:sz w:val="32"/>
          <w:szCs w:val="32"/>
          <w:shd w:val="clear" w:color="auto" w:fill="FFFFFF"/>
        </w:rPr>
        <w:t>14153</w:t>
      </w:r>
      <w:r>
        <w:rPr>
          <w:rFonts w:hint="eastAsia" w:ascii="仿宋" w:hAnsi="仿宋" w:eastAsia="仿宋" w:cs="仿宋"/>
          <w:color w:val="000000"/>
          <w:sz w:val="32"/>
          <w:szCs w:val="32"/>
        </w:rPr>
        <w:t>人，</w:t>
      </w:r>
      <w:r>
        <w:rPr>
          <w:rFonts w:hint="eastAsia" w:ascii="仿宋" w:hAnsi="仿宋" w:eastAsia="仿宋"/>
          <w:sz w:val="32"/>
          <w:szCs w:val="32"/>
        </w:rPr>
        <w:t>职工统筹基金累计结余7468.66万元，职工个人账户基金结余2365.28万元，职工大病基金累计结余679.79万元</w:t>
      </w:r>
      <w:r>
        <w:rPr>
          <w:rFonts w:hint="eastAsia" w:ascii="仿宋" w:hAnsi="仿宋" w:eastAsia="仿宋" w:cs="仿宋"/>
          <w:color w:val="000000"/>
          <w:sz w:val="32"/>
          <w:szCs w:val="32"/>
        </w:rPr>
        <w:t>。</w:t>
      </w:r>
    </w:p>
    <w:p>
      <w:pPr>
        <w:pStyle w:val="3"/>
        <w:widowControl/>
        <w:shd w:val="clear" w:color="auto" w:fill="FFFFFF"/>
        <w:spacing w:before="0" w:beforeAutospacing="0" w:after="0" w:afterAutospacing="0" w:line="600" w:lineRule="exact"/>
        <w:ind w:firstLine="642" w:firstLineChars="200"/>
        <w:rPr>
          <w:rFonts w:ascii="仿宋" w:hAnsi="仿宋" w:eastAsia="仿宋" w:cs="仿宋"/>
          <w:color w:val="000000"/>
          <w:sz w:val="32"/>
          <w:szCs w:val="32"/>
        </w:rPr>
      </w:pPr>
      <w:r>
        <w:rPr>
          <w:rFonts w:hint="eastAsia" w:ascii="仿宋" w:hAnsi="仿宋" w:eastAsia="仿宋" w:cs="仿宋"/>
          <w:b/>
          <w:bCs/>
          <w:color w:val="000000"/>
          <w:sz w:val="32"/>
          <w:szCs w:val="32"/>
        </w:rPr>
        <w:t>（三）离休伤残人员基金</w:t>
      </w:r>
      <w:r>
        <w:rPr>
          <w:rFonts w:hint="eastAsia" w:ascii="仿宋" w:hAnsi="仿宋" w:eastAsia="仿宋" w:cs="仿宋"/>
          <w:color w:val="000000"/>
          <w:sz w:val="32"/>
          <w:szCs w:val="32"/>
        </w:rPr>
        <w:t>。截至2021年9月</w:t>
      </w:r>
      <w:r>
        <w:rPr>
          <w:rFonts w:hint="eastAsia" w:ascii="仿宋" w:hAnsi="仿宋" w:eastAsia="仿宋"/>
          <w:sz w:val="32"/>
          <w:szCs w:val="32"/>
        </w:rPr>
        <w:t>离休伤残基金累计结余96.87万元。</w:t>
      </w:r>
    </w:p>
    <w:p>
      <w:pPr>
        <w:pStyle w:val="3"/>
        <w:widowControl/>
        <w:shd w:val="clear" w:color="auto" w:fill="FFFFFF"/>
        <w:spacing w:before="0" w:beforeAutospacing="0" w:after="0" w:afterAutospacing="0" w:line="600" w:lineRule="exact"/>
        <w:ind w:firstLine="642" w:firstLineChars="200"/>
        <w:rPr>
          <w:rFonts w:ascii="仿宋" w:hAnsi="仿宋" w:eastAsia="仿宋" w:cs="仿宋"/>
          <w:color w:val="000000"/>
          <w:sz w:val="32"/>
          <w:szCs w:val="32"/>
        </w:rPr>
      </w:pPr>
      <w:r>
        <w:rPr>
          <w:rFonts w:hint="eastAsia" w:ascii="仿宋" w:hAnsi="仿宋" w:eastAsia="仿宋" w:cs="仿宋"/>
          <w:b/>
          <w:bCs/>
          <w:color w:val="000000"/>
          <w:sz w:val="32"/>
          <w:szCs w:val="32"/>
        </w:rPr>
        <w:t>（四）医疗救助基金</w:t>
      </w:r>
      <w:r>
        <w:rPr>
          <w:rFonts w:hint="eastAsia" w:ascii="仿宋" w:hAnsi="仿宋" w:eastAsia="仿宋" w:cs="仿宋"/>
          <w:color w:val="000000"/>
          <w:sz w:val="32"/>
          <w:szCs w:val="32"/>
        </w:rPr>
        <w:t>。截至2021年9月</w:t>
      </w:r>
      <w:r>
        <w:rPr>
          <w:rFonts w:hint="eastAsia" w:ascii="仿宋" w:hAnsi="仿宋" w:eastAsia="仿宋"/>
          <w:sz w:val="32"/>
          <w:szCs w:val="32"/>
        </w:rPr>
        <w:t>医疗救助基金累计结余384.72万元。</w:t>
      </w:r>
    </w:p>
    <w:p>
      <w:pPr>
        <w:spacing w:afterLines="50"/>
        <w:ind w:firstLine="642" w:firstLineChars="200"/>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（五）三重保障情况</w:t>
      </w:r>
      <w:r>
        <w:rPr>
          <w:rFonts w:hint="eastAsia" w:ascii="仿宋" w:hAnsi="仿宋" w:eastAsia="仿宋" w:cs="仿宋"/>
          <w:color w:val="000000"/>
          <w:kern w:val="0"/>
          <w:sz w:val="32"/>
          <w:szCs w:val="32"/>
        </w:rPr>
        <w:t>。截至2021年9月，</w:t>
      </w:r>
      <w:r>
        <w:rPr>
          <w:rFonts w:hint="eastAsia" w:ascii="仿宋" w:hAnsi="仿宋" w:eastAsia="仿宋" w:cs="仿宋"/>
          <w:sz w:val="32"/>
          <w:szCs w:val="32"/>
        </w:rPr>
        <w:t>县（区）域内60岁以下人员按照报销比例65%，60岁以上（含）人员报销比例70%，共补偿16016人次，补偿金额686万元；县域内脱贫户11267人，参保补贴349.24万元；脱贫户医疗报销3636人次，补偿金额2389万元（基本医疗补偿1661万元、大病保险补偿206万元、医疗救助补偿522万元）。</w:t>
      </w:r>
    </w:p>
    <w:p>
      <w:pPr>
        <w:spacing w:afterLines="50"/>
        <w:ind w:firstLine="640" w:firstLineChars="200"/>
        <w:jc w:val="left"/>
        <w:rPr>
          <w:rFonts w:hint="eastAsia"/>
        </w:rPr>
      </w:pPr>
      <w:r>
        <w:rPr>
          <w:rFonts w:hint="eastAsia" w:ascii="仿宋" w:hAnsi="仿宋" w:eastAsia="仿宋" w:cs="仿宋"/>
          <w:color w:val="000000"/>
          <w:kern w:val="0"/>
          <w:sz w:val="32"/>
          <w:szCs w:val="32"/>
        </w:rPr>
        <w:t xml:space="preserve"> </w:t>
      </w:r>
      <w:r>
        <w:rPr>
          <w:rFonts w:hint="eastAsia" w:ascii="黑体" w:hAnsi="黑体" w:eastAsia="黑体" w:cs="黑体"/>
          <w:b/>
          <w:bCs/>
          <w:color w:val="000000"/>
          <w:kern w:val="0"/>
          <w:sz w:val="32"/>
          <w:szCs w:val="32"/>
        </w:rPr>
        <w:t>3.重点工作开展情况：</w:t>
      </w:r>
    </w:p>
    <w:p>
      <w:pPr>
        <w:ind w:firstLine="642" w:firstLineChars="200"/>
        <w:rPr>
          <w:rFonts w:hint="eastAsia" w:ascii="仿宋" w:hAnsi="仿宋" w:eastAsia="仿宋" w:cs="仿宋"/>
          <w:sz w:val="32"/>
          <w:szCs w:val="32"/>
        </w:rPr>
      </w:pPr>
      <w:r>
        <w:rPr>
          <w:rFonts w:hint="eastAsia" w:ascii="仿宋" w:hAnsi="仿宋" w:eastAsia="仿宋" w:cs="仿宋"/>
          <w:b/>
          <w:bCs/>
          <w:color w:val="000000"/>
          <w:kern w:val="0"/>
          <w:sz w:val="32"/>
          <w:szCs w:val="32"/>
        </w:rPr>
        <w:t>(一)惠民生，提升医疗保障水平。一是持续抓好过渡期医疗保障扶贫工作。</w:t>
      </w:r>
      <w:r>
        <w:rPr>
          <w:rFonts w:hint="eastAsia" w:ascii="仿宋" w:hAnsi="仿宋" w:eastAsia="仿宋" w:cs="仿宋"/>
          <w:color w:val="000000"/>
          <w:kern w:val="0"/>
          <w:sz w:val="32"/>
          <w:szCs w:val="32"/>
        </w:rPr>
        <w:t>认真贯彻落实</w:t>
      </w:r>
      <w:r>
        <w:rPr>
          <w:rFonts w:hint="eastAsia" w:ascii="仿宋" w:hAnsi="仿宋" w:eastAsia="仿宋" w:cs="仿宋"/>
          <w:sz w:val="32"/>
          <w:szCs w:val="32"/>
        </w:rPr>
        <w:t>巩固拓展医疗保障脱贫攻坚成果同有效衔接乡村振兴的工作要求</w:t>
      </w:r>
      <w:r>
        <w:rPr>
          <w:rFonts w:hint="eastAsia" w:ascii="仿宋" w:hAnsi="仿宋" w:eastAsia="仿宋" w:cs="仿宋"/>
          <w:color w:val="000000"/>
          <w:kern w:val="0"/>
          <w:sz w:val="32"/>
          <w:szCs w:val="32"/>
        </w:rPr>
        <w:t>，健全防止返贫动态监测和帮扶机制，加大因病返贫、致贫预警信息监测力度，为有效杜绝因病致贫、因病返贫的现象提供数据支持。2021年</w:t>
      </w:r>
      <w:r>
        <w:rPr>
          <w:rFonts w:hint="eastAsia" w:ascii="仿宋" w:hAnsi="仿宋" w:eastAsia="仿宋" w:cs="仿宋"/>
          <w:sz w:val="32"/>
          <w:szCs w:val="32"/>
        </w:rPr>
        <w:t>医保局系统监测对农户就医大幅支出进行监测预警，推送经大病保险报销的脱贫人口、易返贫致贫人口的风险信息，截至</w:t>
      </w:r>
      <w:bookmarkStart w:id="0" w:name="_GoBack"/>
      <w:bookmarkEnd w:id="0"/>
      <w:r>
        <w:rPr>
          <w:rFonts w:hint="eastAsia" w:ascii="仿宋" w:hAnsi="仿宋" w:eastAsia="仿宋" w:cs="仿宋"/>
          <w:sz w:val="32"/>
          <w:szCs w:val="32"/>
        </w:rPr>
        <w:t>8月末共向乡村振兴局推送符合标准291人。二</w:t>
      </w:r>
      <w:r>
        <w:rPr>
          <w:rFonts w:hint="eastAsia" w:ascii="仿宋" w:hAnsi="仿宋" w:eastAsia="仿宋" w:cs="仿宋"/>
          <w:b/>
          <w:bCs/>
          <w:color w:val="000000"/>
          <w:kern w:val="0"/>
          <w:sz w:val="32"/>
          <w:szCs w:val="32"/>
        </w:rPr>
        <w:t>是持续推进城乡居民医疗保险筹资工作。</w:t>
      </w:r>
      <w:r>
        <w:rPr>
          <w:rFonts w:hint="eastAsia" w:ascii="仿宋" w:hAnsi="仿宋" w:eastAsia="仿宋" w:cs="仿宋"/>
          <w:color w:val="000000"/>
          <w:kern w:val="0"/>
          <w:sz w:val="32"/>
          <w:szCs w:val="32"/>
        </w:rPr>
        <w:t>积极协调税务、银行、民政及乡镇(街道)，确保新系统上线后2022年城乡居民医疗保险缴费工作稳步推进。</w:t>
      </w:r>
      <w:r>
        <w:rPr>
          <w:rFonts w:hint="eastAsia" w:ascii="仿宋" w:hAnsi="仿宋" w:eastAsia="仿宋" w:cs="仿宋"/>
          <w:b/>
          <w:bCs/>
          <w:color w:val="000000"/>
          <w:kern w:val="0"/>
          <w:sz w:val="32"/>
          <w:szCs w:val="32"/>
        </w:rPr>
        <w:t>三是持续推进医疗保障信息化建设。</w:t>
      </w:r>
      <w:r>
        <w:rPr>
          <w:rFonts w:hint="eastAsia" w:ascii="仿宋" w:hAnsi="仿宋" w:eastAsia="仿宋" w:cs="仿宋"/>
          <w:sz w:val="32"/>
          <w:szCs w:val="32"/>
        </w:rPr>
        <w:t>坚持高位部署，以分步骤分环节的工作节奏，扎实稳妥推进省医疗保障信息平台在我县上线各项工作，经两轮市局验收，三轮省局验收，我县18家定点医疗机构，49家定点药店均符合上线要求，于10月9日顺利上线省医疗保障信息平台。为保障新旧平台平稳过渡，不影响群众享受医疗待遇，我局聚焦二级公立医院，专人跟进结算业务，目前我县人民医院和中医院已实现即时结算，能够满足群众需求。</w:t>
      </w:r>
    </w:p>
    <w:p>
      <w:pPr>
        <w:numPr>
          <w:ilvl w:val="0"/>
          <w:numId w:val="1"/>
        </w:numPr>
        <w:spacing w:afterLines="50"/>
        <w:ind w:firstLine="643"/>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勇创新，深化支付方式改革。一是深化医保改革，推进“三医联动”。</w:t>
      </w:r>
      <w:r>
        <w:rPr>
          <w:rFonts w:hint="eastAsia" w:ascii="仿宋" w:hAnsi="仿宋" w:eastAsia="仿宋" w:cs="仿宋"/>
          <w:color w:val="000000"/>
          <w:kern w:val="0"/>
          <w:sz w:val="32"/>
          <w:szCs w:val="32"/>
        </w:rPr>
        <w:t>按市局统一部署推进按病组分值付费支付方式改革，扎实抓好前期宣传动员和培训工作，为建立以预算管理下的总额控制为基础，以病种付费为主的多元复合式医疗保险支付方式，充分发挥基本医疗保险对医药卫生体制改革等工作的促进作用。目前已完成前期宣传及培训工作。</w:t>
      </w:r>
      <w:r>
        <w:rPr>
          <w:rFonts w:hint="eastAsia" w:ascii="仿宋" w:hAnsi="仿宋" w:eastAsia="仿宋" w:cs="仿宋"/>
          <w:b/>
          <w:bCs/>
          <w:color w:val="000000"/>
          <w:kern w:val="0"/>
          <w:sz w:val="32"/>
          <w:szCs w:val="32"/>
        </w:rPr>
        <w:t>二是继续落实国家药品集中采购和使用工作。</w:t>
      </w:r>
      <w:r>
        <w:rPr>
          <w:rFonts w:hint="eastAsia" w:ascii="仿宋" w:hAnsi="仿宋" w:eastAsia="仿宋" w:cs="仿宋"/>
          <w:color w:val="000000"/>
          <w:kern w:val="0"/>
          <w:sz w:val="32"/>
          <w:szCs w:val="32"/>
        </w:rPr>
        <w:t>9月30日按照市局关于做好国家组织药品集中采购中医保资金结余留用工作的要求，我局对第一批和第二批使用集采药品的9家医疗机构进行考核后共拨付120429.19元结余留用资金，切实发挥结余留用政策的激励导向作用，提升医疗机构和医务人员的积极性。目前集采工作基础输液器专项已经完成报量工作，按照国家集采工作最新部署要求，即将开展第六批国家药品集采（胰岛素专项）报量工作。</w:t>
      </w:r>
    </w:p>
    <w:p>
      <w:pPr>
        <w:numPr>
          <w:ilvl w:val="0"/>
          <w:numId w:val="1"/>
        </w:numPr>
        <w:spacing w:afterLines="50"/>
        <w:ind w:firstLine="643"/>
        <w:jc w:val="left"/>
      </w:pPr>
      <w:r>
        <w:rPr>
          <w:rFonts w:hint="eastAsia" w:ascii="仿宋" w:hAnsi="仿宋" w:eastAsia="仿宋" w:cs="仿宋"/>
          <w:b/>
          <w:bCs/>
          <w:color w:val="000000"/>
          <w:kern w:val="0"/>
          <w:sz w:val="32"/>
          <w:szCs w:val="32"/>
        </w:rPr>
        <w:t>敢担当，加强医保基金监管。</w:t>
      </w:r>
      <w:r>
        <w:rPr>
          <w:rFonts w:hint="eastAsia" w:ascii="仿宋" w:hAnsi="仿宋" w:eastAsia="仿宋" w:cs="仿宋"/>
          <w:color w:val="000000"/>
          <w:kern w:val="0"/>
          <w:sz w:val="32"/>
          <w:szCs w:val="32"/>
        </w:rPr>
        <w:t>按照《医疗保障基金使用监督管理条例》及《桦川县定点医疗机构医疗服务协议》，我局暂停两家民营医院医保资格，降低一家民营医院医保基金总额费用，取消两家慢性病定点药店资格。目前按照打击欺诈骗保，聚焦“三假”专项整治活动方案，我局稽核科正在抽查全县定点医药机构，</w:t>
      </w:r>
      <w:r>
        <w:rPr>
          <w:rFonts w:hint="eastAsia" w:ascii="仿宋" w:hAnsi="仿宋" w:eastAsia="仿宋" w:cs="仿宋"/>
          <w:sz w:val="32"/>
          <w:szCs w:val="32"/>
        </w:rPr>
        <w:t>以全县年度基金支付排名靠前的定点医疗机构为重点，发现一起，查处一起，公开曝光一起，切实承担起管好用好百姓“救命钱”的重任。</w:t>
      </w:r>
    </w:p>
    <w:p>
      <w:pPr>
        <w:pStyle w:val="2"/>
      </w:pPr>
    </w:p>
    <w:p>
      <w:pPr>
        <w:pStyle w:val="2"/>
        <w:rPr>
          <w:b/>
          <w:bCs/>
          <w:sz w:val="28"/>
          <w:szCs w:val="28"/>
        </w:rPr>
      </w:pPr>
      <w:r>
        <w:rPr>
          <w:rFonts w:hint="eastAsia"/>
          <w:b/>
          <w:bCs/>
          <w:sz w:val="28"/>
          <w:szCs w:val="28"/>
        </w:rPr>
        <w:t>二、主动公开政府信息情况</w:t>
      </w:r>
    </w:p>
    <w:tbl>
      <w:tblPr>
        <w:tblStyle w:val="4"/>
        <w:tblpPr w:leftFromText="180" w:rightFromText="180" w:vertAnchor="text" w:horzAnchor="page" w:tblpX="1166" w:tblpY="413"/>
        <w:tblOverlap w:val="never"/>
        <w:tblW w:w="9735"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autofit"/>
        <w:tblCellMar>
          <w:top w:w="0" w:type="dxa"/>
          <w:left w:w="0" w:type="dxa"/>
          <w:bottom w:w="0" w:type="dxa"/>
          <w:right w:w="0" w:type="dxa"/>
        </w:tblCellMar>
      </w:tblPr>
      <w:tblGrid>
        <w:gridCol w:w="2430"/>
        <w:gridCol w:w="2430"/>
        <w:gridCol w:w="2430"/>
        <w:gridCol w:w="2445"/>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tabs>
                <w:tab w:val="center" w:pos="4867"/>
                <w:tab w:val="left" w:pos="6208"/>
              </w:tabs>
              <w:spacing w:before="0" w:beforeAutospacing="0" w:after="0" w:afterAutospacing="0"/>
            </w:pPr>
            <w:r>
              <w:rPr>
                <w:rFonts w:ascii="宋体" w:hAnsi="宋体" w:cs="宋体"/>
                <w:color w:val="000000"/>
                <w:sz w:val="19"/>
                <w:szCs w:val="19"/>
              </w:rPr>
              <w:tab/>
            </w:r>
            <w:r>
              <w:rPr>
                <w:rFonts w:hint="eastAsia" w:ascii="宋体" w:hAnsi="宋体" w:cs="宋体"/>
                <w:color w:val="000000"/>
                <w:sz w:val="19"/>
                <w:szCs w:val="19"/>
              </w:rPr>
              <w:t>第二十条第（一）项</w:t>
            </w:r>
            <w:r>
              <w:rPr>
                <w:rFonts w:ascii="宋体" w:hAnsi="宋体" w:cs="宋体"/>
                <w:color w:val="000000"/>
                <w:sz w:val="19"/>
                <w:szCs w:val="19"/>
              </w:rPr>
              <w:tab/>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信息内容</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本年</w:t>
            </w:r>
            <w:r>
              <w:rPr>
                <w:rFonts w:hint="eastAsia" w:ascii="宋体" w:hAnsi="宋体" w:cs="宋体"/>
                <w:sz w:val="19"/>
                <w:szCs w:val="19"/>
              </w:rPr>
              <w:t>制发件数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本年废止件数</w:t>
            </w:r>
          </w:p>
        </w:tc>
        <w:tc>
          <w:tcPr>
            <w:tcW w:w="244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现行有效件</w:t>
            </w:r>
            <w:r>
              <w:rPr>
                <w:rFonts w:hint="eastAsia" w:ascii="宋体" w:hAnsi="宋体" w:cs="宋体"/>
                <w:sz w:val="19"/>
                <w:szCs w:val="19"/>
              </w:rPr>
              <w:t>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color w:val="000000"/>
                <w:sz w:val="19"/>
                <w:szCs w:val="19"/>
              </w:rPr>
              <w:t>规章</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24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color w:val="000000"/>
                <w:sz w:val="19"/>
                <w:szCs w:val="19"/>
              </w:rPr>
              <w:t>行政规范性文件</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24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信息内容</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color w:val="000000"/>
                <w:sz w:val="19"/>
                <w:szCs w:val="19"/>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color w:val="000000"/>
                <w:sz w:val="19"/>
                <w:szCs w:val="19"/>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color w:val="000000"/>
                <w:sz w:val="19"/>
                <w:szCs w:val="19"/>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信息内容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color w:val="000000"/>
                <w:sz w:val="19"/>
                <w:szCs w:val="19"/>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color w:val="000000"/>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widowControl/>
              <w:jc w:val="left"/>
            </w:pPr>
            <w:r>
              <w:rPr>
                <w:rFonts w:hint="eastAsia"/>
              </w:rPr>
              <w:t>0</w:t>
            </w:r>
          </w:p>
        </w:tc>
      </w:tr>
    </w:tbl>
    <w:p/>
    <w:p/>
    <w:p>
      <w:pPr>
        <w:rPr>
          <w:rFonts w:hint="eastAsia"/>
          <w:b/>
          <w:bCs/>
          <w:sz w:val="28"/>
          <w:szCs w:val="28"/>
        </w:rPr>
      </w:pPr>
      <w:r>
        <w:rPr>
          <w:rFonts w:hint="eastAsia"/>
          <w:b/>
          <w:bCs/>
          <w:sz w:val="28"/>
          <w:szCs w:val="28"/>
        </w:rPr>
        <w:t>三、收到和处理政府信息公开申请情况</w:t>
      </w:r>
    </w:p>
    <w:tbl>
      <w:tblPr>
        <w:tblStyle w:val="4"/>
        <w:tblpPr w:leftFromText="180" w:rightFromText="180" w:vertAnchor="text" w:horzAnchor="page" w:tblpX="1256" w:tblpY="297"/>
        <w:tblOverlap w:val="never"/>
        <w:tblW w:w="9750"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autofit"/>
        <w:tblCellMar>
          <w:top w:w="0" w:type="dxa"/>
          <w:left w:w="0" w:type="dxa"/>
          <w:bottom w:w="0" w:type="dxa"/>
          <w:right w:w="0" w:type="dxa"/>
        </w:tblCellMar>
      </w:tblPr>
      <w:tblGrid>
        <w:gridCol w:w="760"/>
        <w:gridCol w:w="941"/>
        <w:gridCol w:w="3205"/>
        <w:gridCol w:w="692"/>
        <w:gridCol w:w="692"/>
        <w:gridCol w:w="692"/>
        <w:gridCol w:w="692"/>
        <w:gridCol w:w="692"/>
        <w:gridCol w:w="692"/>
        <w:gridCol w:w="692"/>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r>
              <w:rPr>
                <w:rFonts w:hint="eastAsia"/>
              </w:rPr>
              <w:t>（本列数据的勾稽关系为：第一项加第二项之和，等于第三项加第四项之和）</w:t>
            </w:r>
          </w:p>
        </w:tc>
        <w:tc>
          <w:tcPr>
            <w:tcW w:w="4844"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r>
              <w:rPr>
                <w:rFonts w:hint="eastAsia"/>
              </w:rPr>
              <w:t>申请人情况</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szCs w:val="24"/>
              </w:rPr>
            </w:pPr>
          </w:p>
        </w:tc>
        <w:tc>
          <w:tcPr>
            <w:tcW w:w="692"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sz w:val="19"/>
                <w:szCs w:val="19"/>
              </w:rPr>
              <w:t>自然人</w:t>
            </w:r>
          </w:p>
        </w:tc>
        <w:tc>
          <w:tcPr>
            <w:tcW w:w="3460"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sz w:val="19"/>
                <w:szCs w:val="19"/>
              </w:rPr>
              <w:t>法人或其他组织</w:t>
            </w:r>
          </w:p>
        </w:tc>
        <w:tc>
          <w:tcPr>
            <w:tcW w:w="692" w:type="dxa"/>
            <w:vMerge w:val="restart"/>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szCs w:val="24"/>
              </w:rPr>
            </w:pPr>
          </w:p>
        </w:tc>
        <w:tc>
          <w:tcPr>
            <w:tcW w:w="692"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sz w:val="19"/>
                <w:szCs w:val="19"/>
              </w:rPr>
              <w:t>商业</w:t>
            </w:r>
          </w:p>
          <w:p>
            <w:pPr>
              <w:pStyle w:val="3"/>
              <w:widowControl/>
              <w:spacing w:before="0" w:beforeAutospacing="0" w:after="0" w:afterAutospacing="0"/>
              <w:jc w:val="center"/>
            </w:pPr>
            <w:r>
              <w:rPr>
                <w:rFonts w:hint="eastAsia" w:ascii="宋体" w:hAnsi="宋体" w:cs="宋体"/>
                <w:sz w:val="19"/>
                <w:szCs w:val="19"/>
              </w:rPr>
              <w:t>企业</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sz w:val="19"/>
                <w:szCs w:val="19"/>
              </w:rPr>
              <w:t>科研</w:t>
            </w:r>
          </w:p>
          <w:p>
            <w:pPr>
              <w:pStyle w:val="3"/>
              <w:widowControl/>
              <w:spacing w:before="0" w:beforeAutospacing="0" w:after="0" w:afterAutospacing="0"/>
              <w:jc w:val="center"/>
            </w:pPr>
            <w:r>
              <w:rPr>
                <w:rFonts w:hint="eastAsia" w:ascii="宋体" w:hAnsi="宋体" w:cs="宋体"/>
                <w:sz w:val="19"/>
                <w:szCs w:val="19"/>
              </w:rPr>
              <w:t>机构</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sz w:val="19"/>
                <w:szCs w:val="19"/>
              </w:rPr>
              <w:t>社会公益组织</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sz w:val="19"/>
                <w:szCs w:val="19"/>
              </w:rPr>
              <w:t>法律服务机构</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center"/>
            </w:pPr>
            <w:r>
              <w:rPr>
                <w:rFonts w:hint="eastAsia" w:ascii="宋体" w:hAnsi="宋体" w:cs="宋体"/>
                <w:sz w:val="19"/>
                <w:szCs w:val="19"/>
              </w:rPr>
              <w:t>其他</w:t>
            </w:r>
          </w:p>
        </w:tc>
        <w:tc>
          <w:tcPr>
            <w:tcW w:w="692" w:type="dxa"/>
            <w:vMerge w:val="continue"/>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一、本年新收政府信息公开申请数量</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二、上年结转政府信息公开申请数量</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restart"/>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三、本年度办理结果</w:t>
            </w: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（一）予以公开</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（二）部分公开</w:t>
            </w:r>
            <w:r>
              <w:rPr>
                <w:rFonts w:hint="eastAsia" w:ascii="楷体" w:hAnsi="楷体" w:eastAsia="楷体" w:cs="楷体"/>
                <w:sz w:val="19"/>
                <w:szCs w:val="19"/>
              </w:rPr>
              <w:t>（区分处理的，只计这一情形，不计其他情形）</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（三）不予公开</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1.属于国家秘密</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2.其他法律行政法规禁止公开</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3.危及“三安全一稳定”</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4.保护第三方合法权益</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5.属于三类内部事务信息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6.属于四类过程性信息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7.属于行政执法案卷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8.属于行政查询事项</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（四）无法提供</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1.本机关不掌握相关政府信息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2.没有现成信息需要另行制作</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3.补正后申请内容仍不明确</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（五）不予处理</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1.信访举报投诉类申请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2.重复申请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3.要求提供公开出版物</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3"/>
              <w:widowControl/>
              <w:spacing w:before="0" w:beforeAutospacing="0" w:after="0" w:afterAutospacing="0"/>
            </w:pPr>
            <w:r>
              <w:rPr>
                <w:sz w:val="19"/>
                <w:szCs w:val="19"/>
              </w:rPr>
              <w:t>4.无正当理由大量反复申请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780" w:hRule="atLeast"/>
        </w:trPr>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both"/>
            </w:pPr>
            <w:r>
              <w:rPr>
                <w:sz w:val="19"/>
                <w:szCs w:val="19"/>
              </w:rPr>
              <w:t>5.要求行政机关确认或重新出具已获取信息</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restart"/>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（六）其他处理</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both"/>
            </w:pPr>
            <w:r>
              <w:rPr>
                <w:rFonts w:hint="eastAsia" w:ascii="宋体" w:hAnsi="宋体" w:cs="宋体"/>
                <w:sz w:val="19"/>
                <w:szCs w:val="19"/>
              </w:rPr>
              <w:t>1.申请人无正当理由逾期不补正、行政机关不再处理其政府信息公开申请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jc w:val="both"/>
            </w:pPr>
            <w:r>
              <w:rPr>
                <w:rFonts w:hint="eastAsia" w:ascii="宋体" w:hAnsi="宋体" w:cs="宋体"/>
                <w:sz w:val="19"/>
                <w:szCs w:val="19"/>
              </w:rPr>
              <w:t>2.申请人逾期未按收费通知要求缴纳费用、行政机关不再处理其政府信息公开申请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941" w:type="dxa"/>
            <w:vMerge w:val="continue"/>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3.其他</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ascii="宋体"/>
                <w:sz w:val="24"/>
                <w:szCs w:val="24"/>
              </w:rPr>
            </w:pP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（七）总计</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widowControl/>
              <w:spacing w:before="0" w:beforeAutospacing="0" w:after="0" w:afterAutospacing="0"/>
            </w:pPr>
            <w:r>
              <w:rPr>
                <w:rFonts w:hint="eastAsia" w:ascii="宋体" w:hAnsi="宋体" w:cs="宋体"/>
                <w:sz w:val="19"/>
                <w:szCs w:val="19"/>
              </w:rPr>
              <w:t>四、结转下年度继续办理</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left"/>
            </w:pPr>
            <w:r>
              <w:rPr>
                <w:rFonts w:hint="eastAsia"/>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jc w:val="left"/>
            </w:pPr>
            <w:r>
              <w:rPr>
                <w:rFonts w:hint="eastAsia"/>
              </w:rPr>
              <w:t>0</w:t>
            </w:r>
          </w:p>
        </w:tc>
      </w:tr>
    </w:tbl>
    <w:p>
      <w:pPr>
        <w:pStyle w:val="2"/>
      </w:pPr>
    </w:p>
    <w:p>
      <w:pPr>
        <w:pStyle w:val="2"/>
        <w:rPr>
          <w:b/>
          <w:bCs/>
          <w:sz w:val="28"/>
          <w:szCs w:val="28"/>
        </w:rPr>
      </w:pPr>
    </w:p>
    <w:p>
      <w:pPr>
        <w:pStyle w:val="2"/>
        <w:numPr>
          <w:ilvl w:val="0"/>
          <w:numId w:val="2"/>
        </w:numPr>
        <w:rPr>
          <w:b/>
          <w:bCs/>
          <w:sz w:val="28"/>
          <w:szCs w:val="28"/>
        </w:rPr>
      </w:pPr>
      <w:r>
        <w:rPr>
          <w:rFonts w:hint="eastAsia"/>
          <w:b/>
          <w:bCs/>
          <w:sz w:val="28"/>
          <w:szCs w:val="28"/>
        </w:rPr>
        <w:t>政府信息公开行政复议、行政诉讼情况</w:t>
      </w:r>
    </w:p>
    <w:p>
      <w:pPr>
        <w:pStyle w:val="2"/>
        <w:rPr>
          <w:b/>
          <w:bCs/>
          <w:sz w:val="28"/>
          <w:szCs w:val="28"/>
        </w:rPr>
      </w:pPr>
    </w:p>
    <w:tbl>
      <w:tblPr>
        <w:tblStyle w:val="4"/>
        <w:tblpPr w:leftFromText="180" w:rightFromText="180" w:vertAnchor="text" w:horzAnchor="page" w:tblpX="1202" w:tblpY="207"/>
        <w:tblOverlap w:val="never"/>
        <w:tblW w:w="9795"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autofit"/>
        <w:tblCellMar>
          <w:top w:w="0" w:type="dxa"/>
          <w:left w:w="0" w:type="dxa"/>
          <w:bottom w:w="0" w:type="dxa"/>
          <w:right w:w="0" w:type="dxa"/>
        </w:tblCellMar>
      </w:tblPr>
      <w:tblGrid>
        <w:gridCol w:w="653"/>
        <w:gridCol w:w="653"/>
        <w:gridCol w:w="653"/>
        <w:gridCol w:w="653"/>
        <w:gridCol w:w="653"/>
        <w:gridCol w:w="653"/>
        <w:gridCol w:w="653"/>
        <w:gridCol w:w="653"/>
        <w:gridCol w:w="653"/>
        <w:gridCol w:w="653"/>
        <w:gridCol w:w="653"/>
        <w:gridCol w:w="653"/>
        <w:gridCol w:w="653"/>
        <w:gridCol w:w="653"/>
        <w:gridCol w:w="653"/>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25" w:hRule="atLeast"/>
        </w:trPr>
        <w:tc>
          <w:tcPr>
            <w:tcW w:w="3263"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行政复议</w:t>
            </w:r>
          </w:p>
        </w:tc>
        <w:tc>
          <w:tcPr>
            <w:tcW w:w="6527"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行政诉讼</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25" w:hRule="atLeast"/>
        </w:trPr>
        <w:tc>
          <w:tcPr>
            <w:tcW w:w="653"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结果维持</w:t>
            </w:r>
          </w:p>
        </w:tc>
        <w:tc>
          <w:tcPr>
            <w:tcW w:w="653"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结果</w:t>
            </w:r>
            <w:r>
              <w:rPr>
                <w:sz w:val="19"/>
                <w:szCs w:val="19"/>
              </w:rPr>
              <w:br w:type="textWrapping"/>
            </w:r>
            <w:r>
              <w:rPr>
                <w:rFonts w:hint="eastAsia" w:ascii="宋体" w:hAnsi="宋体" w:cs="宋体"/>
                <w:sz w:val="19"/>
                <w:szCs w:val="19"/>
              </w:rPr>
              <w:t>纠正</w:t>
            </w:r>
          </w:p>
        </w:tc>
        <w:tc>
          <w:tcPr>
            <w:tcW w:w="653"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其他</w:t>
            </w:r>
            <w:r>
              <w:rPr>
                <w:sz w:val="19"/>
                <w:szCs w:val="19"/>
              </w:rPr>
              <w:br w:type="textWrapping"/>
            </w:r>
            <w:r>
              <w:rPr>
                <w:rFonts w:hint="eastAsia" w:ascii="宋体" w:hAnsi="宋体" w:cs="宋体"/>
                <w:sz w:val="19"/>
                <w:szCs w:val="19"/>
              </w:rPr>
              <w:t>结果</w:t>
            </w:r>
          </w:p>
        </w:tc>
        <w:tc>
          <w:tcPr>
            <w:tcW w:w="653"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尚未</w:t>
            </w:r>
            <w:r>
              <w:rPr>
                <w:sz w:val="19"/>
                <w:szCs w:val="19"/>
              </w:rPr>
              <w:br w:type="textWrapping"/>
            </w:r>
            <w:r>
              <w:rPr>
                <w:rFonts w:hint="eastAsia" w:ascii="宋体" w:hAnsi="宋体" w:cs="宋体"/>
                <w:sz w:val="19"/>
                <w:szCs w:val="19"/>
              </w:rPr>
              <w:t>审结</w:t>
            </w:r>
          </w:p>
        </w:tc>
        <w:tc>
          <w:tcPr>
            <w:tcW w:w="653"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总计</w:t>
            </w:r>
          </w:p>
        </w:tc>
        <w:tc>
          <w:tcPr>
            <w:tcW w:w="3263"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未经复议直接起诉</w:t>
            </w:r>
          </w:p>
        </w:tc>
        <w:tc>
          <w:tcPr>
            <w:tcW w:w="3263"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复议后起诉</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26" w:hRule="atLeast"/>
        </w:trPr>
        <w:tc>
          <w:tcPr>
            <w:tcW w:w="65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szCs w:val="24"/>
              </w:rPr>
            </w:pPr>
          </w:p>
        </w:tc>
        <w:tc>
          <w:tcPr>
            <w:tcW w:w="65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szCs w:val="24"/>
              </w:rPr>
            </w:pPr>
          </w:p>
        </w:tc>
        <w:tc>
          <w:tcPr>
            <w:tcW w:w="653"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szCs w:val="24"/>
              </w:rPr>
            </w:pPr>
          </w:p>
        </w:tc>
        <w:tc>
          <w:tcPr>
            <w:tcW w:w="653"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szCs w:val="24"/>
              </w:rPr>
            </w:pPr>
          </w:p>
        </w:tc>
        <w:tc>
          <w:tcPr>
            <w:tcW w:w="653"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szCs w:val="24"/>
              </w:rPr>
            </w:pP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结果</w:t>
            </w:r>
            <w:r>
              <w:rPr>
                <w:sz w:val="19"/>
                <w:szCs w:val="19"/>
              </w:rPr>
              <w:br w:type="textWrapping"/>
            </w:r>
            <w:r>
              <w:rPr>
                <w:rFonts w:hint="eastAsia" w:ascii="宋体" w:hAnsi="宋体" w:cs="宋体"/>
                <w:sz w:val="19"/>
                <w:szCs w:val="19"/>
              </w:rPr>
              <w:t>维持</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结果</w:t>
            </w:r>
            <w:r>
              <w:rPr>
                <w:sz w:val="19"/>
                <w:szCs w:val="19"/>
              </w:rPr>
              <w:br w:type="textWrapping"/>
            </w:r>
            <w:r>
              <w:rPr>
                <w:rFonts w:hint="eastAsia" w:ascii="宋体" w:hAnsi="宋体" w:cs="宋体"/>
                <w:sz w:val="19"/>
                <w:szCs w:val="19"/>
              </w:rPr>
              <w:t>纠正</w:t>
            </w:r>
          </w:p>
        </w:tc>
        <w:tc>
          <w:tcPr>
            <w:tcW w:w="6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其他</w:t>
            </w:r>
            <w:r>
              <w:rPr>
                <w:sz w:val="19"/>
                <w:szCs w:val="19"/>
              </w:rPr>
              <w:br w:type="textWrapping"/>
            </w:r>
            <w:r>
              <w:rPr>
                <w:rFonts w:hint="eastAsia" w:ascii="宋体" w:hAnsi="宋体" w:cs="宋体"/>
                <w:sz w:val="19"/>
                <w:szCs w:val="19"/>
              </w:rPr>
              <w:t>结果</w:t>
            </w:r>
          </w:p>
        </w:tc>
        <w:tc>
          <w:tcPr>
            <w:tcW w:w="6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尚未</w:t>
            </w:r>
            <w:r>
              <w:rPr>
                <w:sz w:val="19"/>
                <w:szCs w:val="19"/>
              </w:rPr>
              <w:br w:type="textWrapping"/>
            </w:r>
            <w:r>
              <w:rPr>
                <w:rFonts w:hint="eastAsia" w:ascii="宋体" w:hAnsi="宋体" w:cs="宋体"/>
                <w:sz w:val="19"/>
                <w:szCs w:val="19"/>
              </w:rPr>
              <w:t>审结</w:t>
            </w:r>
          </w:p>
        </w:tc>
        <w:tc>
          <w:tcPr>
            <w:tcW w:w="6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color w:val="000000"/>
                <w:sz w:val="19"/>
                <w:szCs w:val="19"/>
              </w:rPr>
              <w:t>总计</w:t>
            </w:r>
          </w:p>
        </w:tc>
        <w:tc>
          <w:tcPr>
            <w:tcW w:w="6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结果</w:t>
            </w:r>
            <w:r>
              <w:rPr>
                <w:sz w:val="19"/>
                <w:szCs w:val="19"/>
              </w:rPr>
              <w:br w:type="textWrapping"/>
            </w:r>
            <w:r>
              <w:rPr>
                <w:rFonts w:hint="eastAsia" w:ascii="宋体" w:hAnsi="宋体" w:cs="宋体"/>
                <w:sz w:val="19"/>
                <w:szCs w:val="19"/>
              </w:rPr>
              <w:t>维持</w:t>
            </w:r>
          </w:p>
        </w:tc>
        <w:tc>
          <w:tcPr>
            <w:tcW w:w="6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结果</w:t>
            </w:r>
            <w:r>
              <w:rPr>
                <w:sz w:val="19"/>
                <w:szCs w:val="19"/>
              </w:rPr>
              <w:br w:type="textWrapping"/>
            </w:r>
            <w:r>
              <w:rPr>
                <w:rFonts w:hint="eastAsia" w:ascii="宋体" w:hAnsi="宋体" w:cs="宋体"/>
                <w:sz w:val="19"/>
                <w:szCs w:val="19"/>
              </w:rPr>
              <w:t>纠正</w:t>
            </w:r>
          </w:p>
        </w:tc>
        <w:tc>
          <w:tcPr>
            <w:tcW w:w="6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color w:val="000000"/>
                <w:sz w:val="19"/>
                <w:szCs w:val="19"/>
              </w:rPr>
              <w:t>其他</w:t>
            </w:r>
            <w:r>
              <w:rPr>
                <w:color w:val="000000"/>
                <w:sz w:val="19"/>
                <w:szCs w:val="19"/>
              </w:rPr>
              <w:br w:type="textWrapping"/>
            </w:r>
            <w:r>
              <w:rPr>
                <w:rFonts w:hint="eastAsia" w:ascii="宋体" w:hAnsi="宋体" w:cs="宋体"/>
                <w:color w:val="000000"/>
                <w:sz w:val="19"/>
                <w:szCs w:val="19"/>
              </w:rPr>
              <w:t>结果</w:t>
            </w:r>
          </w:p>
        </w:tc>
        <w:tc>
          <w:tcPr>
            <w:tcW w:w="6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sz w:val="19"/>
                <w:szCs w:val="19"/>
              </w:rPr>
              <w:t>尚未</w:t>
            </w:r>
            <w:r>
              <w:rPr>
                <w:sz w:val="19"/>
                <w:szCs w:val="19"/>
              </w:rPr>
              <w:br w:type="textWrapping"/>
            </w:r>
            <w:r>
              <w:rPr>
                <w:rFonts w:hint="eastAsia" w:ascii="宋体" w:hAnsi="宋体" w:cs="宋体"/>
                <w:sz w:val="19"/>
                <w:szCs w:val="19"/>
              </w:rPr>
              <w:t>审结</w:t>
            </w:r>
          </w:p>
        </w:tc>
        <w:tc>
          <w:tcPr>
            <w:tcW w:w="65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spacing w:before="0" w:beforeAutospacing="0" w:after="0" w:afterAutospacing="0"/>
              <w:jc w:val="center"/>
            </w:pPr>
            <w:r>
              <w:rPr>
                <w:rFonts w:hint="eastAsia" w:ascii="宋体" w:hAnsi="宋体" w:cs="宋体"/>
                <w:color w:val="00000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53" w:hRule="atLeast"/>
        </w:trPr>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c>
          <w:tcPr>
            <w:tcW w:w="65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pPr>
            <w:r>
              <w:rPr>
                <w:rFonts w:hint="eastAsia"/>
              </w:rPr>
              <w:t>0</w:t>
            </w:r>
          </w:p>
        </w:tc>
      </w:tr>
    </w:tbl>
    <w:p>
      <w:pPr>
        <w:pStyle w:val="2"/>
      </w:pPr>
    </w:p>
    <w:p>
      <w:pPr>
        <w:pStyle w:val="2"/>
        <w:rPr>
          <w:b/>
          <w:bCs/>
          <w:sz w:val="28"/>
          <w:szCs w:val="28"/>
        </w:rPr>
      </w:pPr>
      <w:r>
        <w:rPr>
          <w:rFonts w:hint="eastAsia"/>
          <w:b/>
          <w:bCs/>
          <w:sz w:val="28"/>
          <w:szCs w:val="28"/>
        </w:rPr>
        <w:t>五、存在的主要问题及改进情况</w:t>
      </w:r>
    </w:p>
    <w:p>
      <w:pPr>
        <w:pStyle w:val="3"/>
        <w:widowControl/>
        <w:spacing w:beforeAutospacing="0" w:afterAutospacing="0"/>
        <w:ind w:firstLine="321" w:firstLineChars="1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（一）缺乏一支监督执法队伍</w:t>
      </w:r>
    </w:p>
    <w:p>
      <w:pPr>
        <w:pStyle w:val="3"/>
        <w:widowControl/>
        <w:spacing w:beforeAutospacing="0" w:afterAutospacing="0"/>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打击欺诈骗保、维护基金安全，是医疗保障部门重中之重的工作职责，需医保行政部门领导经办机构分工合作、协同开展。医保基金监管工作，具有被监管对象多、涉及资金量大、骗保套保行为屡禁不绝、异地就医刷卡购药行为监管难度大等特点。作为新组建的部门，各级医保局都尚未有一支具有执法资质的医保基金监督执法队伍。目前我局已安排3名行政编制公务员报名参加行政执法资质考试。</w:t>
      </w:r>
    </w:p>
    <w:p>
      <w:pPr>
        <w:pStyle w:val="3"/>
        <w:widowControl/>
        <w:spacing w:beforeAutospacing="0" w:afterAutospacing="0"/>
        <w:ind w:firstLine="321" w:firstLineChars="1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（二）缺乏专业技术人员</w:t>
      </w:r>
    </w:p>
    <w:p>
      <w:pPr>
        <w:pStyle w:val="3"/>
        <w:widowControl/>
        <w:spacing w:beforeAutospacing="0" w:afterAutospacing="0"/>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医疗保障工作与医疗、药品两个专业领域紧密相关，同时管理工作还需要统计分析、财会审计等专业人员予以支撑，我局及下属事业单位人员现状距离工作要求尚有一定的差距。</w:t>
      </w:r>
    </w:p>
    <w:p>
      <w:pPr>
        <w:pStyle w:val="3"/>
        <w:widowControl/>
        <w:spacing w:beforeAutospacing="0" w:afterAutospacing="0"/>
        <w:ind w:firstLine="321" w:firstLineChars="1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（三）编制配备少，人员力量总体偏弱</w:t>
      </w:r>
    </w:p>
    <w:p>
      <w:pPr>
        <w:pStyle w:val="3"/>
        <w:widowControl/>
        <w:spacing w:beforeAutospacing="0" w:afterAutospacing="0"/>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我局配备行政编制5名，已全部使用，无空余行政编制。行政执法人员力量不足，受限于行政编制少。</w:t>
      </w:r>
    </w:p>
    <w:p>
      <w:pPr>
        <w:pStyle w:val="3"/>
        <w:widowControl/>
        <w:spacing w:beforeAutospacing="0" w:afterAutospacing="0"/>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下属事业单位目前为开展乡村振兴工作，我局需派驻工作人员3名，结合单位工作实际，现有编制及人员力量不足已严重制约工作开展，无法满足新形势下工作要求。</w:t>
      </w:r>
    </w:p>
    <w:p>
      <w:pPr>
        <w:pStyle w:val="2"/>
        <w:rPr>
          <w:sz w:val="28"/>
          <w:szCs w:val="28"/>
        </w:rPr>
      </w:pPr>
    </w:p>
    <w:p>
      <w:pPr>
        <w:pStyle w:val="2"/>
        <w:rPr>
          <w:rFonts w:hint="eastAsia"/>
          <w:b/>
          <w:bCs/>
          <w:sz w:val="28"/>
          <w:szCs w:val="28"/>
        </w:rPr>
      </w:pPr>
      <w:r>
        <w:rPr>
          <w:rFonts w:hint="eastAsia"/>
          <w:b/>
          <w:bCs/>
          <w:sz w:val="28"/>
          <w:szCs w:val="28"/>
        </w:rPr>
        <w:t>六、其他需要报告的事项</w:t>
      </w:r>
    </w:p>
    <w:p>
      <w:pPr>
        <w:pStyle w:val="2"/>
        <w:ind w:firstLine="642" w:firstLineChars="200"/>
        <w:rPr>
          <w:rFonts w:hint="eastAsia" w:ascii="仿宋" w:hAnsi="仿宋" w:eastAsia="仿宋"/>
          <w:b/>
          <w:bCs/>
          <w:sz w:val="32"/>
          <w:szCs w:val="32"/>
        </w:rPr>
      </w:pPr>
      <w:r>
        <w:rPr>
          <w:rFonts w:hint="eastAsia" w:ascii="仿宋" w:hAnsi="仿宋" w:eastAsia="仿宋"/>
          <w:b/>
          <w:bCs/>
          <w:sz w:val="32"/>
          <w:szCs w:val="32"/>
        </w:rPr>
        <w:t>无</w:t>
      </w:r>
    </w:p>
    <w:p>
      <w:pPr>
        <w:pStyle w:val="2"/>
        <w:ind w:firstLine="642" w:firstLineChars="200"/>
        <w:rPr>
          <w:rFonts w:hint="eastAsia" w:ascii="仿宋" w:hAnsi="仿宋" w:eastAsia="仿宋"/>
          <w:b/>
          <w:bCs/>
          <w:sz w:val="32"/>
          <w:szCs w:val="32"/>
        </w:rPr>
      </w:pPr>
    </w:p>
    <w:p>
      <w:pPr>
        <w:pStyle w:val="2"/>
        <w:ind w:firstLine="642" w:firstLineChars="200"/>
        <w:rPr>
          <w:rFonts w:hint="eastAsia" w:ascii="仿宋" w:hAnsi="仿宋" w:eastAsia="仿宋"/>
          <w:b/>
          <w:bCs/>
          <w:sz w:val="32"/>
          <w:szCs w:val="32"/>
        </w:rPr>
      </w:pPr>
    </w:p>
    <w:p>
      <w:pPr>
        <w:pStyle w:val="2"/>
        <w:ind w:firstLine="640" w:firstLineChars="200"/>
        <w:jc w:val="right"/>
        <w:rPr>
          <w:rFonts w:hint="eastAsia" w:ascii="仿宋" w:hAnsi="仿宋" w:eastAsia="仿宋"/>
          <w:bCs/>
          <w:sz w:val="32"/>
          <w:szCs w:val="32"/>
        </w:rPr>
      </w:pPr>
      <w:r>
        <w:rPr>
          <w:rFonts w:hint="eastAsia" w:ascii="仿宋" w:hAnsi="仿宋" w:eastAsia="仿宋"/>
          <w:bCs/>
          <w:sz w:val="32"/>
          <w:szCs w:val="32"/>
        </w:rPr>
        <w:t>桦川县医疗保障局</w:t>
      </w:r>
    </w:p>
    <w:p>
      <w:pPr>
        <w:pStyle w:val="2"/>
        <w:ind w:firstLine="640" w:firstLineChars="200"/>
        <w:jc w:val="right"/>
        <w:rPr>
          <w:rFonts w:ascii="仿宋" w:hAnsi="仿宋" w:eastAsia="仿宋"/>
          <w:bCs/>
          <w:sz w:val="32"/>
          <w:szCs w:val="32"/>
        </w:rPr>
      </w:pPr>
      <w:r>
        <w:rPr>
          <w:rFonts w:hint="eastAsia" w:ascii="仿宋" w:hAnsi="仿宋" w:eastAsia="仿宋"/>
          <w:bCs/>
          <w:sz w:val="32"/>
          <w:szCs w:val="32"/>
        </w:rPr>
        <w:t>2022年1月12日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42CDF"/>
    <w:multiLevelType w:val="singleLevel"/>
    <w:tmpl w:val="72E42CDF"/>
    <w:lvl w:ilvl="0" w:tentative="0">
      <w:start w:val="2"/>
      <w:numFmt w:val="chineseCounting"/>
      <w:suff w:val="nothing"/>
      <w:lvlText w:val="（%1）"/>
      <w:lvlJc w:val="left"/>
      <w:pPr>
        <w:ind w:left="-13"/>
      </w:pPr>
      <w:rPr>
        <w:rFonts w:hint="eastAsia"/>
        <w:b/>
        <w:bCs/>
      </w:rPr>
    </w:lvl>
  </w:abstractNum>
  <w:abstractNum w:abstractNumId="1">
    <w:nsid w:val="7FFF3DFE"/>
    <w:multiLevelType w:val="singleLevel"/>
    <w:tmpl w:val="7FFF3DF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076C"/>
    <w:rsid w:val="0086305E"/>
    <w:rsid w:val="00A5076C"/>
    <w:rsid w:val="00D50C96"/>
    <w:rsid w:val="00F81BF9"/>
    <w:rsid w:val="BFBF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after="0" w:afterAutospacing="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spacing w:before="100" w:beforeAutospacing="1" w:after="100" w:afterAutospacing="1"/>
      <w:jc w:val="left"/>
    </w:pPr>
    <w:rPr>
      <w:kern w:val="0"/>
      <w:sz w:val="24"/>
    </w:rPr>
  </w:style>
  <w:style w:type="character" w:customStyle="1" w:styleId="6">
    <w:name w:val="页脚 Char"/>
    <w:basedOn w:val="5"/>
    <w:link w:val="2"/>
    <w:qFormat/>
    <w:uiPriority w:val="99"/>
    <w:rPr>
      <w:rFonts w:ascii="Calibri" w:hAnsi="Calibri" w:eastAsia="宋体" w:cs="Times New Roman"/>
      <w:sz w:val="18"/>
      <w:szCs w:val="18"/>
    </w:rPr>
  </w:style>
  <w:style w:type="paragraph" w:customStyle="1" w:styleId="7">
    <w:name w:val="No Spacing1"/>
    <w:qFormat/>
    <w:uiPriority w:val="99"/>
    <w:pPr>
      <w:widowControl w:val="0"/>
      <w:spacing w:before="0" w:beforeAutospacing="0" w:after="0" w:afterAutospacing="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529</Words>
  <Characters>3020</Characters>
  <Lines>25</Lines>
  <Paragraphs>7</Paragraphs>
  <TotalTime>16</TotalTime>
  <ScaleCrop>false</ScaleCrop>
  <LinksUpToDate>false</LinksUpToDate>
  <CharactersWithSpaces>3542</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2022-01-14T16:38:00Z</dcterms:created>
  <dc:creator>Administrator</dc:creator>
  <cp:lastModifiedBy>greatwall</cp:lastModifiedBy>
  <dcterms:modified xsi:type="dcterms:W3CDTF">2022-01-21T15:49:57Z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