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32"/>
        <w:bidi w:val="false"/>
        <w:jc w:val="center"/>
        <w:rPr>
          <w:rFonts w:ascii="宋体" w:cs="宋体" w:eastAsia="宋体" w:hAnsi="宋体" w:hint="eastAsia"/>
          <w:b/>
          <w:bCs/>
          <w:color w:val="333333"/>
          <w:sz w:val="44"/>
          <w:szCs w:val="44"/>
          <w:lang w:eastAsia="zh-CN"/>
        </w:rPr>
      </w:pPr>
      <w:r>
        <w:rPr>
          <w:rFonts w:ascii="宋体" w:cs="宋体" w:hAnsi="宋体" w:hint="eastAsia"/>
          <w:b/>
          <w:bCs/>
          <w:color w:val="333333"/>
          <w:sz w:val="44"/>
          <w:szCs w:val="44"/>
          <w:lang w:eastAsia="zh-CN"/>
        </w:rPr>
        <w:t>星火朝鲜族乡</w:t>
      </w:r>
      <w:r>
        <w:rPr>
          <w:rFonts w:ascii="宋体" w:cs="宋体" w:hAnsi="宋体" w:hint="default"/>
          <w:b/>
          <w:bCs/>
          <w:color w:val="333333"/>
          <w:sz w:val="44"/>
          <w:szCs w:val="44"/>
          <w:lang w:val="en-US" w:eastAsia="zh-CN"/>
        </w:rPr>
        <w:t>2021年</w:t>
      </w:r>
    </w:p>
    <w:p>
      <w:pPr>
        <w:pStyle w:val="style32"/>
        <w:bidi w:val="false"/>
        <w:jc w:val="center"/>
        <w:rPr>
          <w:rFonts w:ascii="宋体" w:cs="宋体" w:eastAsia="宋体" w:hAnsi="宋体" w:hint="eastAsia"/>
          <w:b/>
          <w:bCs/>
          <w:color w:val="333333"/>
          <w:sz w:val="44"/>
          <w:szCs w:val="44"/>
          <w:lang w:eastAsia="zh-CN"/>
        </w:rPr>
      </w:pPr>
      <w:r>
        <w:rPr>
          <w:rFonts w:ascii="宋体" w:cs="宋体" w:eastAsia="宋体" w:hAnsi="宋体" w:hint="eastAsia"/>
          <w:b/>
          <w:bCs/>
          <w:color w:val="333333"/>
          <w:sz w:val="44"/>
          <w:szCs w:val="44"/>
          <w:lang w:eastAsia="zh-CN"/>
        </w:rPr>
        <w:t>政府信息公开工作年度报告</w:t>
      </w:r>
    </w:p>
    <w:p>
      <w:pPr>
        <w:pStyle w:val="style32"/>
        <w:bidi w:val="false"/>
        <w:rPr>
          <w:rFonts w:ascii="宋体" w:cs="宋体" w:eastAsia="宋体" w:hAnsi="宋体" w:hint="eastAsia"/>
          <w:b/>
          <w:bCs/>
          <w:color w:val="333333"/>
          <w:sz w:val="44"/>
          <w:szCs w:val="44"/>
          <w:lang w:eastAsia="zh-CN"/>
        </w:rPr>
      </w:pPr>
    </w:p>
    <w:p>
      <w:pPr>
        <w:pStyle w:val="style32"/>
        <w:bidi w:val="false"/>
        <w:ind w:firstLineChars="200"/>
        <w:rPr>
          <w:rFonts w:ascii="宋体" w:cs="宋体" w:eastAsia="宋体" w:hAnsi="宋体" w:hint="eastAsia"/>
          <w:b/>
          <w:bCs/>
          <w:sz w:val="28"/>
          <w:szCs w:val="28"/>
        </w:rPr>
      </w:pPr>
      <w:r>
        <w:rPr>
          <w:rFonts w:ascii="宋体" w:cs="宋体" w:eastAsia="宋体" w:hAnsi="宋体" w:hint="eastAsia"/>
          <w:b/>
          <w:bCs/>
          <w:sz w:val="28"/>
          <w:szCs w:val="28"/>
        </w:rPr>
        <w:t>一、总体情况</w:t>
      </w:r>
    </w:p>
    <w:p>
      <w:pPr>
        <w:pStyle w:val="style0"/>
        <w:keepNext w:val="false"/>
        <w:keepLines w:val="false"/>
        <w:pageBreakBefore w:val="false"/>
        <w:widowControl/>
        <w:kinsoku/>
        <w:wordWrap/>
        <w:overflowPunct/>
        <w:topLinePunct w:val="false"/>
        <w:autoSpaceDE/>
        <w:autoSpaceDN/>
        <w:bidi w:val="false"/>
        <w:adjustRightInd/>
        <w:snapToGrid/>
        <w:spacing w:lineRule="atLeast" w:line="600"/>
        <w:ind w:firstLine="640" w:firstLineChars="200"/>
        <w:jc w:val="both"/>
        <w:textAlignment w:val="auto"/>
        <w:rPr>
          <w:rFonts w:ascii="仿宋" w:cs="Arial" w:eastAsia="仿宋" w:hAnsi="仿宋" w:hint="eastAsia"/>
          <w:b w:val="false"/>
          <w:bCs w:val="false"/>
          <w:color w:val="333333"/>
          <w:sz w:val="32"/>
          <w:szCs w:val="32"/>
          <w:lang w:eastAsia="zh-CN"/>
        </w:rPr>
      </w:pPr>
      <w:r>
        <w:rPr>
          <w:rFonts w:ascii="仿宋" w:cs="Arial" w:eastAsia="仿宋" w:hAnsi="仿宋" w:hint="eastAsia"/>
          <w:b w:val="false"/>
          <w:bCs w:val="false"/>
          <w:color w:val="333333"/>
          <w:sz w:val="32"/>
          <w:szCs w:val="32"/>
          <w:lang w:val="en-US" w:eastAsia="zh-CN"/>
        </w:rPr>
        <w:t>2021</w:t>
      </w:r>
      <w:r>
        <w:rPr>
          <w:rFonts w:ascii="仿宋" w:cs="Arial" w:eastAsia="仿宋" w:hAnsi="仿宋" w:hint="eastAsia"/>
          <w:b w:val="false"/>
          <w:bCs w:val="false"/>
          <w:color w:val="333333"/>
          <w:sz w:val="32"/>
          <w:szCs w:val="32"/>
          <w:lang w:eastAsia="zh-CN"/>
        </w:rPr>
        <w:t>年，我乡在县委、县政府的正确领导下，认真贯彻落实县级关于政府信息公开工作的一系列方针、政策深入贯彻落实科学发展观，认真贯彻《政务公开信息条例》，加强领导，明确职责，规范管理，健全制度，积极稳妥推进政府政务公开工作，去的了良好的成效。现将</w:t>
      </w:r>
      <w:r>
        <w:rPr>
          <w:rFonts w:ascii="仿宋" w:cs="Arial" w:eastAsia="仿宋" w:hAnsi="仿宋" w:hint="eastAsia"/>
          <w:b w:val="false"/>
          <w:bCs w:val="false"/>
          <w:color w:val="333333"/>
          <w:sz w:val="32"/>
          <w:szCs w:val="32"/>
          <w:lang w:val="en-US" w:eastAsia="zh-CN"/>
        </w:rPr>
        <w:t>2021</w:t>
      </w:r>
      <w:r>
        <w:rPr>
          <w:rFonts w:ascii="仿宋" w:cs="Arial" w:eastAsia="仿宋" w:hAnsi="仿宋" w:hint="eastAsia"/>
          <w:b w:val="false"/>
          <w:bCs w:val="false"/>
          <w:color w:val="333333"/>
          <w:sz w:val="32"/>
          <w:szCs w:val="32"/>
          <w:lang w:eastAsia="zh-CN"/>
        </w:rPr>
        <w:t>年我乡信息公开主要情况汇报如下：</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shd w:val="clear" w:color="auto" w:fill="ffffff"/>
        <w:kinsoku/>
        <w:wordWrap w:val="false"/>
        <w:overflowPunct/>
        <w:topLinePunct w:val="false"/>
        <w:autoSpaceDE/>
        <w:autoSpaceDN/>
        <w:bidi w:val="false"/>
        <w:adjustRightInd/>
        <w:snapToGrid/>
        <w:spacing w:before="0" w:beforeAutospacing="false" w:after="120" w:afterAutospacing="false" w:lineRule="atLeast" w:line="24"/>
        <w:ind w:left="0" w:right="0" w:firstLine="643" w:firstLineChars="200"/>
        <w:jc w:val="both"/>
        <w:textAlignment w:val="auto"/>
        <w:rPr>
          <w:rFonts w:ascii="仿宋" w:cs="仿宋" w:eastAsia="仿宋" w:hAnsi="仿宋" w:hint="eastAsia"/>
          <w:i w:val="false"/>
          <w:iCs w:val="false"/>
          <w:caps w:val="false"/>
          <w:color w:val="424242"/>
          <w:spacing w:val="0"/>
          <w:sz w:val="32"/>
          <w:szCs w:val="32"/>
        </w:rPr>
      </w:pPr>
      <w:r>
        <w:rPr>
          <w:rFonts w:ascii="仿宋" w:cs="仿宋" w:eastAsia="仿宋" w:hAnsi="仿宋" w:hint="eastAsia"/>
          <w:b/>
          <w:bCs/>
          <w:i w:val="false"/>
          <w:iCs w:val="false"/>
          <w:caps w:val="false"/>
          <w:color w:val="424242"/>
          <w:spacing w:val="0"/>
          <w:sz w:val="32"/>
          <w:szCs w:val="32"/>
          <w:bdr w:val="none" w:sz="0" w:space="0" w:color="auto"/>
          <w:shd w:val="clear" w:color="auto" w:fill="ffffff"/>
        </w:rPr>
        <w:t>一是强化思想认识，加强组织保障。</w:t>
      </w:r>
      <w:r>
        <w:rPr>
          <w:rFonts w:ascii="仿宋" w:cs="仿宋" w:eastAsia="仿宋" w:hAnsi="仿宋" w:hint="eastAsia"/>
          <w:i w:val="false"/>
          <w:iCs w:val="false"/>
          <w:caps w:val="false"/>
          <w:color w:val="424242"/>
          <w:spacing w:val="0"/>
          <w:sz w:val="32"/>
          <w:szCs w:val="32"/>
          <w:bdr w:val="none" w:sz="0" w:space="0" w:color="auto"/>
          <w:shd w:val="clear" w:color="auto" w:fill="ffffff"/>
        </w:rPr>
        <w:t>202</w:t>
      </w:r>
      <w:r>
        <w:rPr>
          <w:rFonts w:ascii="仿宋" w:cs="仿宋" w:eastAsia="仿宋" w:hAnsi="仿宋" w:hint="eastAsia"/>
          <w:i w:val="false"/>
          <w:iCs w:val="false"/>
          <w:caps w:val="false"/>
          <w:color w:val="424242"/>
          <w:spacing w:val="0"/>
          <w:sz w:val="32"/>
          <w:szCs w:val="32"/>
          <w:bdr w:val="none" w:sz="0" w:space="0" w:color="auto"/>
          <w:shd w:val="clear" w:color="auto" w:fill="ffffff"/>
          <w:lang w:val="en-US" w:eastAsia="zh-CN"/>
        </w:rPr>
        <w:t>1</w:t>
      </w:r>
      <w:r>
        <w:rPr>
          <w:rFonts w:ascii="仿宋" w:cs="仿宋" w:eastAsia="仿宋" w:hAnsi="仿宋" w:hint="eastAsia"/>
          <w:i w:val="false"/>
          <w:iCs w:val="false"/>
          <w:caps w:val="false"/>
          <w:color w:val="424242"/>
          <w:spacing w:val="0"/>
          <w:sz w:val="32"/>
          <w:szCs w:val="32"/>
          <w:bdr w:val="none" w:sz="0" w:space="0" w:color="auto"/>
          <w:shd w:val="clear" w:color="auto" w:fill="ffffff"/>
        </w:rPr>
        <w:t>年度，</w:t>
      </w:r>
      <w:r>
        <w:rPr>
          <w:rFonts w:ascii="仿宋" w:cs="仿宋" w:eastAsia="仿宋" w:hAnsi="仿宋" w:hint="eastAsia"/>
          <w:i w:val="false"/>
          <w:iCs w:val="false"/>
          <w:caps w:val="false"/>
          <w:color w:val="424242"/>
          <w:spacing w:val="0"/>
          <w:sz w:val="32"/>
          <w:szCs w:val="32"/>
          <w:bdr w:val="none" w:sz="0" w:space="0" w:color="auto"/>
          <w:shd w:val="clear" w:color="auto" w:fill="ffffff"/>
          <w:lang w:eastAsia="zh-CN"/>
        </w:rPr>
        <w:t>乡</w:t>
      </w:r>
      <w:r>
        <w:rPr>
          <w:rFonts w:ascii="仿宋" w:cs="仿宋" w:eastAsia="仿宋" w:hAnsi="仿宋" w:hint="eastAsia"/>
          <w:i w:val="false"/>
          <w:iCs w:val="false"/>
          <w:caps w:val="false"/>
          <w:color w:val="424242"/>
          <w:spacing w:val="0"/>
          <w:sz w:val="32"/>
          <w:szCs w:val="32"/>
          <w:bdr w:val="none" w:sz="0" w:space="0" w:color="auto"/>
          <w:shd w:val="clear" w:color="auto" w:fill="ffffff"/>
        </w:rPr>
        <w:t>党委高度重视政务公开工作，把推行政务公开工作与机关作风建设紧密结合起来，整体推进。使领导干部充分认识到推行政务公开是全面贯彻落实习近平新时代中国特色社会主义思想的具体体现，也是实行依法行政，转变工作作风，提高工作效率的一项重要举措，促使领导干部自觉抓好政务公开工作的落实。</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shd w:val="clear" w:color="auto" w:fill="ffffff"/>
        <w:kinsoku/>
        <w:wordWrap w:val="false"/>
        <w:overflowPunct/>
        <w:topLinePunct w:val="false"/>
        <w:autoSpaceDE/>
        <w:autoSpaceDN/>
        <w:bidi w:val="false"/>
        <w:adjustRightInd/>
        <w:snapToGrid/>
        <w:spacing w:before="0" w:beforeAutospacing="false" w:after="120" w:afterAutospacing="false" w:lineRule="atLeast" w:line="24"/>
        <w:ind w:left="0" w:right="0" w:firstLine="643" w:firstLineChars="200"/>
        <w:jc w:val="both"/>
        <w:textAlignment w:val="auto"/>
        <w:rPr>
          <w:rFonts w:ascii="仿宋" w:cs="仿宋" w:eastAsia="仿宋" w:hAnsi="仿宋" w:hint="eastAsia"/>
          <w:i w:val="false"/>
          <w:iCs w:val="false"/>
          <w:caps w:val="false"/>
          <w:color w:val="424242"/>
          <w:spacing w:val="0"/>
          <w:sz w:val="32"/>
          <w:szCs w:val="32"/>
        </w:rPr>
      </w:pPr>
      <w:r>
        <w:rPr>
          <w:rFonts w:ascii="仿宋" w:cs="仿宋" w:eastAsia="仿宋" w:hAnsi="仿宋" w:hint="eastAsia"/>
          <w:b/>
          <w:bCs/>
          <w:i w:val="false"/>
          <w:iCs w:val="false"/>
          <w:caps w:val="false"/>
          <w:color w:val="424242"/>
          <w:spacing w:val="0"/>
          <w:sz w:val="32"/>
          <w:szCs w:val="32"/>
          <w:bdr w:val="none" w:sz="0" w:space="0" w:color="auto"/>
          <w:shd w:val="clear" w:color="auto" w:fill="ffffff"/>
        </w:rPr>
        <w:t>二是规范信息发布，提高信息质量。</w:t>
      </w:r>
      <w:r>
        <w:rPr>
          <w:rFonts w:ascii="仿宋" w:cs="仿宋" w:eastAsia="仿宋" w:hAnsi="仿宋" w:hint="eastAsia"/>
          <w:i w:val="false"/>
          <w:iCs w:val="false"/>
          <w:caps w:val="false"/>
          <w:color w:val="424242"/>
          <w:spacing w:val="0"/>
          <w:sz w:val="32"/>
          <w:szCs w:val="32"/>
          <w:bdr w:val="none" w:sz="0" w:space="0" w:color="auto"/>
          <w:shd w:val="clear" w:color="auto" w:fill="ffffff"/>
        </w:rPr>
        <w:t>严格按照信息公开目录公开对应信息，保持信息内容符合栏目要求，出现错误进行调整及更新。严格做好信息公开时的主题分类工作，在公开内容上，我们严格按照政务公开相关文件的要求，严格按照时间节点重点做好各项财政资金的预决算信息公开，真正的做到主动、及时、全面、真实地公开内容，公开深度到位，公开程序规范。</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shd w:val="clear" w:color="auto" w:fill="ffffff"/>
        <w:kinsoku/>
        <w:wordWrap w:val="false"/>
        <w:overflowPunct/>
        <w:topLinePunct w:val="false"/>
        <w:autoSpaceDE/>
        <w:autoSpaceDN/>
        <w:bidi w:val="false"/>
        <w:adjustRightInd/>
        <w:snapToGrid/>
        <w:spacing w:before="0" w:beforeAutospacing="false" w:after="120" w:afterAutospacing="false" w:lineRule="atLeast" w:line="24"/>
        <w:ind w:left="0" w:right="0" w:firstLine="643" w:firstLineChars="200"/>
        <w:jc w:val="both"/>
        <w:textAlignment w:val="auto"/>
        <w:rPr>
          <w:rFonts w:ascii="仿宋" w:cs="Arial" w:eastAsia="仿宋" w:hAnsi="仿宋" w:hint="eastAsia"/>
          <w:b w:val="false"/>
          <w:bCs w:val="false"/>
          <w:color w:val="333333"/>
          <w:sz w:val="32"/>
          <w:szCs w:val="32"/>
          <w:lang w:eastAsia="zh-CN"/>
        </w:rPr>
      </w:pPr>
      <w:r>
        <w:rPr>
          <w:rFonts w:ascii="仿宋" w:cs="仿宋" w:eastAsia="仿宋" w:hAnsi="仿宋" w:hint="eastAsia"/>
          <w:b/>
          <w:bCs/>
          <w:i w:val="false"/>
          <w:iCs w:val="false"/>
          <w:caps w:val="false"/>
          <w:color w:val="424242"/>
          <w:spacing w:val="0"/>
          <w:sz w:val="32"/>
          <w:szCs w:val="32"/>
          <w:bdr w:val="none" w:sz="0" w:space="0" w:color="auto"/>
          <w:shd w:val="clear" w:color="auto" w:fill="ffffff"/>
        </w:rPr>
        <w:t>三是狠抓落实，确保工作取得实在成效。</w:t>
      </w:r>
      <w:r>
        <w:rPr>
          <w:rFonts w:ascii="仿宋" w:cs="仿宋" w:eastAsia="仿宋" w:hAnsi="仿宋" w:hint="eastAsia"/>
          <w:i w:val="false"/>
          <w:iCs w:val="false"/>
          <w:caps w:val="false"/>
          <w:color w:val="424242"/>
          <w:spacing w:val="0"/>
          <w:sz w:val="32"/>
          <w:szCs w:val="32"/>
          <w:bdr w:val="none" w:sz="0" w:space="0" w:color="auto"/>
          <w:shd w:val="clear" w:color="auto" w:fill="ffffff"/>
        </w:rPr>
        <w:t>我</w:t>
      </w:r>
      <w:r>
        <w:rPr>
          <w:rFonts w:ascii="仿宋" w:cs="仿宋" w:eastAsia="仿宋" w:hAnsi="仿宋" w:hint="eastAsia"/>
          <w:i w:val="false"/>
          <w:iCs w:val="false"/>
          <w:caps w:val="false"/>
          <w:color w:val="424242"/>
          <w:spacing w:val="0"/>
          <w:sz w:val="32"/>
          <w:szCs w:val="32"/>
          <w:bdr w:val="none" w:sz="0" w:space="0" w:color="auto"/>
          <w:shd w:val="clear" w:color="auto" w:fill="ffffff"/>
          <w:lang w:eastAsia="zh-CN"/>
        </w:rPr>
        <w:t>乡</w:t>
      </w:r>
      <w:r>
        <w:rPr>
          <w:rFonts w:ascii="仿宋" w:cs="仿宋" w:eastAsia="仿宋" w:hAnsi="仿宋" w:hint="eastAsia"/>
          <w:i w:val="false"/>
          <w:iCs w:val="false"/>
          <w:caps w:val="false"/>
          <w:color w:val="424242"/>
          <w:spacing w:val="0"/>
          <w:sz w:val="32"/>
          <w:szCs w:val="32"/>
          <w:bdr w:val="none" w:sz="0" w:space="0" w:color="auto"/>
          <w:shd w:val="clear" w:color="auto" w:fill="ffffff"/>
        </w:rPr>
        <w:t>在202</w:t>
      </w:r>
      <w:r>
        <w:rPr>
          <w:rFonts w:ascii="仿宋" w:cs="仿宋" w:eastAsia="仿宋" w:hAnsi="仿宋" w:hint="eastAsia"/>
          <w:i w:val="false"/>
          <w:iCs w:val="false"/>
          <w:caps w:val="false"/>
          <w:color w:val="424242"/>
          <w:spacing w:val="0"/>
          <w:sz w:val="32"/>
          <w:szCs w:val="32"/>
          <w:bdr w:val="none" w:sz="0" w:space="0" w:color="auto"/>
          <w:shd w:val="clear" w:color="auto" w:fill="ffffff"/>
          <w:lang w:val="en-US" w:eastAsia="zh-CN"/>
        </w:rPr>
        <w:t>1</w:t>
      </w:r>
      <w:r>
        <w:rPr>
          <w:rFonts w:ascii="仿宋" w:cs="仿宋" w:eastAsia="仿宋" w:hAnsi="仿宋" w:hint="eastAsia"/>
          <w:i w:val="false"/>
          <w:iCs w:val="false"/>
          <w:caps w:val="false"/>
          <w:color w:val="424242"/>
          <w:spacing w:val="0"/>
          <w:sz w:val="32"/>
          <w:szCs w:val="32"/>
          <w:bdr w:val="none" w:sz="0" w:space="0" w:color="auto"/>
          <w:shd w:val="clear" w:color="auto" w:fill="ffffff"/>
        </w:rPr>
        <w:t>年度严格运行保密审查机制，落实领导责任制、岗位责任制，认真遵循政府信息公开工作保密管理 “谁发布、谁负责、谁审查”、“事前审查、依法审查”的总原则，严格遵守政府信息公开保密审查、登记制度，严格审查程序，保证了信息发布及时、准确、规范、完整。</w:t>
      </w:r>
      <w:bookmarkStart w:id="0" w:name="_GoBack"/>
      <w:bookmarkEnd w:id="0"/>
    </w:p>
    <w:p>
      <w:pPr>
        <w:pStyle w:val="style32"/>
        <w:bidi w:val="false"/>
        <w:rPr>
          <w:rFonts w:ascii="宋体" w:cs="宋体" w:eastAsia="宋体" w:hAnsi="宋体" w:hint="default"/>
          <w:b/>
          <w:bCs/>
          <w:color w:val="333333"/>
          <w:sz w:val="44"/>
          <w:szCs w:val="44"/>
          <w:lang w:val="en-US" w:eastAsia="zh-CN"/>
        </w:rPr>
      </w:pPr>
    </w:p>
    <w:p>
      <w:pPr>
        <w:pStyle w:val="style32"/>
        <w:bidi w:val="false"/>
        <w:rPr>
          <w:rFonts w:hint="eastAsia"/>
        </w:rPr>
      </w:pPr>
    </w:p>
    <w:p>
      <w:pPr>
        <w:pStyle w:val="style32"/>
        <w:bidi w:val="false"/>
        <w:rPr>
          <w:rFonts w:hint="eastAsia"/>
          <w:b/>
          <w:bCs/>
          <w:sz w:val="28"/>
          <w:szCs w:val="28"/>
        </w:rPr>
      </w:pPr>
      <w:r>
        <w:rPr>
          <w:rFonts w:hint="eastAsia"/>
          <w:b/>
          <w:bCs/>
          <w:sz w:val="28"/>
          <w:szCs w:val="28"/>
        </w:rPr>
        <w:t>二、主动公开政府信息情况</w:t>
      </w:r>
    </w:p>
    <w:tbl>
      <w:tblPr>
        <w:tblStyle w:val="style105"/>
        <w:tblpPr w:leftFromText="180" w:rightFromText="180" w:topFromText="0" w:bottomFromText="0" w:vertAnchor="text" w:horzAnchor="page" w:tblpX="1166" w:tblpY="413"/>
        <w:tblOverlap w:val="never"/>
        <w:tblW w:w="9735" w:type="dxa"/>
        <w:tblInd w:w="0" w:type="dxa"/>
        <w:tblBorders>
          <w:top w:val="single" w:sz="6" w:space="0" w:color="a5a5a5"/>
          <w:left w:val="single" w:sz="6" w:space="0" w:color="a5a5a5"/>
          <w:bottom w:val="single" w:sz="6" w:space="0" w:color="a5a5a5"/>
          <w:right w:val="single" w:sz="6" w:space="0" w:color="a5a5a5"/>
          <w:insideH w:val="none" w:sz="0" w:space="0" w:color="auto"/>
          <w:insideV w:val="none" w:sz="0" w:space="0" w:color="auto"/>
        </w:tblBorders>
        <w:shd w:val="clear" w:color="auto" w:fill="auto"/>
        <w:tblCellMar>
          <w:top w:w="0" w:type="dxa"/>
          <w:left w:w="0" w:type="dxa"/>
          <w:bottom w:w="0" w:type="dxa"/>
          <w:right w:w="0" w:type="dxa"/>
        </w:tblCellMar>
      </w:tblPr>
      <w:tblGrid>
        <w:gridCol w:w="2430"/>
        <w:gridCol w:w="2430"/>
        <w:gridCol w:w="2430"/>
        <w:gridCol w:w="2445"/>
      </w:tblGrid>
      <w:tr>
        <w:trPr>
          <w:trHeight w:val="345" w:hRule="atLeast"/>
        </w:trPr>
        <w:tc>
          <w:tcPr>
            <w:tcW w:w="9735" w:type="dxa"/>
            <w:gridSpan w:val="4"/>
            <w:tcBorders>
              <w:top w:val="single" w:sz="6" w:space="0" w:color="auto"/>
              <w:left w:val="single" w:sz="6" w:space="0" w:color="auto"/>
              <w:bottom w:val="single"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tabs>
                <w:tab w:val="center" w:leader="none" w:pos="4867"/>
                <w:tab w:val="left" w:leader="none" w:pos="6208"/>
              </w:tabs>
              <w:spacing w:before="0" w:beforeAutospacing="false" w:after="0" w:afterAutospacing="false"/>
              <w:ind w:left="0" w:right="0"/>
              <w:jc w:val="left"/>
              <w:rPr>
                <w:rFonts w:hint="default"/>
                <w:highlight w:val="none"/>
                <w:shd w:val="clear" w:color="auto" w:fill="auto"/>
              </w:rPr>
            </w:pPr>
            <w:r>
              <w:rPr>
                <w:rFonts w:ascii="宋体" w:cs="宋体" w:eastAsia="宋体" w:hAnsi="宋体" w:hint="default"/>
                <w:color w:val="000000"/>
                <w:sz w:val="19"/>
                <w:szCs w:val="19"/>
                <w:highlight w:val="none"/>
                <w:shd w:val="clear" w:color="auto" w:fill="auto"/>
              </w:rPr>
              <w:tab/>
            </w:r>
            <w:r>
              <w:rPr>
                <w:rFonts w:ascii="宋体" w:cs="宋体" w:eastAsia="宋体" w:hAnsi="宋体" w:hint="eastAsia"/>
                <w:color w:val="000000"/>
                <w:sz w:val="19"/>
                <w:szCs w:val="19"/>
                <w:highlight w:val="none"/>
                <w:shd w:val="clear" w:color="auto" w:fill="auto"/>
              </w:rPr>
              <w:t>第二十条第（一）项</w:t>
            </w:r>
            <w:r>
              <w:rPr>
                <w:rFonts w:ascii="宋体" w:cs="宋体" w:eastAsia="宋体" w:hAnsi="宋体" w:hint="default"/>
                <w:color w:val="000000"/>
                <w:sz w:val="19"/>
                <w:szCs w:val="19"/>
                <w:highlight w:val="none"/>
                <w:shd w:val="clear" w:color="auto" w:fill="auto"/>
              </w:rPr>
              <w:tab/>
            </w:r>
          </w:p>
        </w:tc>
      </w:tr>
      <w:tr>
        <w:tblPrEx/>
        <w:trPr>
          <w:trHeight w:val="345" w:hRule="atLeast"/>
        </w:trPr>
        <w:tc>
          <w:tcPr>
            <w:tcW w:w="2430" w:type="dxa"/>
            <w:tcBorders>
              <w:top w:val="nil"/>
              <w:left w:val="single" w:sz="6" w:space="0" w:color="auto"/>
              <w:bottom w:val="single"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highlight w:val="none"/>
                <w:shd w:val="clear" w:color="auto" w:fill="auto"/>
              </w:rPr>
            </w:pPr>
            <w:r>
              <w:rPr>
                <w:rFonts w:ascii="宋体" w:cs="宋体" w:eastAsia="宋体" w:hAnsi="宋体" w:hint="eastAsia"/>
                <w:color w:val="000000"/>
                <w:sz w:val="19"/>
                <w:szCs w:val="19"/>
                <w:highlight w:val="none"/>
                <w:shd w:val="clear" w:color="auto" w:fill="auto"/>
              </w:rPr>
              <w:t>信息内容</w:t>
            </w:r>
          </w:p>
        </w:tc>
        <w:tc>
          <w:tcPr>
            <w:tcW w:w="2430" w:type="dxa"/>
            <w:tcBorders>
              <w:top w:val="single" w:sz="6" w:space="0" w:color="auto"/>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highlight w:val="none"/>
                <w:shd w:val="clear" w:color="auto" w:fill="auto"/>
              </w:rPr>
            </w:pPr>
            <w:r>
              <w:rPr>
                <w:rFonts w:ascii="宋体" w:cs="宋体" w:eastAsia="宋体" w:hAnsi="宋体" w:hint="eastAsia"/>
                <w:color w:val="000000"/>
                <w:sz w:val="19"/>
                <w:szCs w:val="19"/>
                <w:highlight w:val="none"/>
                <w:shd w:val="clear" w:color="auto" w:fill="auto"/>
              </w:rPr>
              <w:t>本年</w:t>
            </w:r>
            <w:r>
              <w:rPr>
                <w:rFonts w:ascii="宋体" w:cs="宋体" w:eastAsia="宋体" w:hAnsi="宋体" w:hint="eastAsia"/>
                <w:sz w:val="19"/>
                <w:szCs w:val="19"/>
                <w:highlight w:val="none"/>
                <w:shd w:val="clear" w:color="auto" w:fill="auto"/>
              </w:rPr>
              <w:t>制发件数</w:t>
            </w:r>
          </w:p>
        </w:tc>
        <w:tc>
          <w:tcPr>
            <w:tcW w:w="2430" w:type="dxa"/>
            <w:tcBorders>
              <w:top w:val="single" w:sz="6" w:space="0" w:color="auto"/>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highlight w:val="none"/>
                <w:shd w:val="clear" w:color="auto" w:fill="auto"/>
              </w:rPr>
            </w:pPr>
            <w:r>
              <w:rPr>
                <w:rFonts w:ascii="宋体" w:cs="宋体" w:eastAsia="宋体" w:hAnsi="宋体" w:hint="eastAsia"/>
                <w:color w:val="000000"/>
                <w:sz w:val="19"/>
                <w:szCs w:val="19"/>
                <w:highlight w:val="none"/>
                <w:shd w:val="clear" w:color="auto" w:fill="auto"/>
              </w:rPr>
              <w:t>本年废止件数</w:t>
            </w:r>
          </w:p>
        </w:tc>
        <w:tc>
          <w:tcPr>
            <w:tcW w:w="2445" w:type="dxa"/>
            <w:tcBorders>
              <w:top w:val="single" w:sz="6" w:space="0" w:color="auto"/>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highlight w:val="none"/>
                <w:shd w:val="clear" w:color="auto" w:fill="auto"/>
              </w:rPr>
            </w:pPr>
            <w:r>
              <w:rPr>
                <w:rFonts w:ascii="宋体" w:cs="宋体" w:eastAsia="宋体" w:hAnsi="宋体" w:hint="eastAsia"/>
                <w:color w:val="000000"/>
                <w:sz w:val="19"/>
                <w:szCs w:val="19"/>
                <w:highlight w:val="none"/>
                <w:shd w:val="clear" w:color="auto" w:fill="auto"/>
              </w:rPr>
              <w:t>现行有效件</w:t>
            </w:r>
            <w:r>
              <w:rPr>
                <w:rFonts w:ascii="宋体" w:cs="宋体" w:eastAsia="宋体" w:hAnsi="宋体" w:hint="eastAsia"/>
                <w:sz w:val="19"/>
                <w:szCs w:val="19"/>
                <w:highlight w:val="none"/>
                <w:shd w:val="clear" w:color="auto" w:fill="auto"/>
              </w:rPr>
              <w:t>数</w:t>
            </w:r>
          </w:p>
        </w:tc>
      </w:tr>
      <w:tr>
        <w:tblPrEx/>
        <w:trPr>
          <w:trHeight w:val="345" w:hRule="atLeast"/>
        </w:trPr>
        <w:tc>
          <w:tcPr>
            <w:tcW w:w="2430" w:type="dxa"/>
            <w:tcBorders>
              <w:top w:val="nil"/>
              <w:left w:val="single" w:sz="6" w:space="0" w:color="auto"/>
              <w:bottom w:val="single"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rPr/>
            </w:pPr>
            <w:r>
              <w:rPr>
                <w:rFonts w:ascii="宋体" w:cs="宋体" w:eastAsia="宋体" w:hAnsi="宋体" w:hint="eastAsia"/>
                <w:color w:val="000000"/>
                <w:sz w:val="19"/>
                <w:szCs w:val="19"/>
              </w:rPr>
              <w:t>规章</w:t>
            </w:r>
          </w:p>
        </w:tc>
        <w:tc>
          <w:tcPr>
            <w:tcW w:w="2430"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c>
          <w:tcPr>
            <w:tcW w:w="2430"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c>
          <w:tcPr>
            <w:tcW w:w="2445"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r>
      <w:tr>
        <w:tblPrEx/>
        <w:trPr>
          <w:trHeight w:val="345" w:hRule="atLeast"/>
        </w:trPr>
        <w:tc>
          <w:tcPr>
            <w:tcW w:w="2430" w:type="dxa"/>
            <w:tcBorders>
              <w:top w:val="nil"/>
              <w:left w:val="single" w:sz="6" w:space="0" w:color="auto"/>
              <w:bottom w:val="single"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rPr/>
            </w:pPr>
            <w:r>
              <w:rPr>
                <w:rFonts w:ascii="宋体" w:cs="宋体" w:eastAsia="宋体" w:hAnsi="宋体" w:hint="eastAsia"/>
                <w:color w:val="000000"/>
                <w:sz w:val="19"/>
                <w:szCs w:val="19"/>
              </w:rPr>
              <w:t>行政规范性文件</w:t>
            </w:r>
          </w:p>
        </w:tc>
        <w:tc>
          <w:tcPr>
            <w:tcW w:w="2430"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c>
          <w:tcPr>
            <w:tcW w:w="2430"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c>
          <w:tcPr>
            <w:tcW w:w="2445"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r>
      <w:tr>
        <w:tblPrEx/>
        <w:trPr>
          <w:trHeight w:val="345" w:hRule="atLeast"/>
        </w:trPr>
        <w:tc>
          <w:tcPr>
            <w:tcW w:w="9735" w:type="dxa"/>
            <w:gridSpan w:val="4"/>
            <w:tcBorders>
              <w:top w:val="nil"/>
              <w:left w:val="single" w:sz="6" w:space="0" w:color="auto"/>
              <w:bottom w:val="single"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pPr>
            <w:r>
              <w:rPr>
                <w:rFonts w:ascii="宋体" w:cs="宋体" w:eastAsia="宋体" w:hAnsi="宋体" w:hint="eastAsia"/>
                <w:color w:val="000000"/>
                <w:sz w:val="19"/>
                <w:szCs w:val="19"/>
              </w:rPr>
              <w:t>第二十条第（五）项</w:t>
            </w:r>
          </w:p>
        </w:tc>
      </w:tr>
      <w:tr>
        <w:tblPrEx/>
        <w:trPr>
          <w:trHeight w:val="345" w:hRule="atLeast"/>
        </w:trPr>
        <w:tc>
          <w:tcPr>
            <w:tcW w:w="2430" w:type="dxa"/>
            <w:tcBorders>
              <w:top w:val="nil"/>
              <w:left w:val="single" w:sz="6" w:space="0" w:color="auto"/>
              <w:bottom w:val="single"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pPr>
            <w:r>
              <w:rPr>
                <w:rFonts w:ascii="宋体" w:cs="宋体" w:eastAsia="宋体" w:hAnsi="宋体" w:hint="eastAsia"/>
                <w:color w:val="000000"/>
                <w:sz w:val="19"/>
                <w:szCs w:val="19"/>
              </w:rPr>
              <w:t>信息内容</w:t>
            </w:r>
          </w:p>
        </w:tc>
        <w:tc>
          <w:tcPr>
            <w:tcW w:w="7305" w:type="dxa"/>
            <w:gridSpan w:val="3"/>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pPr>
            <w:r>
              <w:rPr>
                <w:rFonts w:ascii="宋体" w:cs="宋体" w:eastAsia="宋体" w:hAnsi="宋体" w:hint="eastAsia"/>
                <w:color w:val="000000"/>
                <w:sz w:val="19"/>
                <w:szCs w:val="19"/>
              </w:rPr>
              <w:t>本年处理决定数量</w:t>
            </w:r>
          </w:p>
        </w:tc>
      </w:tr>
      <w:tr>
        <w:tblPrEx/>
        <w:trPr>
          <w:trHeight w:val="345" w:hRule="atLeast"/>
        </w:trPr>
        <w:tc>
          <w:tcPr>
            <w:tcW w:w="2430" w:type="dxa"/>
            <w:tcBorders>
              <w:top w:val="nil"/>
              <w:left w:val="single" w:sz="6" w:space="0" w:color="auto"/>
              <w:bottom w:val="single"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rPr/>
            </w:pPr>
            <w:r>
              <w:rPr>
                <w:rFonts w:ascii="宋体" w:cs="宋体" w:eastAsia="宋体" w:hAnsi="宋体" w:hint="eastAsia"/>
                <w:color w:val="000000"/>
                <w:sz w:val="19"/>
                <w:szCs w:val="19"/>
              </w:rPr>
              <w:t>行政许可</w:t>
            </w:r>
          </w:p>
        </w:tc>
        <w:tc>
          <w:tcPr>
            <w:tcW w:w="7305" w:type="dxa"/>
            <w:gridSpan w:val="3"/>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r>
      <w:tr>
        <w:tblPrEx/>
        <w:trPr>
          <w:trHeight w:val="345" w:hRule="atLeast"/>
        </w:trPr>
        <w:tc>
          <w:tcPr>
            <w:tcW w:w="9735" w:type="dxa"/>
            <w:gridSpan w:val="4"/>
            <w:tcBorders>
              <w:top w:val="nil"/>
              <w:left w:val="single" w:sz="6" w:space="0" w:color="auto"/>
              <w:bottom w:val="single"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pPr>
            <w:r>
              <w:rPr>
                <w:rFonts w:ascii="宋体" w:cs="宋体" w:eastAsia="宋体" w:hAnsi="宋体" w:hint="eastAsia"/>
                <w:color w:val="000000"/>
                <w:sz w:val="19"/>
                <w:szCs w:val="19"/>
              </w:rPr>
              <w:t>第二十条第（六）项</w:t>
            </w:r>
          </w:p>
        </w:tc>
      </w:tr>
      <w:tr>
        <w:tblPrEx/>
        <w:trPr>
          <w:trHeight w:val="345" w:hRule="atLeast"/>
        </w:trPr>
        <w:tc>
          <w:tcPr>
            <w:tcW w:w="2430" w:type="dxa"/>
            <w:tcBorders>
              <w:top w:val="nil"/>
              <w:left w:val="single" w:sz="6" w:space="0" w:color="auto"/>
              <w:bottom w:val="single"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firstLine="0"/>
              <w:jc w:val="center"/>
              <w:rPr/>
            </w:pPr>
            <w:r>
              <w:rPr>
                <w:rFonts w:ascii="宋体" w:cs="宋体" w:eastAsia="宋体" w:hAnsi="宋体" w:hint="eastAsia"/>
                <w:color w:val="000000"/>
                <w:sz w:val="19"/>
                <w:szCs w:val="19"/>
              </w:rPr>
              <w:t>信息内容</w:t>
            </w:r>
          </w:p>
        </w:tc>
        <w:tc>
          <w:tcPr>
            <w:tcW w:w="7305" w:type="dxa"/>
            <w:gridSpan w:val="3"/>
            <w:tcBorders>
              <w:top w:val="single" w:sz="6" w:space="0" w:color="auto"/>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firstLine="0"/>
              <w:jc w:val="center"/>
              <w:rPr/>
            </w:pPr>
            <w:r>
              <w:rPr>
                <w:rFonts w:ascii="宋体" w:cs="宋体" w:eastAsia="宋体" w:hAnsi="宋体" w:hint="eastAsia"/>
                <w:color w:val="000000"/>
                <w:sz w:val="19"/>
                <w:szCs w:val="19"/>
              </w:rPr>
              <w:t>本年处理决定数量</w:t>
            </w:r>
          </w:p>
        </w:tc>
      </w:tr>
      <w:tr>
        <w:tblPrEx/>
        <w:trPr>
          <w:trHeight w:val="345" w:hRule="atLeast"/>
        </w:trPr>
        <w:tc>
          <w:tcPr>
            <w:tcW w:w="2430" w:type="dxa"/>
            <w:tcBorders>
              <w:top w:val="nil"/>
              <w:left w:val="single" w:sz="6" w:space="0" w:color="auto"/>
              <w:bottom w:val="single"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rPr/>
            </w:pPr>
            <w:r>
              <w:rPr>
                <w:rFonts w:ascii="宋体" w:cs="宋体" w:eastAsia="宋体" w:hAnsi="宋体" w:hint="eastAsia"/>
                <w:color w:val="000000"/>
                <w:sz w:val="19"/>
                <w:szCs w:val="19"/>
              </w:rPr>
              <w:t>行政处罚</w:t>
            </w:r>
          </w:p>
        </w:tc>
        <w:tc>
          <w:tcPr>
            <w:tcW w:w="7305" w:type="dxa"/>
            <w:gridSpan w:val="3"/>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r>
      <w:tr>
        <w:tblPrEx/>
        <w:trPr>
          <w:trHeight w:val="345" w:hRule="atLeast"/>
        </w:trPr>
        <w:tc>
          <w:tcPr>
            <w:tcW w:w="2430" w:type="dxa"/>
            <w:tcBorders>
              <w:top w:val="nil"/>
              <w:left w:val="single" w:sz="6" w:space="0" w:color="auto"/>
              <w:bottom w:val="single"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rPr/>
            </w:pPr>
            <w:r>
              <w:rPr>
                <w:rFonts w:ascii="宋体" w:cs="宋体" w:eastAsia="宋体" w:hAnsi="宋体" w:hint="eastAsia"/>
                <w:color w:val="000000"/>
                <w:sz w:val="19"/>
                <w:szCs w:val="19"/>
              </w:rPr>
              <w:t>行政强制</w:t>
            </w:r>
          </w:p>
        </w:tc>
        <w:tc>
          <w:tcPr>
            <w:tcW w:w="7305" w:type="dxa"/>
            <w:gridSpan w:val="3"/>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r>
      <w:tr>
        <w:tblPrEx/>
        <w:trPr>
          <w:trHeight w:val="345" w:hRule="atLeast"/>
        </w:trPr>
        <w:tc>
          <w:tcPr>
            <w:tcW w:w="9735" w:type="dxa"/>
            <w:gridSpan w:val="4"/>
            <w:tcBorders>
              <w:top w:val="nil"/>
              <w:left w:val="single" w:sz="6" w:space="0" w:color="auto"/>
              <w:bottom w:val="single"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pPr>
            <w:r>
              <w:rPr>
                <w:rFonts w:ascii="宋体" w:cs="宋体" w:eastAsia="宋体" w:hAnsi="宋体" w:hint="eastAsia"/>
                <w:color w:val="000000"/>
                <w:sz w:val="19"/>
                <w:szCs w:val="19"/>
              </w:rPr>
              <w:t>第二十条第（八）项</w:t>
            </w:r>
          </w:p>
        </w:tc>
      </w:tr>
      <w:tr>
        <w:tblPrEx/>
        <w:trPr>
          <w:trHeight w:val="345" w:hRule="atLeast"/>
        </w:trPr>
        <w:tc>
          <w:tcPr>
            <w:tcW w:w="2430" w:type="dxa"/>
            <w:tcBorders>
              <w:top w:val="nil"/>
              <w:left w:val="single" w:sz="6" w:space="0" w:color="auto"/>
              <w:bottom w:val="single"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pPr>
            <w:r>
              <w:rPr>
                <w:rFonts w:ascii="宋体" w:cs="宋体" w:eastAsia="宋体" w:hAnsi="宋体" w:hint="eastAsia"/>
                <w:color w:val="000000"/>
                <w:sz w:val="19"/>
                <w:szCs w:val="19"/>
              </w:rPr>
              <w:t>信息内容</w:t>
            </w:r>
          </w:p>
        </w:tc>
        <w:tc>
          <w:tcPr>
            <w:tcW w:w="7305" w:type="dxa"/>
            <w:gridSpan w:val="3"/>
            <w:tcBorders>
              <w:top w:val="nil"/>
              <w:left w:val="nil"/>
              <w:bottom w:val="single" w:sz="6" w:space="0" w:color="auto"/>
              <w:right w:val="single" w:sz="6" w:space="0" w:color="000000"/>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center"/>
              <w:rPr/>
            </w:pPr>
            <w:r>
              <w:rPr>
                <w:rFonts w:ascii="宋体" w:cs="宋体" w:eastAsia="宋体" w:hAnsi="宋体" w:hint="eastAsia"/>
                <w:color w:val="000000"/>
                <w:sz w:val="19"/>
                <w:szCs w:val="19"/>
              </w:rPr>
              <w:t>本年收费金额（单位：万元）</w:t>
            </w:r>
          </w:p>
        </w:tc>
      </w:tr>
      <w:tr>
        <w:tblPrEx/>
        <w:trPr>
          <w:trHeight w:val="345" w:hRule="atLeast"/>
        </w:trPr>
        <w:tc>
          <w:tcPr>
            <w:tcW w:w="2430" w:type="dxa"/>
            <w:tcBorders>
              <w:top w:val="nil"/>
              <w:left w:val="single" w:sz="6" w:space="0" w:color="auto"/>
              <w:bottom w:val="single"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lineRule="auto" w:line="240"/>
              <w:ind w:left="0" w:right="0"/>
              <w:rPr/>
            </w:pPr>
            <w:r>
              <w:rPr>
                <w:rFonts w:ascii="宋体" w:cs="宋体" w:eastAsia="宋体" w:hAnsi="宋体" w:hint="eastAsia"/>
                <w:color w:val="000000"/>
                <w:sz w:val="19"/>
                <w:szCs w:val="19"/>
              </w:rPr>
              <w:t>行政事业性收费</w:t>
            </w:r>
          </w:p>
        </w:tc>
        <w:tc>
          <w:tcPr>
            <w:tcW w:w="7305" w:type="dxa"/>
            <w:gridSpan w:val="3"/>
            <w:tcBorders>
              <w:top w:val="nil"/>
              <w:left w:val="nil"/>
              <w:bottom w:val="single" w:sz="6" w:space="0" w:color="auto"/>
              <w:right w:val="single" w:sz="6" w:space="0" w:color="000000"/>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lineRule="auto" w:line="240"/>
              <w:ind w:left="0" w:right="0"/>
              <w:jc w:val="left"/>
              <w:rPr>
                <w:rFonts w:eastAsia="宋体" w:hint="eastAsia"/>
                <w:lang w:val="en-US" w:eastAsia="zh-CN"/>
              </w:rPr>
            </w:pPr>
            <w:r>
              <w:rPr>
                <w:rFonts w:hint="eastAsia"/>
                <w:lang w:val="en-US" w:eastAsia="zh-CN"/>
              </w:rPr>
              <w:t>0</w:t>
            </w:r>
          </w:p>
        </w:tc>
      </w:tr>
    </w:tbl>
    <w:p>
      <w:pPr>
        <w:pStyle w:val="style0"/>
        <w:bidi w:val="false"/>
        <w:rPr>
          <w:rFonts w:hint="eastAsia"/>
        </w:rPr>
      </w:pPr>
    </w:p>
    <w:p>
      <w:pPr>
        <w:pStyle w:val="style0"/>
        <w:bidi w:val="false"/>
        <w:rPr>
          <w:rFonts w:hint="eastAsia"/>
        </w:rPr>
      </w:pPr>
    </w:p>
    <w:p>
      <w:pPr>
        <w:pStyle w:val="style0"/>
        <w:bidi w:val="false"/>
        <w:rPr>
          <w:rFonts w:hint="eastAsia"/>
          <w:b/>
          <w:bCs/>
          <w:sz w:val="28"/>
          <w:szCs w:val="28"/>
        </w:rPr>
      </w:pPr>
      <w:r>
        <w:rPr>
          <w:rFonts w:hint="eastAsia"/>
          <w:b/>
          <w:bCs/>
          <w:sz w:val="28"/>
          <w:szCs w:val="28"/>
        </w:rPr>
        <w:t>三、收到和处理政府信息公开申请情况</w:t>
      </w:r>
    </w:p>
    <w:tbl>
      <w:tblPr>
        <w:tblStyle w:val="style105"/>
        <w:tblpPr w:leftFromText="180" w:rightFromText="180" w:topFromText="0" w:bottomFromText="0" w:vertAnchor="text" w:horzAnchor="page" w:tblpX="1256" w:tblpY="297"/>
        <w:tblOverlap w:val="never"/>
        <w:tblW w:w="9750" w:type="dxa"/>
        <w:tblInd w:w="0" w:type="dxa"/>
        <w:tblBorders>
          <w:top w:val="single" w:sz="6" w:space="0" w:color="a5a5a5"/>
          <w:left w:val="single" w:sz="6" w:space="0" w:color="a5a5a5"/>
          <w:bottom w:val="single" w:sz="6" w:space="0" w:color="a5a5a5"/>
          <w:right w:val="single" w:sz="6" w:space="0" w:color="a5a5a5"/>
          <w:insideH w:val="none" w:sz="0" w:space="0" w:color="auto"/>
          <w:insideV w:val="none" w:sz="0" w:space="0" w:color="auto"/>
        </w:tblBorders>
        <w:shd w:val="clear" w:color="auto" w:fill="auto"/>
        <w:tblCellMar>
          <w:top w:w="0" w:type="dxa"/>
          <w:left w:w="0" w:type="dxa"/>
          <w:bottom w:w="0" w:type="dxa"/>
          <w:right w:w="0" w:type="dxa"/>
        </w:tblCellMar>
      </w:tblPr>
      <w:tblGrid>
        <w:gridCol w:w="760"/>
        <w:gridCol w:w="941"/>
        <w:gridCol w:w="3205"/>
        <w:gridCol w:w="692"/>
        <w:gridCol w:w="692"/>
        <w:gridCol w:w="692"/>
        <w:gridCol w:w="692"/>
        <w:gridCol w:w="692"/>
        <w:gridCol w:w="692"/>
        <w:gridCol w:w="692"/>
      </w:tblGrid>
      <w:tr>
        <w:trPr/>
        <w:tc>
          <w:tcPr>
            <w:tcW w:w="4906" w:type="dxa"/>
            <w:gridSpan w:val="3"/>
            <w:vMerge w:val="restart"/>
            <w:tcBorders>
              <w:top w:val="single" w:sz="6" w:space="0" w:color="auto"/>
              <w:left w:val="single" w:sz="6" w:space="0" w:color="auto"/>
              <w:bottom w:val="outset" w:sz="6" w:space="0" w:color="auto"/>
              <w:right w:val="single" w:sz="6" w:space="0" w:color="auto"/>
            </w:tcBorders>
            <w:shd w:val="clear" w:color="auto" w:fill="auto"/>
            <w:tcMar>
              <w:top w:w="0" w:type="dxa"/>
              <w:left w:w="105" w:type="dxa"/>
              <w:bottom w:w="0" w:type="dxa"/>
              <w:right w:w="105" w:type="dxa"/>
            </w:tcMar>
            <w:vAlign w:val="center"/>
          </w:tcPr>
          <w:p>
            <w:pPr>
              <w:pStyle w:val="style0"/>
              <w:bidi w:val="false"/>
              <w:rPr/>
            </w:pPr>
            <w:r>
              <w:rPr>
                <w:rFonts w:hint="eastAsia"/>
              </w:rPr>
              <w:t>（本列数据的勾稽关系为：第一项加第二项之和，等于第三项加第四项之和）</w:t>
            </w:r>
          </w:p>
        </w:tc>
        <w:tc>
          <w:tcPr>
            <w:tcW w:w="4844" w:type="dxa"/>
            <w:gridSpan w:val="7"/>
            <w:tcBorders>
              <w:top w:val="single" w:sz="6" w:space="0" w:color="auto"/>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bidi w:val="false"/>
              <w:rPr/>
            </w:pPr>
            <w:r>
              <w:rPr>
                <w:rFonts w:hint="eastAsia"/>
              </w:rPr>
              <w:t>申请人情况</w:t>
            </w:r>
          </w:p>
        </w:tc>
      </w:tr>
      <w:tr>
        <w:tblPrEx/>
        <w:trPr/>
        <w:tc>
          <w:tcPr>
            <w:tcW w:w="4906" w:type="dxa"/>
            <w:gridSpan w:val="3"/>
            <w:vMerge w:val="continue"/>
            <w:tcBorders>
              <w:top w:val="single" w:sz="6" w:space="0" w:color="auto"/>
              <w:left w:val="single" w:sz="6" w:space="0" w:color="auto"/>
              <w:bottom w:val="outset" w:sz="6" w:space="0" w:color="auto"/>
              <w:right w:val="single" w:sz="6" w:space="0" w:color="auto"/>
            </w:tcBorders>
            <w:shd w:val="clear" w:color="auto" w:fill="auto"/>
            <w:tcMar>
              <w:top w:w="0" w:type="dxa"/>
              <w:left w:w="105" w:type="dxa"/>
              <w:bottom w:w="0" w:type="dxa"/>
              <w:right w:w="105" w:type="dxa"/>
            </w:tcMar>
            <w:vAlign w:val="center"/>
          </w:tcPr>
          <w:p>
            <w:pPr>
              <w:pStyle w:val="style0"/>
              <w:spacing w:lineRule="auto" w:line="240"/>
              <w:rPr>
                <w:rFonts w:ascii="宋体" w:hint="eastAsia"/>
                <w:sz w:val="24"/>
                <w:szCs w:val="24"/>
              </w:rPr>
            </w:pPr>
          </w:p>
        </w:tc>
        <w:tc>
          <w:tcPr>
            <w:tcW w:w="692" w:type="dxa"/>
            <w:vMerge w:val="restart"/>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lineRule="auto" w:line="240"/>
              <w:ind w:left="0" w:right="0"/>
              <w:jc w:val="center"/>
              <w:rPr/>
            </w:pPr>
            <w:r>
              <w:rPr>
                <w:rFonts w:ascii="宋体" w:cs="宋体" w:eastAsia="宋体" w:hAnsi="宋体" w:hint="eastAsia"/>
                <w:sz w:val="19"/>
                <w:szCs w:val="19"/>
              </w:rPr>
              <w:t>自然人</w:t>
            </w:r>
          </w:p>
        </w:tc>
        <w:tc>
          <w:tcPr>
            <w:tcW w:w="3460" w:type="dxa"/>
            <w:gridSpan w:val="5"/>
            <w:tcBorders>
              <w:top w:val="single" w:sz="6" w:space="0" w:color="auto"/>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lineRule="auto" w:line="240"/>
              <w:ind w:left="0" w:right="0"/>
              <w:jc w:val="center"/>
              <w:rPr/>
            </w:pPr>
            <w:r>
              <w:rPr>
                <w:rFonts w:ascii="宋体" w:cs="宋体" w:eastAsia="宋体" w:hAnsi="宋体" w:hint="eastAsia"/>
                <w:sz w:val="19"/>
                <w:szCs w:val="19"/>
              </w:rPr>
              <w:t>法人或其他组织</w:t>
            </w:r>
          </w:p>
        </w:tc>
        <w:tc>
          <w:tcPr>
            <w:tcW w:w="692" w:type="dxa"/>
            <w:vMerge w:val="restart"/>
            <w:tcBorders>
              <w:top w:val="single" w:sz="6" w:space="0" w:color="auto"/>
              <w:left w:val="nil"/>
              <w:bottom w:val="outset"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lineRule="auto" w:line="240"/>
              <w:ind w:left="0" w:right="0"/>
              <w:jc w:val="center"/>
              <w:rPr/>
            </w:pPr>
            <w:r>
              <w:rPr>
                <w:rFonts w:ascii="宋体" w:cs="宋体" w:eastAsia="宋体" w:hAnsi="宋体" w:hint="eastAsia"/>
                <w:sz w:val="19"/>
                <w:szCs w:val="19"/>
              </w:rPr>
              <w:t>总计</w:t>
            </w:r>
          </w:p>
        </w:tc>
      </w:tr>
      <w:tr>
        <w:tblPrEx/>
        <w:trPr/>
        <w:tc>
          <w:tcPr>
            <w:tcW w:w="4906" w:type="dxa"/>
            <w:gridSpan w:val="3"/>
            <w:vMerge w:val="continue"/>
            <w:tcBorders>
              <w:top w:val="single" w:sz="6" w:space="0" w:color="auto"/>
              <w:left w:val="single" w:sz="6" w:space="0" w:color="auto"/>
              <w:bottom w:val="outset" w:sz="6" w:space="0" w:color="auto"/>
              <w:right w:val="single" w:sz="6" w:space="0" w:color="auto"/>
            </w:tcBorders>
            <w:shd w:val="clear" w:color="auto" w:fill="auto"/>
            <w:tcMar>
              <w:top w:w="0" w:type="dxa"/>
              <w:left w:w="105" w:type="dxa"/>
              <w:bottom w:w="0" w:type="dxa"/>
              <w:right w:w="105" w:type="dxa"/>
            </w:tcMar>
            <w:vAlign w:val="center"/>
          </w:tcPr>
          <w:p>
            <w:pPr>
              <w:pStyle w:val="style0"/>
              <w:spacing w:lineRule="auto" w:line="240"/>
              <w:rPr>
                <w:rFonts w:ascii="宋体" w:hint="eastAsia"/>
                <w:sz w:val="24"/>
                <w:szCs w:val="24"/>
              </w:rPr>
            </w:pPr>
          </w:p>
        </w:tc>
        <w:tc>
          <w:tcPr>
            <w:tcW w:w="692" w:type="dxa"/>
            <w:vMerge w:val="continue"/>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spacing w:lineRule="auto" w:line="240"/>
              <w:rPr>
                <w:rFonts w:ascii="宋体" w:hint="eastAsia"/>
                <w:sz w:val="24"/>
                <w:szCs w:val="24"/>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lineRule="auto" w:line="240"/>
              <w:ind w:left="0" w:right="0"/>
              <w:jc w:val="center"/>
              <w:rPr/>
            </w:pPr>
            <w:r>
              <w:rPr>
                <w:rFonts w:ascii="宋体" w:cs="宋体" w:eastAsia="宋体" w:hAnsi="宋体" w:hint="eastAsia"/>
                <w:sz w:val="19"/>
                <w:szCs w:val="19"/>
              </w:rPr>
              <w:t>商业</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lineRule="auto" w:line="240"/>
              <w:ind w:left="0" w:right="0"/>
              <w:jc w:val="center"/>
              <w:rPr/>
            </w:pPr>
            <w:r>
              <w:rPr>
                <w:rFonts w:ascii="宋体" w:cs="宋体" w:eastAsia="宋体" w:hAnsi="宋体" w:hint="eastAsia"/>
                <w:sz w:val="19"/>
                <w:szCs w:val="19"/>
              </w:rPr>
              <w:t>企业</w:t>
            </w: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lineRule="auto" w:line="240"/>
              <w:ind w:left="0" w:right="0"/>
              <w:jc w:val="center"/>
              <w:rPr/>
            </w:pPr>
            <w:r>
              <w:rPr>
                <w:rFonts w:ascii="宋体" w:cs="宋体" w:eastAsia="宋体" w:hAnsi="宋体" w:hint="eastAsia"/>
                <w:sz w:val="19"/>
                <w:szCs w:val="19"/>
              </w:rPr>
              <w:t>科研</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lineRule="auto" w:line="240"/>
              <w:ind w:left="0" w:right="0"/>
              <w:jc w:val="center"/>
              <w:rPr/>
            </w:pPr>
            <w:r>
              <w:rPr>
                <w:rFonts w:ascii="宋体" w:cs="宋体" w:eastAsia="宋体" w:hAnsi="宋体" w:hint="eastAsia"/>
                <w:sz w:val="19"/>
                <w:szCs w:val="19"/>
              </w:rPr>
              <w:t>机构</w:t>
            </w:r>
          </w:p>
        </w:tc>
        <w:tc>
          <w:tcPr>
            <w:tcW w:w="692" w:type="dxa"/>
            <w:tcBorders>
              <w:top w:val="single" w:sz="6" w:space="0" w:color="auto"/>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lineRule="auto" w:line="240"/>
              <w:ind w:left="0" w:right="0"/>
              <w:jc w:val="center"/>
              <w:rPr/>
            </w:pPr>
            <w:r>
              <w:rPr>
                <w:rFonts w:ascii="宋体" w:cs="宋体" w:eastAsia="宋体" w:hAnsi="宋体" w:hint="eastAsia"/>
                <w:sz w:val="19"/>
                <w:szCs w:val="19"/>
              </w:rPr>
              <w:t>社会公益组织</w:t>
            </w:r>
          </w:p>
        </w:tc>
        <w:tc>
          <w:tcPr>
            <w:tcW w:w="692" w:type="dxa"/>
            <w:tcBorders>
              <w:top w:val="single" w:sz="6" w:space="0" w:color="auto"/>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lineRule="auto" w:line="240"/>
              <w:ind w:left="0" w:right="0"/>
              <w:jc w:val="center"/>
              <w:rPr/>
            </w:pPr>
            <w:r>
              <w:rPr>
                <w:rFonts w:ascii="宋体" w:cs="宋体" w:eastAsia="宋体" w:hAnsi="宋体" w:hint="eastAsia"/>
                <w:sz w:val="19"/>
                <w:szCs w:val="19"/>
              </w:rPr>
              <w:t>法律服务机构</w:t>
            </w:r>
          </w:p>
        </w:tc>
        <w:tc>
          <w:tcPr>
            <w:tcW w:w="692" w:type="dxa"/>
            <w:tcBorders>
              <w:top w:val="single" w:sz="6" w:space="0" w:color="auto"/>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lineRule="auto" w:line="240"/>
              <w:ind w:left="0" w:right="0"/>
              <w:jc w:val="center"/>
              <w:rPr/>
            </w:pPr>
            <w:r>
              <w:rPr>
                <w:rFonts w:ascii="宋体" w:cs="宋体" w:eastAsia="宋体" w:hAnsi="宋体" w:hint="eastAsia"/>
                <w:sz w:val="19"/>
                <w:szCs w:val="19"/>
              </w:rPr>
              <w:t>其他</w:t>
            </w:r>
          </w:p>
        </w:tc>
        <w:tc>
          <w:tcPr>
            <w:tcW w:w="692" w:type="dxa"/>
            <w:vMerge w:val="continue"/>
            <w:tcBorders>
              <w:top w:val="single" w:sz="6" w:space="0" w:color="auto"/>
              <w:left w:val="nil"/>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spacing w:lineRule="auto" w:line="240"/>
              <w:rPr>
                <w:rFonts w:ascii="宋体" w:hint="eastAsia"/>
                <w:sz w:val="24"/>
                <w:szCs w:val="24"/>
              </w:rPr>
            </w:pPr>
          </w:p>
        </w:tc>
      </w:tr>
      <w:tr>
        <w:tblPrEx/>
        <w:trPr/>
        <w:tc>
          <w:tcPr>
            <w:tcW w:w="4906" w:type="dxa"/>
            <w:gridSpan w:val="3"/>
            <w:tcBorders>
              <w:top w:val="nil"/>
              <w:left w:val="single" w:sz="6" w:space="0" w:color="auto"/>
              <w:bottom w:val="single"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rPr/>
            </w:pPr>
            <w:r>
              <w:rPr>
                <w:rFonts w:ascii="宋体" w:cs="宋体" w:eastAsia="宋体" w:hAnsi="宋体" w:hint="eastAsia"/>
                <w:sz w:val="19"/>
                <w:szCs w:val="19"/>
              </w:rPr>
              <w:t>一、本年新收政府信息公开申请数量</w:t>
            </w: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r>
      <w:tr>
        <w:tblPrEx/>
        <w:trPr/>
        <w:tc>
          <w:tcPr>
            <w:tcW w:w="4906" w:type="dxa"/>
            <w:gridSpan w:val="3"/>
            <w:tcBorders>
              <w:top w:val="nil"/>
              <w:left w:val="single" w:sz="6" w:space="0" w:color="auto"/>
              <w:bottom w:val="single"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rPr/>
            </w:pPr>
            <w:r>
              <w:rPr>
                <w:rFonts w:ascii="宋体" w:cs="宋体" w:eastAsia="宋体" w:hAnsi="宋体" w:hint="eastAsia"/>
                <w:sz w:val="19"/>
                <w:szCs w:val="19"/>
              </w:rPr>
              <w:t>二、上年结转政府信息公开申请数量</w:t>
            </w: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r>
      <w:tr>
        <w:tblPrEx/>
        <w:trPr/>
        <w:tc>
          <w:tcPr>
            <w:tcW w:w="760" w:type="dxa"/>
            <w:vMerge w:val="restart"/>
            <w:tcBorders>
              <w:top w:val="nil"/>
              <w:left w:val="single" w:sz="6" w:space="0" w:color="auto"/>
              <w:bottom w:val="outset"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rPr/>
            </w:pPr>
            <w:r>
              <w:rPr>
                <w:rFonts w:ascii="宋体" w:cs="宋体" w:eastAsia="宋体" w:hAnsi="宋体" w:hint="eastAsia"/>
                <w:sz w:val="19"/>
                <w:szCs w:val="19"/>
              </w:rPr>
              <w:t>三、本年度办理结果</w:t>
            </w:r>
          </w:p>
        </w:tc>
        <w:tc>
          <w:tcPr>
            <w:tcW w:w="4146" w:type="dxa"/>
            <w:gridSpan w:val="2"/>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rPr/>
            </w:pPr>
            <w:r>
              <w:rPr>
                <w:rFonts w:ascii="宋体" w:cs="宋体" w:eastAsia="宋体" w:hAnsi="宋体" w:hint="eastAsia"/>
                <w:sz w:val="19"/>
                <w:szCs w:val="19"/>
              </w:rPr>
              <w:t>（一）予以公开</w:t>
            </w: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single" w:sz="6" w:space="0" w:color="auto"/>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r>
      <w:tr>
        <w:tblPrEx/>
        <w:trPr/>
        <w:tc>
          <w:tcPr>
            <w:tcW w:w="760" w:type="dxa"/>
            <w:vMerge w:val="continue"/>
            <w:tcBorders>
              <w:top w:val="nil"/>
              <w:left w:val="single" w:sz="6" w:space="0" w:color="auto"/>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rPr>
                <w:rFonts w:ascii="宋体" w:hint="eastAsia"/>
                <w:sz w:val="24"/>
                <w:szCs w:val="24"/>
              </w:rPr>
            </w:pPr>
          </w:p>
        </w:tc>
        <w:tc>
          <w:tcPr>
            <w:tcW w:w="4146" w:type="dxa"/>
            <w:gridSpan w:val="2"/>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rPr/>
            </w:pPr>
            <w:r>
              <w:rPr>
                <w:rFonts w:ascii="宋体" w:cs="宋体" w:eastAsia="宋体" w:hAnsi="宋体" w:hint="eastAsia"/>
                <w:sz w:val="19"/>
                <w:szCs w:val="19"/>
              </w:rPr>
              <w:t>（二）部分公开</w:t>
            </w:r>
            <w:r>
              <w:rPr>
                <w:rFonts w:ascii="楷体" w:cs="楷体" w:eastAsia="楷体" w:hAnsi="楷体" w:hint="eastAsia"/>
                <w:sz w:val="19"/>
                <w:szCs w:val="19"/>
              </w:rPr>
              <w:t>（区分处理的，只计这一情形，不计其他情形）</w:t>
            </w: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r>
      <w:tr>
        <w:tblPrEx/>
        <w:trPr/>
        <w:tc>
          <w:tcPr>
            <w:tcW w:w="760" w:type="dxa"/>
            <w:vMerge w:val="continue"/>
            <w:tcBorders>
              <w:top w:val="nil"/>
              <w:left w:val="single" w:sz="6" w:space="0" w:color="auto"/>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rPr>
                <w:rFonts w:ascii="宋体" w:hint="eastAsia"/>
                <w:sz w:val="24"/>
                <w:szCs w:val="24"/>
              </w:rPr>
            </w:pPr>
          </w:p>
        </w:tc>
        <w:tc>
          <w:tcPr>
            <w:tcW w:w="941" w:type="dxa"/>
            <w:vMerge w:val="restart"/>
            <w:tcBorders>
              <w:top w:val="nil"/>
              <w:left w:val="nil"/>
              <w:bottom w:val="outset"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rPr/>
            </w:pPr>
            <w:r>
              <w:rPr>
                <w:rFonts w:ascii="宋体" w:cs="宋体" w:eastAsia="宋体" w:hAnsi="宋体" w:hint="eastAsia"/>
                <w:sz w:val="19"/>
                <w:szCs w:val="19"/>
              </w:rPr>
              <w:t>（三）不予公开</w:t>
            </w:r>
          </w:p>
        </w:tc>
        <w:tc>
          <w:tcPr>
            <w:tcW w:w="3205"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rPr/>
            </w:pPr>
            <w:r>
              <w:rPr>
                <w:sz w:val="19"/>
                <w:szCs w:val="19"/>
              </w:rPr>
              <w:t>1.属于国家秘密</w:t>
            </w: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single" w:sz="6" w:space="0" w:color="auto"/>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r>
      <w:tr>
        <w:tblPrEx/>
        <w:trPr/>
        <w:tc>
          <w:tcPr>
            <w:tcW w:w="760" w:type="dxa"/>
            <w:vMerge w:val="continue"/>
            <w:tcBorders>
              <w:top w:val="nil"/>
              <w:left w:val="single" w:sz="6" w:space="0" w:color="auto"/>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rPr>
                <w:rFonts w:ascii="宋体" w:hint="eastAsia"/>
                <w:sz w:val="24"/>
                <w:szCs w:val="24"/>
              </w:rPr>
            </w:pPr>
          </w:p>
        </w:tc>
        <w:tc>
          <w:tcPr>
            <w:tcW w:w="941" w:type="dxa"/>
            <w:vMerge w:val="continue"/>
            <w:tcBorders>
              <w:top w:val="nil"/>
              <w:left w:val="nil"/>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rPr>
                <w:rFonts w:ascii="宋体" w:hint="eastAsia"/>
                <w:sz w:val="24"/>
                <w:szCs w:val="24"/>
              </w:rPr>
            </w:pPr>
          </w:p>
        </w:tc>
        <w:tc>
          <w:tcPr>
            <w:tcW w:w="3205"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rPr/>
            </w:pPr>
            <w:r>
              <w:rPr>
                <w:sz w:val="19"/>
                <w:szCs w:val="19"/>
              </w:rPr>
              <w:t>2.其他法律行政法规禁止公开</w:t>
            </w: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r>
      <w:tr>
        <w:tblPrEx/>
        <w:trPr/>
        <w:tc>
          <w:tcPr>
            <w:tcW w:w="760" w:type="dxa"/>
            <w:vMerge w:val="continue"/>
            <w:tcBorders>
              <w:top w:val="nil"/>
              <w:left w:val="single" w:sz="6" w:space="0" w:color="auto"/>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rPr>
                <w:rFonts w:ascii="宋体" w:hint="eastAsia"/>
                <w:sz w:val="24"/>
                <w:szCs w:val="24"/>
              </w:rPr>
            </w:pPr>
          </w:p>
        </w:tc>
        <w:tc>
          <w:tcPr>
            <w:tcW w:w="941" w:type="dxa"/>
            <w:vMerge w:val="continue"/>
            <w:tcBorders>
              <w:top w:val="nil"/>
              <w:left w:val="nil"/>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rPr>
                <w:rFonts w:ascii="宋体" w:hint="eastAsia"/>
                <w:sz w:val="24"/>
                <w:szCs w:val="24"/>
              </w:rPr>
            </w:pPr>
          </w:p>
        </w:tc>
        <w:tc>
          <w:tcPr>
            <w:tcW w:w="3205"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rPr/>
            </w:pPr>
            <w:r>
              <w:rPr>
                <w:sz w:val="19"/>
                <w:szCs w:val="19"/>
              </w:rPr>
              <w:t>3.危及“三安全一稳定”</w:t>
            </w: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r>
      <w:tr>
        <w:tblPrEx/>
        <w:trPr/>
        <w:tc>
          <w:tcPr>
            <w:tcW w:w="760" w:type="dxa"/>
            <w:vMerge w:val="continue"/>
            <w:tcBorders>
              <w:top w:val="nil"/>
              <w:left w:val="single" w:sz="6" w:space="0" w:color="auto"/>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rPr>
                <w:rFonts w:ascii="宋体" w:hint="eastAsia"/>
                <w:sz w:val="24"/>
                <w:szCs w:val="24"/>
              </w:rPr>
            </w:pPr>
          </w:p>
        </w:tc>
        <w:tc>
          <w:tcPr>
            <w:tcW w:w="941" w:type="dxa"/>
            <w:vMerge w:val="continue"/>
            <w:tcBorders>
              <w:top w:val="nil"/>
              <w:left w:val="nil"/>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rPr>
                <w:rFonts w:ascii="宋体" w:hint="eastAsia"/>
                <w:sz w:val="24"/>
                <w:szCs w:val="24"/>
              </w:rPr>
            </w:pPr>
          </w:p>
        </w:tc>
        <w:tc>
          <w:tcPr>
            <w:tcW w:w="3205"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rPr/>
            </w:pPr>
            <w:r>
              <w:rPr>
                <w:sz w:val="19"/>
                <w:szCs w:val="19"/>
              </w:rPr>
              <w:t>4.保护第三方合法权益</w:t>
            </w: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r>
      <w:tr>
        <w:tblPrEx/>
        <w:trPr/>
        <w:tc>
          <w:tcPr>
            <w:tcW w:w="760" w:type="dxa"/>
            <w:vMerge w:val="continue"/>
            <w:tcBorders>
              <w:top w:val="nil"/>
              <w:left w:val="single" w:sz="6" w:space="0" w:color="auto"/>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rPr>
                <w:rFonts w:ascii="宋体" w:hint="eastAsia"/>
                <w:sz w:val="24"/>
                <w:szCs w:val="24"/>
              </w:rPr>
            </w:pPr>
          </w:p>
        </w:tc>
        <w:tc>
          <w:tcPr>
            <w:tcW w:w="941" w:type="dxa"/>
            <w:vMerge w:val="continue"/>
            <w:tcBorders>
              <w:top w:val="nil"/>
              <w:left w:val="nil"/>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rPr>
                <w:rFonts w:ascii="宋体" w:hint="eastAsia"/>
                <w:sz w:val="24"/>
                <w:szCs w:val="24"/>
              </w:rPr>
            </w:pPr>
          </w:p>
        </w:tc>
        <w:tc>
          <w:tcPr>
            <w:tcW w:w="3205"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rPr/>
            </w:pPr>
            <w:r>
              <w:rPr>
                <w:sz w:val="19"/>
                <w:szCs w:val="19"/>
              </w:rPr>
              <w:t>5.属于三类内部事务信息</w:t>
            </w: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r>
      <w:tr>
        <w:tblPrEx/>
        <w:trPr/>
        <w:tc>
          <w:tcPr>
            <w:tcW w:w="760" w:type="dxa"/>
            <w:vMerge w:val="continue"/>
            <w:tcBorders>
              <w:top w:val="nil"/>
              <w:left w:val="single" w:sz="6" w:space="0" w:color="auto"/>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rPr>
                <w:rFonts w:ascii="宋体" w:hint="eastAsia"/>
                <w:sz w:val="24"/>
                <w:szCs w:val="24"/>
              </w:rPr>
            </w:pPr>
          </w:p>
        </w:tc>
        <w:tc>
          <w:tcPr>
            <w:tcW w:w="941" w:type="dxa"/>
            <w:vMerge w:val="continue"/>
            <w:tcBorders>
              <w:top w:val="nil"/>
              <w:left w:val="nil"/>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rPr>
                <w:rFonts w:ascii="宋体" w:hint="eastAsia"/>
                <w:sz w:val="24"/>
                <w:szCs w:val="24"/>
              </w:rPr>
            </w:pPr>
          </w:p>
        </w:tc>
        <w:tc>
          <w:tcPr>
            <w:tcW w:w="3205"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rPr/>
            </w:pPr>
            <w:r>
              <w:rPr>
                <w:sz w:val="19"/>
                <w:szCs w:val="19"/>
              </w:rPr>
              <w:t>6.属于四类过程性信息</w:t>
            </w: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r>
      <w:tr>
        <w:tblPrEx/>
        <w:trPr/>
        <w:tc>
          <w:tcPr>
            <w:tcW w:w="760" w:type="dxa"/>
            <w:vMerge w:val="continue"/>
            <w:tcBorders>
              <w:top w:val="nil"/>
              <w:left w:val="single" w:sz="6" w:space="0" w:color="auto"/>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rPr>
                <w:rFonts w:ascii="宋体" w:hint="eastAsia"/>
                <w:sz w:val="24"/>
                <w:szCs w:val="24"/>
              </w:rPr>
            </w:pPr>
          </w:p>
        </w:tc>
        <w:tc>
          <w:tcPr>
            <w:tcW w:w="941" w:type="dxa"/>
            <w:vMerge w:val="continue"/>
            <w:tcBorders>
              <w:top w:val="nil"/>
              <w:left w:val="nil"/>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rPr>
                <w:rFonts w:ascii="宋体" w:hint="eastAsia"/>
                <w:sz w:val="24"/>
                <w:szCs w:val="24"/>
              </w:rPr>
            </w:pPr>
          </w:p>
        </w:tc>
        <w:tc>
          <w:tcPr>
            <w:tcW w:w="3205"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rPr/>
            </w:pPr>
            <w:r>
              <w:rPr>
                <w:sz w:val="19"/>
                <w:szCs w:val="19"/>
              </w:rPr>
              <w:t>7.属于行政执法案卷</w:t>
            </w: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r>
      <w:tr>
        <w:tblPrEx/>
        <w:trPr/>
        <w:tc>
          <w:tcPr>
            <w:tcW w:w="760" w:type="dxa"/>
            <w:vMerge w:val="continue"/>
            <w:tcBorders>
              <w:top w:val="nil"/>
              <w:left w:val="single" w:sz="6" w:space="0" w:color="auto"/>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rPr>
                <w:rFonts w:ascii="宋体" w:hint="eastAsia"/>
                <w:sz w:val="24"/>
                <w:szCs w:val="24"/>
              </w:rPr>
            </w:pPr>
          </w:p>
        </w:tc>
        <w:tc>
          <w:tcPr>
            <w:tcW w:w="941" w:type="dxa"/>
            <w:vMerge w:val="continue"/>
            <w:tcBorders>
              <w:top w:val="nil"/>
              <w:left w:val="nil"/>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rPr>
                <w:rFonts w:ascii="宋体" w:hint="eastAsia"/>
                <w:sz w:val="24"/>
                <w:szCs w:val="24"/>
              </w:rPr>
            </w:pPr>
          </w:p>
        </w:tc>
        <w:tc>
          <w:tcPr>
            <w:tcW w:w="3205"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rPr/>
            </w:pPr>
            <w:r>
              <w:rPr>
                <w:sz w:val="19"/>
                <w:szCs w:val="19"/>
              </w:rPr>
              <w:t>8.属于行政查询事项</w:t>
            </w: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r>
      <w:tr>
        <w:tblPrEx/>
        <w:trPr/>
        <w:tc>
          <w:tcPr>
            <w:tcW w:w="760" w:type="dxa"/>
            <w:vMerge w:val="continue"/>
            <w:tcBorders>
              <w:top w:val="nil"/>
              <w:left w:val="single" w:sz="6" w:space="0" w:color="auto"/>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rPr>
                <w:rFonts w:ascii="宋体" w:hint="eastAsia"/>
                <w:sz w:val="24"/>
                <w:szCs w:val="24"/>
              </w:rPr>
            </w:pPr>
          </w:p>
        </w:tc>
        <w:tc>
          <w:tcPr>
            <w:tcW w:w="941" w:type="dxa"/>
            <w:vMerge w:val="restart"/>
            <w:tcBorders>
              <w:top w:val="nil"/>
              <w:left w:val="nil"/>
              <w:bottom w:val="outset"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rPr/>
            </w:pPr>
            <w:r>
              <w:rPr>
                <w:rFonts w:ascii="宋体" w:cs="宋体" w:eastAsia="宋体" w:hAnsi="宋体" w:hint="eastAsia"/>
                <w:sz w:val="19"/>
                <w:szCs w:val="19"/>
              </w:rPr>
              <w:t>（四）无法提供</w:t>
            </w:r>
          </w:p>
        </w:tc>
        <w:tc>
          <w:tcPr>
            <w:tcW w:w="3205"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rPr/>
            </w:pPr>
            <w:r>
              <w:rPr>
                <w:sz w:val="19"/>
                <w:szCs w:val="19"/>
              </w:rPr>
              <w:t>1.本机关不掌握相关政府信息</w:t>
            </w: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r>
      <w:tr>
        <w:tblPrEx/>
        <w:trPr/>
        <w:tc>
          <w:tcPr>
            <w:tcW w:w="760" w:type="dxa"/>
            <w:vMerge w:val="continue"/>
            <w:tcBorders>
              <w:top w:val="nil"/>
              <w:left w:val="single" w:sz="6" w:space="0" w:color="auto"/>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rPr>
                <w:rFonts w:ascii="宋体" w:hint="eastAsia"/>
                <w:sz w:val="24"/>
                <w:szCs w:val="24"/>
              </w:rPr>
            </w:pPr>
          </w:p>
        </w:tc>
        <w:tc>
          <w:tcPr>
            <w:tcW w:w="941" w:type="dxa"/>
            <w:vMerge w:val="continue"/>
            <w:tcBorders>
              <w:top w:val="nil"/>
              <w:left w:val="nil"/>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rPr>
                <w:rFonts w:ascii="宋体" w:hint="eastAsia"/>
                <w:sz w:val="24"/>
                <w:szCs w:val="24"/>
              </w:rPr>
            </w:pPr>
          </w:p>
        </w:tc>
        <w:tc>
          <w:tcPr>
            <w:tcW w:w="3205"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rPr/>
            </w:pPr>
            <w:r>
              <w:rPr>
                <w:sz w:val="19"/>
                <w:szCs w:val="19"/>
              </w:rPr>
              <w:t>2.没有现成信息需要另行制作</w:t>
            </w: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r>
      <w:tr>
        <w:tblPrEx/>
        <w:trPr/>
        <w:tc>
          <w:tcPr>
            <w:tcW w:w="760" w:type="dxa"/>
            <w:vMerge w:val="continue"/>
            <w:tcBorders>
              <w:top w:val="nil"/>
              <w:left w:val="single" w:sz="6" w:space="0" w:color="auto"/>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rPr>
                <w:rFonts w:ascii="宋体" w:hint="eastAsia"/>
                <w:sz w:val="24"/>
                <w:szCs w:val="24"/>
              </w:rPr>
            </w:pPr>
          </w:p>
        </w:tc>
        <w:tc>
          <w:tcPr>
            <w:tcW w:w="941" w:type="dxa"/>
            <w:vMerge w:val="continue"/>
            <w:tcBorders>
              <w:top w:val="nil"/>
              <w:left w:val="nil"/>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rPr>
                <w:rFonts w:ascii="宋体" w:hint="eastAsia"/>
                <w:sz w:val="24"/>
                <w:szCs w:val="24"/>
              </w:rPr>
            </w:pPr>
          </w:p>
        </w:tc>
        <w:tc>
          <w:tcPr>
            <w:tcW w:w="3205"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rPr/>
            </w:pPr>
            <w:r>
              <w:rPr>
                <w:sz w:val="19"/>
                <w:szCs w:val="19"/>
              </w:rPr>
              <w:t>3.补正后申请内容仍不明确</w:t>
            </w: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r>
      <w:tr>
        <w:tblPrEx/>
        <w:trPr/>
        <w:tc>
          <w:tcPr>
            <w:tcW w:w="760" w:type="dxa"/>
            <w:vMerge w:val="continue"/>
            <w:tcBorders>
              <w:top w:val="nil"/>
              <w:left w:val="single" w:sz="6" w:space="0" w:color="auto"/>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rPr>
                <w:rFonts w:ascii="宋体" w:hint="eastAsia"/>
                <w:sz w:val="24"/>
                <w:szCs w:val="24"/>
              </w:rPr>
            </w:pPr>
          </w:p>
        </w:tc>
        <w:tc>
          <w:tcPr>
            <w:tcW w:w="941" w:type="dxa"/>
            <w:vMerge w:val="restart"/>
            <w:tcBorders>
              <w:top w:val="nil"/>
              <w:left w:val="nil"/>
              <w:bottom w:val="outset"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rPr/>
            </w:pPr>
            <w:r>
              <w:rPr>
                <w:rFonts w:ascii="宋体" w:cs="宋体" w:eastAsia="宋体" w:hAnsi="宋体" w:hint="eastAsia"/>
                <w:sz w:val="19"/>
                <w:szCs w:val="19"/>
              </w:rPr>
              <w:t>（五）不予处理</w:t>
            </w:r>
          </w:p>
        </w:tc>
        <w:tc>
          <w:tcPr>
            <w:tcW w:w="3205"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rPr/>
            </w:pPr>
            <w:r>
              <w:rPr>
                <w:sz w:val="19"/>
                <w:szCs w:val="19"/>
              </w:rPr>
              <w:t>1.信访举报投诉类申请</w:t>
            </w: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r>
      <w:tr>
        <w:tblPrEx/>
        <w:trPr/>
        <w:tc>
          <w:tcPr>
            <w:tcW w:w="760" w:type="dxa"/>
            <w:vMerge w:val="continue"/>
            <w:tcBorders>
              <w:top w:val="nil"/>
              <w:left w:val="single" w:sz="6" w:space="0" w:color="auto"/>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rPr>
                <w:rFonts w:ascii="宋体" w:hint="eastAsia"/>
                <w:sz w:val="24"/>
                <w:szCs w:val="24"/>
              </w:rPr>
            </w:pPr>
          </w:p>
        </w:tc>
        <w:tc>
          <w:tcPr>
            <w:tcW w:w="941" w:type="dxa"/>
            <w:vMerge w:val="continue"/>
            <w:tcBorders>
              <w:top w:val="nil"/>
              <w:left w:val="nil"/>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rPr>
                <w:rFonts w:ascii="宋体" w:hint="eastAsia"/>
                <w:sz w:val="24"/>
                <w:szCs w:val="24"/>
              </w:rPr>
            </w:pPr>
          </w:p>
        </w:tc>
        <w:tc>
          <w:tcPr>
            <w:tcW w:w="3205"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rPr/>
            </w:pPr>
            <w:r>
              <w:rPr>
                <w:sz w:val="19"/>
                <w:szCs w:val="19"/>
              </w:rPr>
              <w:t>2.重复申请</w:t>
            </w: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rFonts w:eastAsia="宋体" w:hint="default"/>
                <w:lang w:val="en-US" w:eastAsia="zh-CN"/>
              </w:rPr>
            </w:pPr>
            <w:r>
              <w:rPr>
                <w:rFonts w:hint="eastAsia"/>
                <w:lang w:val="en-US" w:eastAsia="zh-CN"/>
              </w:rPr>
              <w:t>0</w:t>
            </w:r>
          </w:p>
        </w:tc>
      </w:tr>
      <w:tr>
        <w:tblPrEx/>
        <w:trPr/>
        <w:tc>
          <w:tcPr>
            <w:tcW w:w="760" w:type="dxa"/>
            <w:vMerge w:val="continue"/>
            <w:tcBorders>
              <w:top w:val="nil"/>
              <w:left w:val="single" w:sz="6" w:space="0" w:color="auto"/>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rPr>
                <w:rFonts w:ascii="宋体" w:hint="eastAsia"/>
                <w:sz w:val="24"/>
                <w:szCs w:val="24"/>
              </w:rPr>
            </w:pPr>
          </w:p>
        </w:tc>
        <w:tc>
          <w:tcPr>
            <w:tcW w:w="941" w:type="dxa"/>
            <w:vMerge w:val="continue"/>
            <w:tcBorders>
              <w:top w:val="nil"/>
              <w:left w:val="nil"/>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rPr>
                <w:rFonts w:ascii="宋体" w:hint="eastAsia"/>
                <w:sz w:val="24"/>
                <w:szCs w:val="24"/>
              </w:rPr>
            </w:pPr>
          </w:p>
        </w:tc>
        <w:tc>
          <w:tcPr>
            <w:tcW w:w="3205"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rPr/>
            </w:pPr>
            <w:r>
              <w:rPr>
                <w:sz w:val="19"/>
                <w:szCs w:val="19"/>
              </w:rPr>
              <w:t>3.要求提供公开出版物</w:t>
            </w: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r>
      <w:tr>
        <w:tblPrEx/>
        <w:trPr/>
        <w:tc>
          <w:tcPr>
            <w:tcW w:w="760" w:type="dxa"/>
            <w:vMerge w:val="continue"/>
            <w:tcBorders>
              <w:top w:val="nil"/>
              <w:left w:val="single" w:sz="6" w:space="0" w:color="auto"/>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rPr>
                <w:rFonts w:ascii="宋体" w:hint="eastAsia"/>
                <w:sz w:val="24"/>
                <w:szCs w:val="24"/>
              </w:rPr>
            </w:pPr>
          </w:p>
        </w:tc>
        <w:tc>
          <w:tcPr>
            <w:tcW w:w="941" w:type="dxa"/>
            <w:vMerge w:val="continue"/>
            <w:tcBorders>
              <w:top w:val="nil"/>
              <w:left w:val="nil"/>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rPr>
                <w:rFonts w:ascii="宋体" w:hint="eastAsia"/>
                <w:sz w:val="24"/>
                <w:szCs w:val="24"/>
              </w:rPr>
            </w:pPr>
          </w:p>
        </w:tc>
        <w:tc>
          <w:tcPr>
            <w:tcW w:w="3205"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rPr/>
            </w:pPr>
            <w:r>
              <w:rPr>
                <w:sz w:val="19"/>
                <w:szCs w:val="19"/>
              </w:rPr>
              <w:t>4.无正当理由大量反复申请</w:t>
            </w: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r>
      <w:tr>
        <w:tblPrEx/>
        <w:trPr>
          <w:trHeight w:val="780" w:hRule="atLeast"/>
        </w:trPr>
        <w:tc>
          <w:tcPr>
            <w:tcW w:w="760" w:type="dxa"/>
            <w:vMerge w:val="continue"/>
            <w:tcBorders>
              <w:top w:val="nil"/>
              <w:left w:val="single" w:sz="6" w:space="0" w:color="auto"/>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rPr>
                <w:rFonts w:ascii="宋体" w:hint="eastAsia"/>
                <w:sz w:val="24"/>
                <w:szCs w:val="24"/>
              </w:rPr>
            </w:pPr>
          </w:p>
        </w:tc>
        <w:tc>
          <w:tcPr>
            <w:tcW w:w="941" w:type="dxa"/>
            <w:vMerge w:val="continue"/>
            <w:tcBorders>
              <w:top w:val="nil"/>
              <w:left w:val="nil"/>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rPr>
                <w:rFonts w:ascii="宋体" w:hint="eastAsia"/>
                <w:sz w:val="24"/>
                <w:szCs w:val="24"/>
              </w:rPr>
            </w:pPr>
          </w:p>
        </w:tc>
        <w:tc>
          <w:tcPr>
            <w:tcW w:w="3205" w:type="dxa"/>
            <w:tcBorders>
              <w:top w:val="nil"/>
              <w:left w:val="nil"/>
              <w:bottom w:val="outset"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both"/>
              <w:rPr/>
            </w:pPr>
            <w:r>
              <w:rPr>
                <w:sz w:val="19"/>
                <w:szCs w:val="19"/>
              </w:rPr>
              <w:t>5.要求行政机关确认或重新出具已获取信息</w:t>
            </w:r>
          </w:p>
        </w:tc>
        <w:tc>
          <w:tcPr>
            <w:tcW w:w="692" w:type="dxa"/>
            <w:tcBorders>
              <w:top w:val="nil"/>
              <w:left w:val="nil"/>
              <w:bottom w:val="outset"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outset"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outset"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outset"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outset"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outset"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outset"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r>
      <w:tr>
        <w:tblPrEx/>
        <w:trPr/>
        <w:tc>
          <w:tcPr>
            <w:tcW w:w="760" w:type="dxa"/>
            <w:vMerge w:val="continue"/>
            <w:tcBorders>
              <w:top w:val="nil"/>
              <w:left w:val="single" w:sz="6" w:space="0" w:color="auto"/>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rPr>
                <w:rFonts w:ascii="宋体" w:hint="eastAsia"/>
                <w:sz w:val="24"/>
                <w:szCs w:val="24"/>
              </w:rPr>
            </w:pPr>
          </w:p>
        </w:tc>
        <w:tc>
          <w:tcPr>
            <w:tcW w:w="941" w:type="dxa"/>
            <w:vMerge w:val="restart"/>
            <w:tcBorders>
              <w:top w:val="outset" w:sz="6" w:space="0" w:color="auto"/>
              <w:left w:val="nil"/>
              <w:bottom w:val="outset"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rPr/>
            </w:pPr>
            <w:r>
              <w:rPr>
                <w:rFonts w:ascii="宋体" w:cs="宋体" w:eastAsia="宋体" w:hAnsi="宋体" w:hint="eastAsia"/>
                <w:sz w:val="19"/>
                <w:szCs w:val="19"/>
              </w:rPr>
              <w:t>（六）其他处理</w:t>
            </w:r>
          </w:p>
        </w:tc>
        <w:tc>
          <w:tcPr>
            <w:tcW w:w="3205"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both"/>
              <w:rPr/>
            </w:pPr>
            <w:r>
              <w:rPr>
                <w:rFonts w:ascii="宋体" w:cs="宋体" w:eastAsia="宋体" w:hAnsi="宋体" w:hint="eastAsia"/>
                <w:sz w:val="19"/>
                <w:szCs w:val="19"/>
              </w:rPr>
              <w:t>1.申请人无正当理由逾期不补正、行政机关不再处理其政府信息公开申请</w:t>
            </w: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r>
      <w:tr>
        <w:tblPrEx/>
        <w:trPr/>
        <w:tc>
          <w:tcPr>
            <w:tcW w:w="760" w:type="dxa"/>
            <w:vMerge w:val="continue"/>
            <w:tcBorders>
              <w:top w:val="nil"/>
              <w:left w:val="single" w:sz="6" w:space="0" w:color="auto"/>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rPr>
                <w:rFonts w:ascii="宋体" w:hint="eastAsia"/>
                <w:sz w:val="24"/>
                <w:szCs w:val="24"/>
              </w:rPr>
            </w:pPr>
          </w:p>
        </w:tc>
        <w:tc>
          <w:tcPr>
            <w:tcW w:w="941" w:type="dxa"/>
            <w:vMerge w:val="continue"/>
            <w:tcBorders>
              <w:top w:val="outset" w:sz="6" w:space="0" w:color="auto"/>
              <w:left w:val="nil"/>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rPr>
                <w:rFonts w:ascii="宋体" w:hint="eastAsia"/>
                <w:sz w:val="24"/>
                <w:szCs w:val="24"/>
              </w:rPr>
            </w:pPr>
          </w:p>
        </w:tc>
        <w:tc>
          <w:tcPr>
            <w:tcW w:w="3205"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jc w:val="both"/>
              <w:rPr/>
            </w:pPr>
            <w:r>
              <w:rPr>
                <w:rFonts w:ascii="宋体" w:cs="宋体" w:eastAsia="宋体" w:hAnsi="宋体" w:hint="eastAsia"/>
                <w:sz w:val="19"/>
                <w:szCs w:val="19"/>
              </w:rPr>
              <w:t>2.申请人逾期未按收费通知要求缴纳费用、行政机关不再处理其政府信息公开申请</w:t>
            </w: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r>
      <w:tr>
        <w:tblPrEx/>
        <w:trPr/>
        <w:tc>
          <w:tcPr>
            <w:tcW w:w="760" w:type="dxa"/>
            <w:vMerge w:val="continue"/>
            <w:tcBorders>
              <w:top w:val="nil"/>
              <w:left w:val="single" w:sz="6" w:space="0" w:color="auto"/>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rPr>
                <w:rFonts w:ascii="宋体" w:hint="eastAsia"/>
                <w:sz w:val="24"/>
                <w:szCs w:val="24"/>
              </w:rPr>
            </w:pPr>
          </w:p>
        </w:tc>
        <w:tc>
          <w:tcPr>
            <w:tcW w:w="941" w:type="dxa"/>
            <w:vMerge w:val="continue"/>
            <w:tcBorders>
              <w:top w:val="outset" w:sz="6" w:space="0" w:color="auto"/>
              <w:left w:val="nil"/>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rPr>
                <w:rFonts w:ascii="宋体" w:hint="eastAsia"/>
                <w:sz w:val="24"/>
                <w:szCs w:val="24"/>
              </w:rPr>
            </w:pPr>
          </w:p>
        </w:tc>
        <w:tc>
          <w:tcPr>
            <w:tcW w:w="3205"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rPr/>
            </w:pPr>
            <w:r>
              <w:rPr>
                <w:rFonts w:ascii="宋体" w:cs="宋体" w:eastAsia="宋体" w:hAnsi="宋体" w:hint="eastAsia"/>
                <w:sz w:val="19"/>
                <w:szCs w:val="19"/>
              </w:rPr>
              <w:t>3.其他</w:t>
            </w: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r>
      <w:tr>
        <w:tblPrEx/>
        <w:trPr/>
        <w:tc>
          <w:tcPr>
            <w:tcW w:w="760" w:type="dxa"/>
            <w:vMerge w:val="continue"/>
            <w:tcBorders>
              <w:top w:val="nil"/>
              <w:left w:val="single" w:sz="6" w:space="0" w:color="auto"/>
              <w:bottom w:val="outset" w:sz="6" w:space="0" w:color="auto"/>
              <w:right w:val="single" w:sz="6" w:space="0" w:color="auto"/>
            </w:tcBorders>
            <w:shd w:val="clear" w:color="auto" w:fill="auto"/>
            <w:tcMar>
              <w:top w:w="0" w:type="dxa"/>
              <w:left w:w="60" w:type="dxa"/>
              <w:bottom w:w="0" w:type="dxa"/>
              <w:right w:w="60" w:type="dxa"/>
            </w:tcMar>
            <w:vAlign w:val="center"/>
          </w:tcPr>
          <w:p>
            <w:pPr>
              <w:pStyle w:val="style0"/>
              <w:rPr>
                <w:rFonts w:ascii="宋体" w:hint="eastAsia"/>
                <w:sz w:val="24"/>
                <w:szCs w:val="24"/>
              </w:rPr>
            </w:pPr>
          </w:p>
        </w:tc>
        <w:tc>
          <w:tcPr>
            <w:tcW w:w="4146" w:type="dxa"/>
            <w:gridSpan w:val="2"/>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rPr/>
            </w:pPr>
            <w:r>
              <w:rPr>
                <w:rFonts w:ascii="宋体" w:cs="宋体" w:eastAsia="宋体" w:hAnsi="宋体" w:hint="eastAsia"/>
                <w:sz w:val="19"/>
                <w:szCs w:val="19"/>
              </w:rPr>
              <w:t>（七）总计</w:t>
            </w: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r>
      <w:tr>
        <w:tblPrEx/>
        <w:trPr/>
        <w:tc>
          <w:tcPr>
            <w:tcW w:w="4906" w:type="dxa"/>
            <w:gridSpan w:val="3"/>
            <w:tcBorders>
              <w:top w:val="nil"/>
              <w:left w:val="single" w:sz="6" w:space="0" w:color="auto"/>
              <w:bottom w:val="single" w:sz="6" w:space="0" w:color="auto"/>
              <w:right w:val="single" w:sz="6" w:space="0" w:color="auto"/>
            </w:tcBorders>
            <w:shd w:val="clear" w:color="auto" w:fill="auto"/>
            <w:tcMar>
              <w:top w:w="0" w:type="dxa"/>
              <w:left w:w="60" w:type="dxa"/>
              <w:bottom w:w="0" w:type="dxa"/>
              <w:right w:w="60"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rPr/>
            </w:pPr>
            <w:r>
              <w:rPr>
                <w:rFonts w:ascii="宋体" w:cs="宋体" w:eastAsia="宋体" w:hAnsi="宋体" w:hint="eastAsia"/>
                <w:sz w:val="19"/>
                <w:szCs w:val="19"/>
              </w:rPr>
              <w:t>四、结转下年度继续办理</w:t>
            </w: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vAlign w:val="center"/>
          </w:tcPr>
          <w:p>
            <w:pPr>
              <w:pStyle w:val="style0"/>
              <w:keepNext w:val="false"/>
              <w:keepLines w:val="false"/>
              <w:widowControl/>
              <w:suppressLineNumbers w:val="false"/>
              <w:spacing w:before="0" w:beforeAutospacing="false" w:after="0" w:afterAutospacing="false"/>
              <w:ind w:left="0" w:right="0"/>
              <w:jc w:val="left"/>
              <w:rPr/>
            </w:pPr>
          </w:p>
        </w:tc>
        <w:tc>
          <w:tcPr>
            <w:tcW w:w="692" w:type="dxa"/>
            <w:tcBorders>
              <w:top w:val="nil"/>
              <w:left w:val="nil"/>
              <w:bottom w:val="single" w:sz="6" w:space="0" w:color="auto"/>
              <w:right w:val="single" w:sz="6" w:space="0" w:color="auto"/>
            </w:tcBorders>
            <w:shd w:val="clear" w:color="auto" w:fill="auto"/>
            <w:tcMar>
              <w:top w:w="0" w:type="dxa"/>
              <w:left w:w="60" w:type="dxa"/>
              <w:bottom w:w="0" w:type="dxa"/>
              <w:right w:w="60" w:type="dxa"/>
            </w:tcMa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r>
    </w:tbl>
    <w:p>
      <w:pPr>
        <w:pStyle w:val="style32"/>
        <w:bidi w:val="false"/>
        <w:rPr>
          <w:rFonts w:hint="eastAsia"/>
        </w:rPr>
      </w:pPr>
    </w:p>
    <w:p>
      <w:pPr>
        <w:pStyle w:val="style32"/>
        <w:bidi w:val="false"/>
        <w:rPr>
          <w:rFonts w:hint="eastAsia"/>
          <w:b/>
          <w:bCs/>
          <w:sz w:val="28"/>
          <w:szCs w:val="28"/>
        </w:rPr>
      </w:pPr>
    </w:p>
    <w:p>
      <w:pPr>
        <w:pStyle w:val="style32"/>
        <w:numPr>
          <w:ilvl w:val="0"/>
          <w:numId w:val="1"/>
        </w:numPr>
        <w:bidi w:val="false"/>
        <w:rPr>
          <w:rFonts w:hint="eastAsia"/>
          <w:b/>
          <w:bCs/>
          <w:sz w:val="28"/>
          <w:szCs w:val="28"/>
        </w:rPr>
      </w:pPr>
      <w:r>
        <w:rPr>
          <w:rFonts w:hint="eastAsia"/>
          <w:b/>
          <w:bCs/>
          <w:sz w:val="28"/>
          <w:szCs w:val="28"/>
        </w:rPr>
        <w:t>政府信息公开行政复议、行政诉讼情况</w:t>
      </w:r>
    </w:p>
    <w:p>
      <w:pPr>
        <w:pStyle w:val="style32"/>
        <w:numPr>
          <w:ilvl w:val="0"/>
          <w:numId w:val="0"/>
        </w:numPr>
        <w:bidi w:val="false"/>
        <w:rPr>
          <w:rFonts w:hint="eastAsia"/>
          <w:b/>
          <w:bCs/>
          <w:sz w:val="28"/>
          <w:szCs w:val="28"/>
        </w:rPr>
      </w:pPr>
    </w:p>
    <w:tbl>
      <w:tblPr>
        <w:tblStyle w:val="style105"/>
        <w:tblpPr w:leftFromText="180" w:rightFromText="180" w:topFromText="0" w:bottomFromText="0" w:vertAnchor="text" w:horzAnchor="page" w:tblpX="1202" w:tblpY="207"/>
        <w:tblOverlap w:val="never"/>
        <w:tblW w:w="9750" w:type="dxa"/>
        <w:tblInd w:w="0" w:type="dxa"/>
        <w:tblBorders>
          <w:top w:val="single" w:sz="6" w:space="0" w:color="a5a5a5"/>
          <w:left w:val="single" w:sz="6" w:space="0" w:color="a5a5a5"/>
          <w:bottom w:val="single" w:sz="6" w:space="0" w:color="a5a5a5"/>
          <w:right w:val="single" w:sz="6" w:space="0" w:color="a5a5a5"/>
          <w:insideH w:val="none" w:sz="0" w:space="0" w:color="auto"/>
          <w:insideV w:val="none" w:sz="0" w:space="0" w:color="auto"/>
        </w:tblBorders>
        <w:shd w:val="clear" w:color="auto" w:fill="auto"/>
        <w:tblCellMar>
          <w:top w:w="0" w:type="dxa"/>
          <w:left w:w="0" w:type="dxa"/>
          <w:bottom w:w="0" w:type="dxa"/>
          <w:right w:w="0" w:type="dxa"/>
        </w:tblCellMar>
      </w:tblPr>
      <w:tblGrid>
        <w:gridCol w:w="650"/>
        <w:gridCol w:w="650"/>
        <w:gridCol w:w="650"/>
        <w:gridCol w:w="650"/>
        <w:gridCol w:w="650"/>
        <w:gridCol w:w="650"/>
        <w:gridCol w:w="650"/>
        <w:gridCol w:w="650"/>
        <w:gridCol w:w="650"/>
        <w:gridCol w:w="650"/>
        <w:gridCol w:w="650"/>
        <w:gridCol w:w="650"/>
        <w:gridCol w:w="650"/>
        <w:gridCol w:w="650"/>
        <w:gridCol w:w="650"/>
      </w:tblGrid>
      <w:tr>
        <w:trPr/>
        <w:tc>
          <w:tcPr>
            <w:tcW w:w="3250" w:type="dxa"/>
            <w:gridSpan w:val="5"/>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firstLine="0"/>
              <w:jc w:val="center"/>
              <w:rPr/>
            </w:pPr>
            <w:r>
              <w:rPr>
                <w:rFonts w:ascii="宋体" w:cs="宋体" w:eastAsia="宋体" w:hAnsi="宋体" w:hint="eastAsia"/>
                <w:sz w:val="19"/>
                <w:szCs w:val="19"/>
              </w:rPr>
              <w:t>行政复议</w:t>
            </w:r>
          </w:p>
        </w:tc>
        <w:tc>
          <w:tcPr>
            <w:tcW w:w="6500" w:type="dxa"/>
            <w:gridSpan w:val="10"/>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firstLine="0"/>
              <w:jc w:val="center"/>
              <w:rPr/>
            </w:pPr>
            <w:r>
              <w:rPr>
                <w:rFonts w:ascii="宋体" w:cs="宋体" w:eastAsia="宋体" w:hAnsi="宋体" w:hint="eastAsia"/>
                <w:sz w:val="19"/>
                <w:szCs w:val="19"/>
              </w:rPr>
              <w:t>行政诉讼</w:t>
            </w:r>
          </w:p>
        </w:tc>
      </w:tr>
      <w:tr>
        <w:tblPrEx/>
        <w:trPr/>
        <w:tc>
          <w:tcPr>
            <w:tcW w:w="650"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firstLine="0"/>
              <w:jc w:val="center"/>
              <w:rPr/>
            </w:pPr>
            <w:r>
              <w:rPr>
                <w:rFonts w:ascii="宋体" w:cs="宋体" w:eastAsia="宋体" w:hAnsi="宋体" w:hint="eastAsia"/>
                <w:sz w:val="19"/>
                <w:szCs w:val="19"/>
              </w:rPr>
              <w:t>结果维持</w:t>
            </w:r>
          </w:p>
        </w:tc>
        <w:tc>
          <w:tcPr>
            <w:tcW w:w="650"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firstLine="0"/>
              <w:jc w:val="center"/>
              <w:rPr/>
            </w:pPr>
            <w:r>
              <w:rPr>
                <w:rFonts w:ascii="宋体" w:cs="宋体" w:eastAsia="宋体" w:hAnsi="宋体" w:hint="eastAsia"/>
                <w:sz w:val="19"/>
                <w:szCs w:val="19"/>
              </w:rPr>
              <w:t>结果</w:t>
            </w:r>
            <w:r>
              <w:rPr>
                <w:sz w:val="19"/>
                <w:szCs w:val="19"/>
              </w:rPr>
              <w:br/>
            </w:r>
            <w:r>
              <w:rPr>
                <w:rFonts w:ascii="宋体" w:cs="宋体" w:eastAsia="宋体" w:hAnsi="宋体" w:hint="eastAsia"/>
                <w:sz w:val="19"/>
                <w:szCs w:val="19"/>
              </w:rPr>
              <w:t>纠正</w:t>
            </w:r>
          </w:p>
        </w:tc>
        <w:tc>
          <w:tcPr>
            <w:tcW w:w="650" w:type="dxa"/>
            <w:vMerge w:val="restar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firstLine="0"/>
              <w:jc w:val="center"/>
              <w:rPr/>
            </w:pPr>
            <w:r>
              <w:rPr>
                <w:rFonts w:ascii="宋体" w:cs="宋体" w:eastAsia="宋体" w:hAnsi="宋体" w:hint="eastAsia"/>
                <w:sz w:val="19"/>
                <w:szCs w:val="19"/>
              </w:rPr>
              <w:t>其他</w:t>
            </w:r>
            <w:r>
              <w:rPr>
                <w:sz w:val="19"/>
                <w:szCs w:val="19"/>
              </w:rPr>
              <w:br/>
            </w:r>
            <w:r>
              <w:rPr>
                <w:rFonts w:ascii="宋体" w:cs="宋体" w:eastAsia="宋体" w:hAnsi="宋体" w:hint="eastAsia"/>
                <w:sz w:val="19"/>
                <w:szCs w:val="19"/>
              </w:rPr>
              <w:t>结果</w:t>
            </w:r>
          </w:p>
        </w:tc>
        <w:tc>
          <w:tcPr>
            <w:tcW w:w="650" w:type="dxa"/>
            <w:vMerge w:val="restar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firstLine="0"/>
              <w:jc w:val="center"/>
              <w:rPr/>
            </w:pPr>
            <w:r>
              <w:rPr>
                <w:rFonts w:ascii="宋体" w:cs="宋体" w:eastAsia="宋体" w:hAnsi="宋体" w:hint="eastAsia"/>
                <w:sz w:val="19"/>
                <w:szCs w:val="19"/>
              </w:rPr>
              <w:t>尚未</w:t>
            </w:r>
            <w:r>
              <w:rPr>
                <w:sz w:val="19"/>
                <w:szCs w:val="19"/>
              </w:rPr>
              <w:br/>
            </w:r>
            <w:r>
              <w:rPr>
                <w:rFonts w:ascii="宋体" w:cs="宋体" w:eastAsia="宋体" w:hAnsi="宋体" w:hint="eastAsia"/>
                <w:sz w:val="19"/>
                <w:szCs w:val="19"/>
              </w:rPr>
              <w:t>审结</w:t>
            </w:r>
          </w:p>
        </w:tc>
        <w:tc>
          <w:tcPr>
            <w:tcW w:w="650" w:type="dxa"/>
            <w:vMerge w:val="restar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firstLine="0"/>
              <w:jc w:val="center"/>
              <w:rPr/>
            </w:pPr>
            <w:r>
              <w:rPr>
                <w:rFonts w:ascii="宋体" w:cs="宋体" w:eastAsia="宋体" w:hAnsi="宋体" w:hint="eastAsia"/>
                <w:sz w:val="19"/>
                <w:szCs w:val="19"/>
              </w:rPr>
              <w:t>总计</w:t>
            </w:r>
          </w:p>
        </w:tc>
        <w:tc>
          <w:tcPr>
            <w:tcW w:w="3250" w:type="dxa"/>
            <w:gridSpan w:val="5"/>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firstLine="0"/>
              <w:jc w:val="center"/>
              <w:rPr/>
            </w:pPr>
            <w:r>
              <w:rPr>
                <w:rFonts w:ascii="宋体" w:cs="宋体" w:eastAsia="宋体" w:hAnsi="宋体" w:hint="eastAsia"/>
                <w:sz w:val="19"/>
                <w:szCs w:val="19"/>
              </w:rPr>
              <w:t>未经复议直接起诉</w:t>
            </w:r>
          </w:p>
        </w:tc>
        <w:tc>
          <w:tcPr>
            <w:tcW w:w="3250" w:type="dxa"/>
            <w:gridSpan w:val="5"/>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firstLine="0"/>
              <w:jc w:val="center"/>
              <w:rPr/>
            </w:pPr>
            <w:r>
              <w:rPr>
                <w:rFonts w:ascii="宋体" w:cs="宋体" w:eastAsia="宋体" w:hAnsi="宋体" w:hint="eastAsia"/>
                <w:sz w:val="19"/>
                <w:szCs w:val="19"/>
              </w:rPr>
              <w:t>复议后起诉</w:t>
            </w:r>
          </w:p>
        </w:tc>
      </w:tr>
      <w:tr>
        <w:tblPrEx/>
        <w:trPr/>
        <w:tc>
          <w:tcPr>
            <w:tcW w:w="650" w:type="dxa"/>
            <w:vMerge w:val="continue"/>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0"/>
              <w:rPr>
                <w:rFonts w:ascii="宋体" w:hint="eastAsia"/>
                <w:sz w:val="24"/>
                <w:szCs w:val="24"/>
              </w:rPr>
            </w:pPr>
          </w:p>
        </w:tc>
        <w:tc>
          <w:tcPr>
            <w:tcW w:w="650" w:type="dxa"/>
            <w:vMerge w:val="continue"/>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0"/>
              <w:rPr>
                <w:rFonts w:ascii="宋体" w:hint="eastAsia"/>
                <w:sz w:val="24"/>
                <w:szCs w:val="24"/>
              </w:rPr>
            </w:pPr>
          </w:p>
        </w:tc>
        <w:tc>
          <w:tcPr>
            <w:tcW w:w="650" w:type="dxa"/>
            <w:vMerge w:val="continue"/>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0"/>
              <w:rPr>
                <w:rFonts w:ascii="宋体" w:hint="eastAsia"/>
                <w:sz w:val="24"/>
                <w:szCs w:val="24"/>
              </w:rPr>
            </w:pPr>
          </w:p>
        </w:tc>
        <w:tc>
          <w:tcPr>
            <w:tcW w:w="650" w:type="dxa"/>
            <w:vMerge w:val="continue"/>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0"/>
              <w:rPr>
                <w:rFonts w:ascii="宋体" w:hint="eastAsia"/>
                <w:sz w:val="24"/>
                <w:szCs w:val="24"/>
              </w:rPr>
            </w:pPr>
          </w:p>
        </w:tc>
        <w:tc>
          <w:tcPr>
            <w:tcW w:w="650" w:type="dxa"/>
            <w:vMerge w:val="continue"/>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0"/>
              <w:rPr>
                <w:rFonts w:ascii="宋体" w:hint="eastAsia"/>
                <w:sz w:val="24"/>
                <w:szCs w:val="24"/>
              </w:rPr>
            </w:pPr>
          </w:p>
        </w:tc>
        <w:tc>
          <w:tcPr>
            <w:tcW w:w="6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firstLine="0"/>
              <w:jc w:val="center"/>
              <w:rPr/>
            </w:pPr>
            <w:r>
              <w:rPr>
                <w:rFonts w:ascii="宋体" w:cs="宋体" w:eastAsia="宋体" w:hAnsi="宋体" w:hint="eastAsia"/>
                <w:sz w:val="19"/>
                <w:szCs w:val="19"/>
              </w:rPr>
              <w:t>结果</w:t>
            </w:r>
            <w:r>
              <w:rPr>
                <w:sz w:val="19"/>
                <w:szCs w:val="19"/>
              </w:rPr>
              <w:br/>
            </w:r>
            <w:r>
              <w:rPr>
                <w:rFonts w:ascii="宋体" w:cs="宋体" w:eastAsia="宋体" w:hAnsi="宋体" w:hint="eastAsia"/>
                <w:sz w:val="19"/>
                <w:szCs w:val="19"/>
              </w:rPr>
              <w:t>维持</w:t>
            </w:r>
          </w:p>
        </w:tc>
        <w:tc>
          <w:tcPr>
            <w:tcW w:w="6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firstLine="0"/>
              <w:jc w:val="center"/>
              <w:rPr/>
            </w:pPr>
            <w:r>
              <w:rPr>
                <w:rFonts w:ascii="宋体" w:cs="宋体" w:eastAsia="宋体" w:hAnsi="宋体" w:hint="eastAsia"/>
                <w:sz w:val="19"/>
                <w:szCs w:val="19"/>
              </w:rPr>
              <w:t>结果</w:t>
            </w:r>
            <w:r>
              <w:rPr>
                <w:sz w:val="19"/>
                <w:szCs w:val="19"/>
              </w:rPr>
              <w:br/>
            </w:r>
            <w:r>
              <w:rPr>
                <w:rFonts w:ascii="宋体" w:cs="宋体" w:eastAsia="宋体" w:hAnsi="宋体" w:hint="eastAsia"/>
                <w:sz w:val="19"/>
                <w:szCs w:val="19"/>
              </w:rPr>
              <w:t>纠正</w:t>
            </w:r>
          </w:p>
        </w:tc>
        <w:tc>
          <w:tcPr>
            <w:tcW w:w="65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firstLine="0"/>
              <w:jc w:val="center"/>
              <w:rPr/>
            </w:pPr>
            <w:r>
              <w:rPr>
                <w:rFonts w:ascii="宋体" w:cs="宋体" w:eastAsia="宋体" w:hAnsi="宋体" w:hint="eastAsia"/>
                <w:sz w:val="19"/>
                <w:szCs w:val="19"/>
              </w:rPr>
              <w:t>其他</w:t>
            </w:r>
            <w:r>
              <w:rPr>
                <w:sz w:val="19"/>
                <w:szCs w:val="19"/>
              </w:rPr>
              <w:br/>
            </w:r>
            <w:r>
              <w:rPr>
                <w:rFonts w:ascii="宋体" w:cs="宋体" w:eastAsia="宋体" w:hAnsi="宋体" w:hint="eastAsia"/>
                <w:sz w:val="19"/>
                <w:szCs w:val="19"/>
              </w:rPr>
              <w:t>结果</w:t>
            </w:r>
          </w:p>
        </w:tc>
        <w:tc>
          <w:tcPr>
            <w:tcW w:w="65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firstLine="0"/>
              <w:jc w:val="center"/>
              <w:rPr/>
            </w:pPr>
            <w:r>
              <w:rPr>
                <w:rFonts w:ascii="宋体" w:cs="宋体" w:eastAsia="宋体" w:hAnsi="宋体" w:hint="eastAsia"/>
                <w:sz w:val="19"/>
                <w:szCs w:val="19"/>
              </w:rPr>
              <w:t>尚未</w:t>
            </w:r>
            <w:r>
              <w:rPr>
                <w:sz w:val="19"/>
                <w:szCs w:val="19"/>
              </w:rPr>
              <w:br/>
            </w:r>
            <w:r>
              <w:rPr>
                <w:rFonts w:ascii="宋体" w:cs="宋体" w:eastAsia="宋体" w:hAnsi="宋体" w:hint="eastAsia"/>
                <w:sz w:val="19"/>
                <w:szCs w:val="19"/>
              </w:rPr>
              <w:t>审结</w:t>
            </w:r>
          </w:p>
        </w:tc>
        <w:tc>
          <w:tcPr>
            <w:tcW w:w="65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firstLine="0"/>
              <w:jc w:val="center"/>
              <w:rPr/>
            </w:pPr>
            <w:r>
              <w:rPr>
                <w:rFonts w:ascii="宋体" w:cs="宋体" w:eastAsia="宋体" w:hAnsi="宋体" w:hint="eastAsia"/>
                <w:color w:val="000000"/>
                <w:sz w:val="19"/>
                <w:szCs w:val="19"/>
              </w:rPr>
              <w:t>总计</w:t>
            </w:r>
          </w:p>
        </w:tc>
        <w:tc>
          <w:tcPr>
            <w:tcW w:w="65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firstLine="0"/>
              <w:jc w:val="center"/>
              <w:rPr/>
            </w:pPr>
            <w:r>
              <w:rPr>
                <w:rFonts w:ascii="宋体" w:cs="宋体" w:eastAsia="宋体" w:hAnsi="宋体" w:hint="eastAsia"/>
                <w:sz w:val="19"/>
                <w:szCs w:val="19"/>
              </w:rPr>
              <w:t>结果</w:t>
            </w:r>
            <w:r>
              <w:rPr>
                <w:sz w:val="19"/>
                <w:szCs w:val="19"/>
              </w:rPr>
              <w:br/>
            </w:r>
            <w:r>
              <w:rPr>
                <w:rFonts w:ascii="宋体" w:cs="宋体" w:eastAsia="宋体" w:hAnsi="宋体" w:hint="eastAsia"/>
                <w:sz w:val="19"/>
                <w:szCs w:val="19"/>
              </w:rPr>
              <w:t>维持</w:t>
            </w:r>
          </w:p>
        </w:tc>
        <w:tc>
          <w:tcPr>
            <w:tcW w:w="65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firstLine="0"/>
              <w:jc w:val="center"/>
              <w:rPr/>
            </w:pPr>
            <w:r>
              <w:rPr>
                <w:rFonts w:ascii="宋体" w:cs="宋体" w:eastAsia="宋体" w:hAnsi="宋体" w:hint="eastAsia"/>
                <w:sz w:val="19"/>
                <w:szCs w:val="19"/>
              </w:rPr>
              <w:t>结果</w:t>
            </w:r>
            <w:r>
              <w:rPr>
                <w:sz w:val="19"/>
                <w:szCs w:val="19"/>
              </w:rPr>
              <w:br/>
            </w:r>
            <w:r>
              <w:rPr>
                <w:rFonts w:ascii="宋体" w:cs="宋体" w:eastAsia="宋体" w:hAnsi="宋体" w:hint="eastAsia"/>
                <w:sz w:val="19"/>
                <w:szCs w:val="19"/>
              </w:rPr>
              <w:t>纠正</w:t>
            </w:r>
          </w:p>
        </w:tc>
        <w:tc>
          <w:tcPr>
            <w:tcW w:w="65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firstLine="0"/>
              <w:jc w:val="center"/>
              <w:rPr/>
            </w:pPr>
            <w:r>
              <w:rPr>
                <w:rFonts w:ascii="宋体" w:cs="宋体" w:eastAsia="宋体" w:hAnsi="宋体" w:hint="eastAsia"/>
                <w:color w:val="000000"/>
                <w:sz w:val="19"/>
                <w:szCs w:val="19"/>
              </w:rPr>
              <w:t>其他</w:t>
            </w:r>
            <w:r>
              <w:rPr>
                <w:color w:val="000000"/>
                <w:sz w:val="19"/>
                <w:szCs w:val="19"/>
              </w:rPr>
              <w:br/>
            </w:r>
            <w:r>
              <w:rPr>
                <w:rFonts w:ascii="宋体" w:cs="宋体" w:eastAsia="宋体" w:hAnsi="宋体" w:hint="eastAsia"/>
                <w:color w:val="000000"/>
                <w:sz w:val="19"/>
                <w:szCs w:val="19"/>
              </w:rPr>
              <w:t>结果</w:t>
            </w:r>
          </w:p>
        </w:tc>
        <w:tc>
          <w:tcPr>
            <w:tcW w:w="65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firstLine="0"/>
              <w:jc w:val="center"/>
              <w:rPr/>
            </w:pPr>
            <w:r>
              <w:rPr>
                <w:rFonts w:ascii="宋体" w:cs="宋体" w:eastAsia="宋体" w:hAnsi="宋体" w:hint="eastAsia"/>
                <w:sz w:val="19"/>
                <w:szCs w:val="19"/>
              </w:rPr>
              <w:t>尚未</w:t>
            </w:r>
            <w:r>
              <w:rPr>
                <w:sz w:val="19"/>
                <w:szCs w:val="19"/>
              </w:rPr>
              <w:br/>
            </w:r>
            <w:r>
              <w:rPr>
                <w:rFonts w:ascii="宋体" w:cs="宋体" w:eastAsia="宋体" w:hAnsi="宋体" w:hint="eastAsia"/>
                <w:sz w:val="19"/>
                <w:szCs w:val="19"/>
              </w:rPr>
              <w:t>审结</w:t>
            </w:r>
          </w:p>
        </w:tc>
        <w:tc>
          <w:tcPr>
            <w:tcW w:w="65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firstLine="0"/>
              <w:jc w:val="center"/>
              <w:rPr/>
            </w:pPr>
            <w:r>
              <w:rPr>
                <w:rFonts w:ascii="宋体" w:cs="宋体" w:eastAsia="宋体" w:hAnsi="宋体" w:hint="eastAsia"/>
                <w:color w:val="000000"/>
                <w:sz w:val="19"/>
                <w:szCs w:val="19"/>
              </w:rPr>
              <w:t>总计</w:t>
            </w:r>
          </w:p>
        </w:tc>
      </w:tr>
      <w:tr>
        <w:tblPrEx/>
        <w:trPr>
          <w:trHeight w:val="675" w:hRule="atLeast"/>
        </w:trPr>
        <w:tc>
          <w:tcPr>
            <w:tcW w:w="6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0"/>
              <w:keepNext w:val="false"/>
              <w:keepLines w:val="false"/>
              <w:widowControl/>
              <w:suppressLineNumbers w:val="false"/>
              <w:spacing w:before="0" w:beforeAutospacing="false" w:after="0" w:afterAutospacing="false"/>
              <w:ind w:left="0" w:right="0"/>
              <w:jc w:val="center"/>
              <w:rPr>
                <w:rFonts w:eastAsia="宋体" w:hint="eastAsia"/>
                <w:lang w:val="en-US" w:eastAsia="zh-CN"/>
              </w:rPr>
            </w:pPr>
            <w:r>
              <w:rPr>
                <w:rFonts w:hint="eastAsia"/>
                <w:lang w:val="en-US" w:eastAsia="zh-CN"/>
              </w:rPr>
              <w:t>0</w:t>
            </w:r>
          </w:p>
        </w:tc>
        <w:tc>
          <w:tcPr>
            <w:tcW w:w="6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c>
          <w:tcPr>
            <w:tcW w:w="6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c>
          <w:tcPr>
            <w:tcW w:w="6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c>
          <w:tcPr>
            <w:tcW w:w="6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c>
          <w:tcPr>
            <w:tcW w:w="6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c>
          <w:tcPr>
            <w:tcW w:w="6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c>
          <w:tcPr>
            <w:tcW w:w="6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c>
          <w:tcPr>
            <w:tcW w:w="6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c>
          <w:tcPr>
            <w:tcW w:w="6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c>
          <w:tcPr>
            <w:tcW w:w="6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c>
          <w:tcPr>
            <w:tcW w:w="6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c>
          <w:tcPr>
            <w:tcW w:w="6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c>
          <w:tcPr>
            <w:tcW w:w="6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c>
          <w:tcPr>
            <w:tcW w:w="6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pPr>
              <w:pStyle w:val="style0"/>
              <w:keepNext w:val="false"/>
              <w:keepLines w:val="false"/>
              <w:widowControl/>
              <w:suppressLineNumbers w:val="false"/>
              <w:spacing w:before="0" w:beforeAutospacing="false" w:after="0" w:afterAutospacing="false"/>
              <w:ind w:left="0" w:right="0"/>
              <w:jc w:val="left"/>
              <w:rPr>
                <w:rFonts w:eastAsia="宋体" w:hint="eastAsia"/>
                <w:lang w:val="en-US" w:eastAsia="zh-CN"/>
              </w:rPr>
            </w:pPr>
            <w:r>
              <w:rPr>
                <w:rFonts w:hint="eastAsia"/>
                <w:lang w:val="en-US" w:eastAsia="zh-CN"/>
              </w:rPr>
              <w:t>0</w:t>
            </w:r>
          </w:p>
        </w:tc>
      </w:tr>
    </w:tbl>
    <w:p>
      <w:pPr>
        <w:pStyle w:val="style32"/>
        <w:bidi w:val="false"/>
        <w:rPr>
          <w:rFonts w:hint="eastAsia"/>
        </w:rPr>
      </w:pPr>
    </w:p>
    <w:p>
      <w:pPr>
        <w:pStyle w:val="style32"/>
        <w:bidi w:val="false"/>
        <w:rPr>
          <w:rFonts w:hint="eastAsia"/>
        </w:rPr>
      </w:pPr>
    </w:p>
    <w:p>
      <w:pPr>
        <w:pStyle w:val="style32"/>
        <w:bidi w:val="false"/>
        <w:rPr>
          <w:rFonts w:hint="eastAsia"/>
        </w:rPr>
      </w:pPr>
    </w:p>
    <w:p>
      <w:pPr>
        <w:pStyle w:val="style32"/>
        <w:bidi w:val="false"/>
        <w:rPr>
          <w:rFonts w:hint="eastAsia"/>
          <w:b/>
          <w:bCs/>
          <w:sz w:val="28"/>
          <w:szCs w:val="28"/>
        </w:rPr>
      </w:pPr>
    </w:p>
    <w:p>
      <w:pPr>
        <w:pStyle w:val="style32"/>
        <w:bidi w:val="false"/>
        <w:rPr>
          <w:rFonts w:hint="eastAsia"/>
          <w:b/>
          <w:bCs/>
          <w:sz w:val="28"/>
          <w:szCs w:val="28"/>
        </w:rPr>
      </w:pPr>
    </w:p>
    <w:p>
      <w:pPr>
        <w:pStyle w:val="style32"/>
        <w:bidi w:val="false"/>
        <w:ind w:firstLineChars="200"/>
        <w:rPr>
          <w:rFonts w:hint="eastAsia"/>
          <w:b/>
          <w:bCs/>
          <w:sz w:val="28"/>
          <w:szCs w:val="28"/>
        </w:rPr>
      </w:pPr>
      <w:r>
        <w:rPr>
          <w:rFonts w:hint="eastAsia"/>
          <w:b/>
          <w:bCs/>
          <w:sz w:val="28"/>
          <w:szCs w:val="28"/>
        </w:rPr>
        <w:t>五、存在的主要问题及改进情况</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wordWrap w:val="false"/>
        <w:spacing w:before="0" w:beforeAutospacing="false" w:after="120" w:afterAutospacing="false" w:lineRule="atLeast" w:line="24"/>
        <w:ind w:left="0" w:right="0" w:firstLine="640" w:firstLineChars="200"/>
        <w:jc w:val="both"/>
        <w:rPr>
          <w:rFonts w:ascii="仿宋" w:cs="仿宋" w:eastAsia="仿宋" w:hAnsi="仿宋" w:hint="eastAsia"/>
          <w:i w:val="false"/>
          <w:iCs w:val="false"/>
          <w:caps w:val="false"/>
          <w:color w:val="424242"/>
          <w:spacing w:val="0"/>
          <w:sz w:val="32"/>
          <w:szCs w:val="32"/>
        </w:rPr>
      </w:pPr>
      <w:r>
        <w:rPr>
          <w:rFonts w:ascii="仿宋" w:cs="仿宋" w:eastAsia="仿宋" w:hAnsi="仿宋" w:hint="eastAsia"/>
          <w:i w:val="false"/>
          <w:iCs w:val="false"/>
          <w:caps w:val="false"/>
          <w:color w:val="424242"/>
          <w:spacing w:val="0"/>
          <w:sz w:val="32"/>
          <w:szCs w:val="32"/>
          <w:bdr w:val="none" w:sz="0" w:space="0" w:color="auto"/>
          <w:shd w:val="clear" w:color="auto" w:fill="ffffff"/>
        </w:rPr>
        <w:t>202</w:t>
      </w:r>
      <w:r>
        <w:rPr>
          <w:rFonts w:ascii="仿宋" w:cs="仿宋" w:eastAsia="仿宋" w:hAnsi="仿宋" w:hint="eastAsia"/>
          <w:i w:val="false"/>
          <w:iCs w:val="false"/>
          <w:caps w:val="false"/>
          <w:color w:val="424242"/>
          <w:spacing w:val="0"/>
          <w:sz w:val="32"/>
          <w:szCs w:val="32"/>
          <w:bdr w:val="none" w:sz="0" w:space="0" w:color="auto"/>
          <w:shd w:val="clear" w:color="auto" w:fill="ffffff"/>
          <w:lang w:val="en-US" w:eastAsia="zh-CN"/>
        </w:rPr>
        <w:t>1</w:t>
      </w:r>
      <w:r>
        <w:rPr>
          <w:rFonts w:ascii="仿宋" w:cs="仿宋" w:eastAsia="仿宋" w:hAnsi="仿宋" w:hint="eastAsia"/>
          <w:i w:val="false"/>
          <w:iCs w:val="false"/>
          <w:caps w:val="false"/>
          <w:color w:val="424242"/>
          <w:spacing w:val="0"/>
          <w:sz w:val="32"/>
          <w:szCs w:val="32"/>
          <w:bdr w:val="none" w:sz="0" w:space="0" w:color="auto"/>
          <w:shd w:val="clear" w:color="auto" w:fill="ffffff"/>
        </w:rPr>
        <w:t>年度，我</w:t>
      </w:r>
      <w:r>
        <w:rPr>
          <w:rFonts w:ascii="仿宋" w:cs="仿宋" w:eastAsia="仿宋" w:hAnsi="仿宋" w:hint="eastAsia"/>
          <w:i w:val="false"/>
          <w:iCs w:val="false"/>
          <w:caps w:val="false"/>
          <w:color w:val="424242"/>
          <w:spacing w:val="0"/>
          <w:sz w:val="32"/>
          <w:szCs w:val="32"/>
          <w:bdr w:val="none" w:sz="0" w:space="0" w:color="auto"/>
          <w:shd w:val="clear" w:color="auto" w:fill="ffffff"/>
          <w:lang w:eastAsia="zh-CN"/>
        </w:rPr>
        <w:t>乡</w:t>
      </w:r>
      <w:r>
        <w:rPr>
          <w:rFonts w:ascii="仿宋" w:cs="仿宋" w:eastAsia="仿宋" w:hAnsi="仿宋" w:hint="eastAsia"/>
          <w:i w:val="false"/>
          <w:iCs w:val="false"/>
          <w:caps w:val="false"/>
          <w:color w:val="424242"/>
          <w:spacing w:val="0"/>
          <w:sz w:val="32"/>
          <w:szCs w:val="32"/>
          <w:bdr w:val="none" w:sz="0" w:space="0" w:color="auto"/>
          <w:shd w:val="clear" w:color="auto" w:fill="ffffff"/>
        </w:rPr>
        <w:t>政府信息公开工作虽然取得了一定的成绩，但我们也清醒地认识到，在政务公开的内容和方式、任务制度、任务效率等方面还具有诸多不足。一是现有主动公开的政府信息还不够全面与公众的需求还存在不少距离，公开内容需要进一步深化。二是信息公开的时效性仍有待提高；三是网站管理工作有待进一步加强。</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wordWrap w:val="false"/>
        <w:spacing w:before="0" w:beforeAutospacing="false" w:after="120" w:afterAutospacing="false" w:lineRule="atLeast" w:line="24"/>
        <w:ind w:left="0" w:right="0" w:firstLine="0"/>
        <w:jc w:val="both"/>
        <w:rPr>
          <w:rFonts w:ascii="仿宋" w:cs="仿宋" w:eastAsia="仿宋" w:hAnsi="仿宋" w:hint="eastAsia"/>
          <w:i w:val="false"/>
          <w:iCs w:val="false"/>
          <w:caps w:val="false"/>
          <w:color w:val="424242"/>
          <w:spacing w:val="0"/>
          <w:sz w:val="32"/>
          <w:szCs w:val="32"/>
        </w:rPr>
      </w:pPr>
      <w:r>
        <w:rPr>
          <w:rFonts w:ascii="仿宋" w:cs="仿宋" w:eastAsia="仿宋" w:hAnsi="仿宋" w:hint="eastAsia"/>
          <w:i w:val="false"/>
          <w:iCs w:val="false"/>
          <w:caps w:val="false"/>
          <w:color w:val="424242"/>
          <w:spacing w:val="0"/>
          <w:sz w:val="32"/>
          <w:szCs w:val="32"/>
          <w:bdr w:val="none" w:sz="0" w:space="0" w:color="auto"/>
          <w:shd w:val="clear" w:color="auto" w:fill="ffffff"/>
        </w:rPr>
        <w:t>　　在今后的工作中，我</w:t>
      </w:r>
      <w:r>
        <w:rPr>
          <w:rFonts w:ascii="仿宋" w:cs="仿宋" w:eastAsia="仿宋" w:hAnsi="仿宋" w:hint="eastAsia"/>
          <w:i w:val="false"/>
          <w:iCs w:val="false"/>
          <w:caps w:val="false"/>
          <w:color w:val="424242"/>
          <w:spacing w:val="0"/>
          <w:sz w:val="32"/>
          <w:szCs w:val="32"/>
          <w:bdr w:val="none" w:sz="0" w:space="0" w:color="auto"/>
          <w:shd w:val="clear" w:color="auto" w:fill="ffffff"/>
          <w:lang w:eastAsia="zh-CN"/>
        </w:rPr>
        <w:t>乡</w:t>
      </w:r>
      <w:r>
        <w:rPr>
          <w:rFonts w:ascii="仿宋" w:cs="仿宋" w:eastAsia="仿宋" w:hAnsi="仿宋" w:hint="eastAsia"/>
          <w:i w:val="false"/>
          <w:iCs w:val="false"/>
          <w:caps w:val="false"/>
          <w:color w:val="424242"/>
          <w:spacing w:val="0"/>
          <w:sz w:val="32"/>
          <w:szCs w:val="32"/>
          <w:bdr w:val="none" w:sz="0" w:space="0" w:color="auto"/>
          <w:shd w:val="clear" w:color="auto" w:fill="ffffff"/>
        </w:rPr>
        <w:t>将继续贯彻落实上级有关文件精神，做好信息公开工作。</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wordWrap w:val="false"/>
        <w:spacing w:before="0" w:beforeAutospacing="false" w:after="120" w:afterAutospacing="false" w:lineRule="atLeast" w:line="24"/>
        <w:ind w:left="0" w:right="0" w:firstLine="0"/>
        <w:jc w:val="both"/>
        <w:rPr>
          <w:rFonts w:ascii="仿宋" w:cs="仿宋" w:eastAsia="仿宋" w:hAnsi="仿宋" w:hint="eastAsia"/>
          <w:i w:val="false"/>
          <w:iCs w:val="false"/>
          <w:caps w:val="false"/>
          <w:color w:val="424242"/>
          <w:spacing w:val="0"/>
          <w:sz w:val="32"/>
          <w:szCs w:val="32"/>
        </w:rPr>
      </w:pPr>
      <w:r>
        <w:rPr>
          <w:rFonts w:ascii="仿宋" w:cs="仿宋" w:eastAsia="仿宋" w:hAnsi="仿宋" w:hint="eastAsia"/>
          <w:i w:val="false"/>
          <w:iCs w:val="false"/>
          <w:caps w:val="false"/>
          <w:color w:val="424242"/>
          <w:spacing w:val="0"/>
          <w:sz w:val="32"/>
          <w:szCs w:val="32"/>
          <w:bdr w:val="none" w:sz="0" w:space="0" w:color="auto"/>
          <w:shd w:val="clear" w:color="auto" w:fill="ffffff"/>
        </w:rPr>
        <w:t>　　（一）进一步提高对政务公开和信息公开工作重要性的认识。继续加强对政务公开和信息公开工作的领导，将政务信息公开工作纳入全局总体工作，一并抓好、落实好。</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wordWrap w:val="false"/>
        <w:spacing w:before="0" w:beforeAutospacing="false" w:after="120" w:afterAutospacing="false" w:lineRule="atLeast" w:line="24"/>
        <w:ind w:left="0" w:right="0" w:firstLine="0"/>
        <w:jc w:val="both"/>
        <w:rPr>
          <w:rFonts w:ascii="仿宋" w:cs="仿宋" w:eastAsia="仿宋" w:hAnsi="仿宋" w:hint="eastAsia"/>
          <w:i w:val="false"/>
          <w:iCs w:val="false"/>
          <w:caps w:val="false"/>
          <w:color w:val="424242"/>
          <w:spacing w:val="0"/>
          <w:sz w:val="32"/>
          <w:szCs w:val="32"/>
        </w:rPr>
      </w:pPr>
      <w:r>
        <w:rPr>
          <w:rFonts w:ascii="仿宋" w:cs="仿宋" w:eastAsia="仿宋" w:hAnsi="仿宋" w:hint="eastAsia"/>
          <w:i w:val="false"/>
          <w:iCs w:val="false"/>
          <w:caps w:val="false"/>
          <w:color w:val="424242"/>
          <w:spacing w:val="0"/>
          <w:sz w:val="32"/>
          <w:szCs w:val="32"/>
          <w:bdr w:val="none" w:sz="0" w:space="0" w:color="auto"/>
          <w:shd w:val="clear" w:color="auto" w:fill="ffffff"/>
        </w:rPr>
        <w:t>　　（二）是认真解决政府信息公开工作中存在的问题。依照国家法规和政策，建立科学合理、行之有效、具体明确、易于运行操作的运行体系，全面规范政务公开工作，深入实际，办实事、重实效。</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wordWrap w:val="false"/>
        <w:spacing w:before="0" w:beforeAutospacing="false" w:after="120" w:afterAutospacing="false" w:lineRule="atLeast" w:line="24"/>
        <w:ind w:left="0" w:right="0" w:firstLine="0"/>
        <w:jc w:val="both"/>
        <w:rPr>
          <w:rFonts w:ascii="仿宋" w:cs="仿宋" w:eastAsia="仿宋" w:hAnsi="仿宋" w:hint="eastAsia"/>
          <w:i w:val="false"/>
          <w:iCs w:val="false"/>
          <w:caps w:val="false"/>
          <w:color w:val="424242"/>
          <w:spacing w:val="0"/>
          <w:sz w:val="32"/>
          <w:szCs w:val="32"/>
        </w:rPr>
      </w:pPr>
      <w:r>
        <w:rPr>
          <w:rFonts w:ascii="仿宋" w:cs="仿宋" w:eastAsia="仿宋" w:hAnsi="仿宋" w:hint="eastAsia"/>
          <w:i w:val="false"/>
          <w:iCs w:val="false"/>
          <w:caps w:val="false"/>
          <w:color w:val="424242"/>
          <w:spacing w:val="0"/>
          <w:sz w:val="32"/>
          <w:szCs w:val="32"/>
          <w:bdr w:val="none" w:sz="0" w:space="0" w:color="auto"/>
          <w:shd w:val="clear" w:color="auto" w:fill="ffffff"/>
        </w:rPr>
        <w:t>　　（三）是完善政府信息公开制度，加强各种监督，重视服务性。对在政府务公开工作中造成不良影响的行为，依据有关规定追究责任人的相关责任。</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wordWrap w:val="false"/>
        <w:spacing w:before="0" w:beforeAutospacing="false" w:after="120" w:afterAutospacing="false" w:lineRule="atLeast" w:line="24"/>
        <w:ind w:left="0" w:right="0" w:firstLine="0"/>
        <w:jc w:val="both"/>
        <w:rPr>
          <w:rFonts w:hint="eastAsia"/>
          <w:sz w:val="28"/>
          <w:szCs w:val="28"/>
        </w:rPr>
      </w:pPr>
      <w:r>
        <w:rPr>
          <w:rFonts w:ascii="仿宋" w:cs="仿宋" w:eastAsia="仿宋" w:hAnsi="仿宋" w:hint="eastAsia"/>
          <w:i w:val="false"/>
          <w:iCs w:val="false"/>
          <w:caps w:val="false"/>
          <w:color w:val="424242"/>
          <w:spacing w:val="0"/>
          <w:sz w:val="32"/>
          <w:szCs w:val="32"/>
          <w:bdr w:val="none" w:sz="0" w:space="0" w:color="auto"/>
          <w:shd w:val="clear" w:color="auto" w:fill="ffffff"/>
        </w:rPr>
        <w:t>　　（四）是加强</w:t>
      </w:r>
      <w:r>
        <w:rPr>
          <w:rFonts w:ascii="仿宋" w:cs="仿宋" w:eastAsia="仿宋" w:hAnsi="仿宋" w:hint="eastAsia"/>
          <w:i w:val="false"/>
          <w:iCs w:val="false"/>
          <w:caps w:val="false"/>
          <w:color w:val="424242"/>
          <w:spacing w:val="0"/>
          <w:sz w:val="32"/>
          <w:szCs w:val="32"/>
          <w:bdr w:val="none" w:sz="0" w:space="0" w:color="auto"/>
          <w:shd w:val="clear" w:color="auto" w:fill="ffffff"/>
          <w:lang w:eastAsia="zh-CN"/>
        </w:rPr>
        <w:t>乡</w:t>
      </w:r>
      <w:r>
        <w:rPr>
          <w:rFonts w:ascii="仿宋" w:cs="仿宋" w:eastAsia="仿宋" w:hAnsi="仿宋" w:hint="eastAsia"/>
          <w:i w:val="false"/>
          <w:iCs w:val="false"/>
          <w:caps w:val="false"/>
          <w:color w:val="424242"/>
          <w:spacing w:val="0"/>
          <w:sz w:val="32"/>
          <w:szCs w:val="32"/>
          <w:bdr w:val="none" w:sz="0" w:space="0" w:color="auto"/>
          <w:shd w:val="clear" w:color="auto" w:fill="ffffff"/>
        </w:rPr>
        <w:t>政府信息公开管理人员的思想政治教育、保密素养和业务知识培训，不断提高政务公开工作人员的思想政治素质、保密素养和业务水平，增强责任意识和服务意识，树立良好政府形象，确保政务公开工作顺利开展，进一步推动我</w:t>
      </w:r>
      <w:r>
        <w:rPr>
          <w:rFonts w:ascii="仿宋" w:cs="仿宋" w:eastAsia="仿宋" w:hAnsi="仿宋" w:hint="eastAsia"/>
          <w:i w:val="false"/>
          <w:iCs w:val="false"/>
          <w:caps w:val="false"/>
          <w:color w:val="424242"/>
          <w:spacing w:val="0"/>
          <w:sz w:val="32"/>
          <w:szCs w:val="32"/>
          <w:bdr w:val="none" w:sz="0" w:space="0" w:color="auto"/>
          <w:shd w:val="clear" w:color="auto" w:fill="ffffff"/>
          <w:lang w:eastAsia="zh-CN"/>
        </w:rPr>
        <w:t>乡</w:t>
      </w:r>
      <w:r>
        <w:rPr>
          <w:rFonts w:ascii="仿宋" w:cs="仿宋" w:eastAsia="仿宋" w:hAnsi="仿宋" w:hint="eastAsia"/>
          <w:i w:val="false"/>
          <w:iCs w:val="false"/>
          <w:caps w:val="false"/>
          <w:color w:val="424242"/>
          <w:spacing w:val="0"/>
          <w:sz w:val="32"/>
          <w:szCs w:val="32"/>
          <w:bdr w:val="none" w:sz="0" w:space="0" w:color="auto"/>
          <w:shd w:val="clear" w:color="auto" w:fill="ffffff"/>
        </w:rPr>
        <w:t>信息化建设，不断提高政务信息公开工作。</w:t>
      </w:r>
    </w:p>
    <w:p>
      <w:pPr>
        <w:pStyle w:val="style32"/>
        <w:bidi w:val="false"/>
        <w:rPr>
          <w:rFonts w:hint="eastAsia"/>
          <w:b/>
          <w:bCs/>
          <w:sz w:val="28"/>
          <w:szCs w:val="28"/>
        </w:rPr>
      </w:pPr>
      <w:r>
        <w:rPr>
          <w:rFonts w:hint="default"/>
          <w:b/>
          <w:bCs/>
          <w:sz w:val="28"/>
          <w:szCs w:val="28"/>
          <w:lang w:val="en-US"/>
        </w:rPr>
        <w:t xml:space="preserve">    </w:t>
      </w:r>
      <w:r>
        <w:rPr>
          <w:rFonts w:hint="eastAsia"/>
          <w:b/>
          <w:bCs/>
          <w:sz w:val="28"/>
          <w:szCs w:val="28"/>
        </w:rPr>
        <w:t>六、其他需要报告的事项</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520"/>
        <w:ind w:left="0" w:firstLine="672"/>
        <w:jc w:val="both"/>
        <w:textAlignment w:val="auto"/>
        <w:rPr>
          <w:rFonts w:ascii="仿宋" w:cs="仿宋" w:eastAsia="仿宋" w:hAnsi="仿宋" w:hint="default"/>
          <w:b w:val="false"/>
          <w:bCs w:val="false"/>
          <w:i w:val="false"/>
          <w:caps w:val="false"/>
          <w:color w:val="auto"/>
          <w:spacing w:val="8"/>
          <w:sz w:val="32"/>
          <w:szCs w:val="32"/>
          <w:lang w:val="en-US" w:eastAsia="zh-CN"/>
        </w:rPr>
      </w:pPr>
      <w:r>
        <w:rPr>
          <w:rFonts w:ascii="仿宋" w:cs="仿宋" w:eastAsia="仿宋" w:hAnsi="仿宋" w:hint="eastAsia"/>
          <w:i w:val="false"/>
          <w:iCs w:val="false"/>
          <w:caps w:val="false"/>
          <w:color w:val="424242"/>
          <w:spacing w:val="0"/>
          <w:sz w:val="32"/>
          <w:szCs w:val="32"/>
          <w:shd w:val="clear" w:color="auto" w:fill="ffffff"/>
        </w:rPr>
        <w:t>202</w:t>
      </w:r>
      <w:r>
        <w:rPr>
          <w:rFonts w:ascii="仿宋" w:cs="仿宋" w:eastAsia="仿宋" w:hAnsi="仿宋" w:hint="eastAsia"/>
          <w:i w:val="false"/>
          <w:iCs w:val="false"/>
          <w:caps w:val="false"/>
          <w:color w:val="424242"/>
          <w:spacing w:val="0"/>
          <w:sz w:val="32"/>
          <w:szCs w:val="32"/>
          <w:shd w:val="clear" w:color="auto" w:fill="ffffff"/>
          <w:lang w:val="en-US" w:eastAsia="zh-CN"/>
        </w:rPr>
        <w:t>1</w:t>
      </w:r>
      <w:r>
        <w:rPr>
          <w:rFonts w:ascii="仿宋" w:cs="仿宋" w:eastAsia="仿宋" w:hAnsi="仿宋" w:hint="eastAsia"/>
          <w:i w:val="false"/>
          <w:iCs w:val="false"/>
          <w:caps w:val="false"/>
          <w:color w:val="424242"/>
          <w:spacing w:val="0"/>
          <w:sz w:val="32"/>
          <w:szCs w:val="32"/>
          <w:shd w:val="clear" w:color="auto" w:fill="ffffff"/>
        </w:rPr>
        <w:t>年全年</w:t>
      </w:r>
      <w:r>
        <w:rPr>
          <w:rFonts w:ascii="仿宋" w:cs="仿宋" w:eastAsia="仿宋" w:hAnsi="仿宋" w:hint="eastAsia"/>
          <w:i w:val="false"/>
          <w:iCs w:val="false"/>
          <w:caps w:val="false"/>
          <w:color w:val="424242"/>
          <w:spacing w:val="0"/>
          <w:sz w:val="32"/>
          <w:szCs w:val="32"/>
          <w:shd w:val="clear" w:color="auto" w:fill="ffffff"/>
          <w:lang w:eastAsia="zh-CN"/>
        </w:rPr>
        <w:t>星火朝鲜族乡</w:t>
      </w:r>
      <w:r>
        <w:rPr>
          <w:rFonts w:ascii="仿宋" w:cs="仿宋" w:eastAsia="仿宋" w:hAnsi="仿宋" w:hint="eastAsia"/>
          <w:i w:val="false"/>
          <w:iCs w:val="false"/>
          <w:caps w:val="false"/>
          <w:color w:val="424242"/>
          <w:spacing w:val="0"/>
          <w:sz w:val="32"/>
          <w:szCs w:val="32"/>
          <w:shd w:val="clear" w:color="auto" w:fill="ffffff"/>
        </w:rPr>
        <w:t>政务公开工作未发生安全事件，未被国务院、</w:t>
      </w:r>
      <w:r>
        <w:rPr>
          <w:rFonts w:ascii="仿宋" w:cs="仿宋" w:eastAsia="仿宋" w:hAnsi="仿宋" w:hint="eastAsia"/>
          <w:i w:val="false"/>
          <w:iCs w:val="false"/>
          <w:caps w:val="false"/>
          <w:color w:val="424242"/>
          <w:spacing w:val="0"/>
          <w:sz w:val="32"/>
          <w:szCs w:val="32"/>
          <w:shd w:val="clear" w:color="auto" w:fill="ffffff"/>
          <w:lang w:eastAsia="zh-CN"/>
        </w:rPr>
        <w:t>黑龙江</w:t>
      </w:r>
      <w:r>
        <w:rPr>
          <w:rFonts w:ascii="仿宋" w:cs="仿宋" w:eastAsia="仿宋" w:hAnsi="仿宋" w:hint="eastAsia"/>
          <w:i w:val="false"/>
          <w:iCs w:val="false"/>
          <w:caps w:val="false"/>
          <w:color w:val="424242"/>
          <w:spacing w:val="0"/>
          <w:sz w:val="32"/>
          <w:szCs w:val="32"/>
          <w:shd w:val="clear" w:color="auto" w:fill="ffffff"/>
        </w:rPr>
        <w:t>省、</w:t>
      </w:r>
      <w:r>
        <w:rPr>
          <w:rFonts w:ascii="仿宋" w:cs="仿宋" w:eastAsia="仿宋" w:hAnsi="仿宋" w:hint="eastAsia"/>
          <w:i w:val="false"/>
          <w:iCs w:val="false"/>
          <w:caps w:val="false"/>
          <w:color w:val="424242"/>
          <w:spacing w:val="0"/>
          <w:sz w:val="32"/>
          <w:szCs w:val="32"/>
          <w:shd w:val="clear" w:color="auto" w:fill="ffffff"/>
          <w:lang w:eastAsia="zh-CN"/>
        </w:rPr>
        <w:t>佳木斯</w:t>
      </w:r>
      <w:r>
        <w:rPr>
          <w:rFonts w:ascii="仿宋" w:cs="仿宋" w:eastAsia="仿宋" w:hAnsi="仿宋" w:hint="eastAsia"/>
          <w:i w:val="false"/>
          <w:iCs w:val="false"/>
          <w:caps w:val="false"/>
          <w:color w:val="424242"/>
          <w:spacing w:val="0"/>
          <w:sz w:val="32"/>
          <w:szCs w:val="32"/>
          <w:shd w:val="clear" w:color="auto" w:fill="ffffff"/>
        </w:rPr>
        <w:t>市及</w:t>
      </w:r>
      <w:r>
        <w:rPr>
          <w:rFonts w:ascii="仿宋" w:cs="仿宋" w:eastAsia="仿宋" w:hAnsi="仿宋" w:hint="eastAsia"/>
          <w:i w:val="false"/>
          <w:iCs w:val="false"/>
          <w:caps w:val="false"/>
          <w:color w:val="424242"/>
          <w:spacing w:val="0"/>
          <w:sz w:val="32"/>
          <w:szCs w:val="32"/>
          <w:shd w:val="clear" w:color="auto" w:fill="ffffff"/>
          <w:lang w:eastAsia="zh-CN"/>
        </w:rPr>
        <w:t>桦川县</w:t>
      </w:r>
      <w:r>
        <w:rPr>
          <w:rFonts w:ascii="仿宋" w:cs="仿宋" w:eastAsia="仿宋" w:hAnsi="仿宋" w:hint="eastAsia"/>
          <w:i w:val="false"/>
          <w:iCs w:val="false"/>
          <w:caps w:val="false"/>
          <w:color w:val="424242"/>
          <w:spacing w:val="0"/>
          <w:sz w:val="32"/>
          <w:szCs w:val="32"/>
          <w:shd w:val="clear" w:color="auto" w:fill="ffffff"/>
        </w:rPr>
        <w:t>通报。</w:t>
      </w:r>
    </w:p>
    <w:sectPr>
      <w:headerReference w:type="default" r:id="rId2"/>
      <w:footerReference w:type="default" r:id="rId3"/>
      <w:pgSz w:w="11906" w:h="16838" w:orient="portrait"/>
      <w:pgMar w:top="1383" w:right="1800" w:bottom="1383" w:left="1800" w:header="851" w:footer="822" w:gutter="0"/>
      <w:pgNumType w:fmt="decimal"/>
      <w:cols w:space="0" w:num="1"/>
      <w:rtlGutter w:val="false"/>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86"/>
    <w:family w:val="auto"/>
    <w:pitch w:val="default"/>
    <w:sig w:usb0="E0002AFF" w:usb1="C0007841" w:usb2="00000009" w:usb3="00000000" w:csb0="400001FF" w:csb1="FFFF0000"/>
  </w:font>
  <w:font w:name="宋体">
    <w:altName w:val="宋体"/>
    <w:panose1 w:val="02010600030000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AFF" w:usb1="C0007843"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A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00002FF" w:usb1="4000ACFF" w:usb2="00000001" w:usb3="00000000" w:csb0="2000019F" w:csb1="00000000"/>
  </w:font>
  <w:font w:name="仿宋">
    <w:altName w:val="仿宋"/>
    <w:panose1 w:val="02010609060000010101"/>
    <w:charset w:val="86"/>
    <w:family w:val="modern"/>
    <w:pitch w:val="default"/>
    <w:sig w:usb0="800002BF" w:usb1="38CF7CFA" w:usb2="00000016" w:usb3="00000000" w:csb0="00040001" w:csb1="00000000"/>
  </w:font>
  <w:font w:name="仿宋_GB2312">
    <w:altName w:val="仿宋_GB2312"/>
    <w:panose1 w:val="02010609030000010101"/>
    <w:charset w:val="86"/>
    <w:family w:val="auto"/>
    <w:pitch w:val="default"/>
    <w:sig w:usb0="00000001" w:usb1="080E0000" w:usb2="00000000" w:usb3="00000000" w:csb0="00040000" w:csb1="00000000"/>
  </w:font>
  <w:font w:name="楷体">
    <w:altName w:val="楷体"/>
    <w:panose1 w:val="02010609060000010101"/>
    <w:charset w:val="86"/>
    <w:family w:val="auto"/>
    <w:pitch w:val="default"/>
    <w:sig w:usb0="800002BF" w:usb1="38CF7CFA" w:usb2="00000016" w:usb3="00000000" w:csb0="00040001" w:csb1="00000000"/>
  </w:font>
  <w:font w:name="微软雅黑">
    <w:altName w:val="微软雅黑"/>
    <w:panose1 w:val="020b0503020000020204"/>
    <w:charset w:val="86"/>
    <w:family w:val="auto"/>
    <w:pitch w:val="default"/>
    <w:sig w:usb0="80000287" w:usb1="280F3C52" w:usb2="00000016" w:usb3="00000000" w:csb0="0004001F" w:csb1="00000000"/>
  </w:font>
  <w:font w:name="Tahoma">
    <w:altName w:val="Tahoma"/>
    <w:panose1 w:val="020b0604030000040204"/>
    <w:charset w:val="00"/>
    <w:family w:val="auto"/>
    <w:pitch w:val="default"/>
    <w:sig w:usb0="E1002EFF" w:usb1="C000605B" w:usb2="00000029" w:usb3="00000000" w:csb0="200101FF" w:csb1="2028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sz w:val="18"/>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0" w:color="auto"/>
      </w:pBd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7FFF3DFE"/>
    <w:lvl w:ilvl="0">
      <w:start w:val="4"/>
      <w:numFmt w:val="chineseCounting"/>
      <w:suff w:val="nothing"/>
      <w:lvlText w:val="%1、"/>
      <w:lvlJc w:val="left"/>
      <w:pPr/>
      <w:rPr>
        <w:rFonts w:hint="eastAsia"/>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doNotDisplayPageBoundarie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Times New Roman" w:eastAsia="宋体" w:hAnsi="Calibri"/>
      <w:kern w:val="2"/>
      <w:sz w:val="21"/>
      <w:szCs w:val="22"/>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32">
    <w:name w:val="footer"/>
    <w:basedOn w:val="style0"/>
    <w:next w:val="style32"/>
    <w:link w:val="style4101"/>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8"/>
    <w:qFormat/>
    <w:uiPriority w:val="0"/>
    <w:pPr>
      <w:pBdr>
        <w:bottom w:val="single" w:sz="6" w:space="1" w:color="auto"/>
      </w:pBdr>
      <w:tabs>
        <w:tab w:val="center" w:leader="none" w:pos="4153"/>
        <w:tab w:val="right" w:leader="none" w:pos="8306"/>
      </w:tabs>
      <w:snapToGrid w:val="false"/>
      <w:jc w:val="center"/>
    </w:pPr>
    <w:rPr>
      <w:rFonts w:ascii="Calibri" w:cs="Times New Roman" w:eastAsia="宋体" w:hAnsi="Calibri"/>
      <w:sz w:val="18"/>
      <w:szCs w:val="18"/>
    </w:rPr>
  </w:style>
  <w:style w:type="paragraph" w:styleId="style94">
    <w:name w:val="Normal (Web)"/>
    <w:basedOn w:val="style0"/>
    <w:next w:val="style94"/>
    <w:qFormat/>
    <w:uiPriority w:val="99"/>
    <w:pPr>
      <w:spacing w:before="100" w:beforeAutospacing="true" w:after="100" w:afterAutospacing="true"/>
      <w:ind w:left="0" w:right="0"/>
      <w:jc w:val="left"/>
    </w:pPr>
    <w:rPr>
      <w:kern w:val="0"/>
      <w:sz w:val="24"/>
      <w:lang w:val="en-US" w:eastAsia="zh-CN"/>
    </w:rPr>
  </w:style>
  <w:style w:type="character" w:styleId="style87">
    <w:name w:val="Strong"/>
    <w:basedOn w:val="style65"/>
    <w:next w:val="style87"/>
    <w:qFormat/>
    <w:uiPriority w:val="22"/>
    <w:rPr>
      <w:b/>
    </w:rPr>
  </w:style>
  <w:style w:type="character" w:styleId="style85">
    <w:name w:val="Hyperlink"/>
    <w:basedOn w:val="style65"/>
    <w:next w:val="style85"/>
    <w:qFormat/>
    <w:uiPriority w:val="99"/>
    <w:rPr>
      <w:color w:val="0000ff"/>
      <w:u w:val="single"/>
    </w:rPr>
  </w:style>
  <w:style w:type="character" w:customStyle="1" w:styleId="style4097">
    <w:name w:val="font01"/>
    <w:basedOn w:val="style65"/>
    <w:next w:val="style4097"/>
    <w:qFormat/>
    <w:uiPriority w:val="0"/>
    <w:rPr>
      <w:rFonts w:ascii="宋体" w:cs="宋体" w:eastAsia="宋体" w:hAnsi="宋体" w:hint="eastAsia"/>
      <w:color w:val="000000"/>
      <w:sz w:val="24"/>
      <w:szCs w:val="24"/>
    </w:rPr>
  </w:style>
  <w:style w:type="character" w:customStyle="1" w:styleId="style4098">
    <w:name w:val="页眉 Char"/>
    <w:basedOn w:val="style65"/>
    <w:next w:val="style4098"/>
    <w:link w:val="style31"/>
    <w:qFormat/>
    <w:uiPriority w:val="0"/>
    <w:rPr>
      <w:sz w:val="18"/>
      <w:szCs w:val="18"/>
    </w:rPr>
  </w:style>
  <w:style w:type="character" w:customStyle="1" w:styleId="style4099">
    <w:name w:val="font71"/>
    <w:basedOn w:val="style65"/>
    <w:next w:val="style4099"/>
    <w:qFormat/>
    <w:uiPriority w:val="0"/>
    <w:rPr>
      <w:rFonts w:ascii="宋体" w:cs="宋体" w:eastAsia="宋体" w:hAnsi="宋体" w:hint="eastAsia"/>
      <w:color w:val="000000"/>
      <w:sz w:val="24"/>
      <w:szCs w:val="24"/>
    </w:rPr>
  </w:style>
  <w:style w:type="character" w:customStyle="1" w:styleId="style4100">
    <w:name w:val="页眉 Char1"/>
    <w:basedOn w:val="style65"/>
    <w:next w:val="style4100"/>
    <w:qFormat/>
    <w:uiPriority w:val="99"/>
    <w:rPr>
      <w:rFonts w:ascii="Calibri" w:cs="Times New Roman" w:eastAsia="宋体" w:hAnsi="Calibri"/>
      <w:sz w:val="18"/>
      <w:szCs w:val="18"/>
    </w:rPr>
  </w:style>
  <w:style w:type="character" w:customStyle="1" w:styleId="style4101">
    <w:name w:val="页脚 Char"/>
    <w:basedOn w:val="style65"/>
    <w:next w:val="style4101"/>
    <w:link w:val="style32"/>
    <w:qFormat/>
    <w:uiPriority w:val="99"/>
    <w:rPr>
      <w:rFonts w:ascii="Calibri" w:cs="Times New Roman" w:eastAsia="宋体" w:hAnsi="Calibr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Words>1962</Words>
  <Pages>5</Pages>
  <Characters>2002</Characters>
  <Application>WPS Office</Application>
  <DocSecurity>0</DocSecurity>
  <Paragraphs>410</Paragraphs>
  <ScaleCrop>false</ScaleCrop>
  <Company>Lenovo</Company>
  <LinksUpToDate>false</LinksUpToDate>
  <CharactersWithSpaces>2030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2018-02-02T14:11:00Z</dcterms:created>
  <dc:creator>Lenovo</dc:creator>
  <lastModifiedBy>LIO-AN00</lastModifiedBy>
  <lastPrinted>2021-01-07T09:39:00Z</lastPrinted>
  <dcterms:modified xsi:type="dcterms:W3CDTF">2022-01-13T08:02:07Z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10356E8B9D60447599A93F0E2B00BDD1</vt:lpwstr>
  </property>
</Properties>
</file>