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桦川县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乡村振兴局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hAnsi="微软雅黑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按照《中华人民共和国政府信息公开条例》、国办最新年度报告通知（国办公开办函〔2021〕30号）要求，我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局高度重视，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认真贯彻关于政府信息公开工作要求，结合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工作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实际，形成202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年政府信息公开工作年度报告。</w:t>
      </w:r>
    </w:p>
    <w:p>
      <w:pPr>
        <w:widowControl/>
        <w:spacing w:line="600" w:lineRule="exact"/>
        <w:ind w:firstLine="640" w:firstLineChars="200"/>
        <w:jc w:val="left"/>
        <w:rPr>
          <w:sz w:val="32"/>
          <w:szCs w:val="32"/>
        </w:rPr>
      </w:pPr>
      <w:r>
        <w:rPr>
          <w:rFonts w:ascii="黑体" w:hAnsi="宋体" w:eastAsia="黑体" w:cs="黑体"/>
          <w:kern w:val="0"/>
          <w:sz w:val="32"/>
          <w:szCs w:val="32"/>
          <w:shd w:val="clear" w:color="auto" w:fill="FFFFFF"/>
        </w:rPr>
        <w:t>一、总体情况</w:t>
      </w:r>
    </w:p>
    <w:p>
      <w:pPr>
        <w:widowControl/>
        <w:spacing w:line="600" w:lineRule="exact"/>
        <w:ind w:firstLine="64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（一）压实信息公开责任。</w:t>
      </w:r>
      <w:r>
        <w:rPr>
          <w:rFonts w:hint="eastAsia" w:ascii="仿宋_GB2312" w:hAnsi="仿宋" w:eastAsia="仿宋_GB2312" w:cs="仿宋"/>
          <w:sz w:val="32"/>
          <w:szCs w:val="32"/>
        </w:rPr>
        <w:t>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乡村振兴局</w:t>
      </w:r>
      <w:r>
        <w:rPr>
          <w:rFonts w:hint="eastAsia" w:ascii="仿宋_GB2312" w:hAnsi="仿宋" w:eastAsia="仿宋_GB2312" w:cs="仿宋"/>
          <w:sz w:val="32"/>
          <w:szCs w:val="32"/>
        </w:rPr>
        <w:t>党组深入学习贯彻党的十九大精神，深入贯彻习近平总书记关于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巩固脱贫攻坚成果</w:t>
      </w:r>
      <w:r>
        <w:rPr>
          <w:rFonts w:hint="eastAsia" w:ascii="仿宋_GB2312" w:hAnsi="仿宋" w:eastAsia="仿宋_GB2312" w:cs="仿宋"/>
          <w:sz w:val="32"/>
          <w:szCs w:val="32"/>
        </w:rPr>
        <w:t>工作的重要论述，全面落实中央、省市县关于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巩固脱贫攻坚成果</w:t>
      </w:r>
      <w:r>
        <w:rPr>
          <w:rFonts w:hint="eastAsia" w:ascii="仿宋_GB2312" w:hAnsi="仿宋" w:eastAsia="仿宋_GB2312" w:cs="仿宋"/>
          <w:sz w:val="32"/>
          <w:szCs w:val="32"/>
        </w:rPr>
        <w:t>的决策部署，切实公开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巩固脱贫攻坚成果</w:t>
      </w:r>
      <w:r>
        <w:rPr>
          <w:rFonts w:hint="eastAsia" w:ascii="仿宋_GB2312" w:hAnsi="仿宋" w:eastAsia="仿宋_GB2312" w:cs="仿宋"/>
          <w:sz w:val="32"/>
          <w:szCs w:val="32"/>
        </w:rPr>
        <w:t>政务信息，提高政治站位、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稳抓三落实一巩固</w:t>
      </w:r>
      <w:r>
        <w:rPr>
          <w:rFonts w:hint="eastAsia"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持续</w:t>
      </w:r>
      <w:r>
        <w:rPr>
          <w:rFonts w:hint="eastAsia" w:ascii="仿宋_GB2312" w:hAnsi="仿宋" w:eastAsia="仿宋_GB2312" w:cs="仿宋"/>
          <w:sz w:val="32"/>
          <w:szCs w:val="32"/>
        </w:rPr>
        <w:t>推进政府信息公开工作。</w:t>
      </w:r>
    </w:p>
    <w:p>
      <w:pPr>
        <w:widowControl/>
        <w:spacing w:line="600" w:lineRule="exact"/>
        <w:ind w:firstLine="642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（二）突出信息公开重点。</w:t>
      </w:r>
      <w:r>
        <w:rPr>
          <w:rFonts w:hint="eastAsia" w:ascii="仿宋_GB2312" w:hAnsi="仿宋" w:eastAsia="仿宋_GB2312" w:cs="仿宋"/>
          <w:sz w:val="32"/>
          <w:szCs w:val="32"/>
        </w:rPr>
        <w:t>在政府信息公开工作中，我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局</w:t>
      </w:r>
      <w:r>
        <w:rPr>
          <w:rFonts w:hint="eastAsia" w:ascii="仿宋_GB2312" w:hAnsi="仿宋" w:eastAsia="仿宋_GB2312" w:cs="仿宋"/>
          <w:sz w:val="32"/>
          <w:szCs w:val="32"/>
        </w:rPr>
        <w:t>始终坚持以“公开为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常态</w:t>
      </w:r>
      <w:r>
        <w:rPr>
          <w:rFonts w:hint="eastAsia" w:ascii="仿宋_GB2312" w:hAnsi="仿宋" w:eastAsia="仿宋_GB2312" w:cs="仿宋"/>
          <w:sz w:val="32"/>
          <w:szCs w:val="32"/>
        </w:rPr>
        <w:t>，不公开为例外”，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坚持以公开促落实、促规范、促服务，全过程推进政务公开，着力提升公开实效，确保人民群众知情权、参与权、表达权和监督权。</w:t>
      </w:r>
      <w:r>
        <w:rPr>
          <w:rFonts w:hint="eastAsia" w:ascii="仿宋_GB2312" w:hAnsi="仿宋" w:eastAsia="仿宋_GB2312" w:cs="仿宋"/>
          <w:sz w:val="32"/>
          <w:szCs w:val="32"/>
        </w:rPr>
        <w:t>将涉及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巩固脱贫成果</w:t>
      </w:r>
      <w:r>
        <w:rPr>
          <w:rFonts w:hint="eastAsia" w:ascii="仿宋_GB2312" w:hAnsi="仿宋" w:eastAsia="仿宋_GB2312" w:cs="仿宋"/>
          <w:sz w:val="32"/>
          <w:szCs w:val="32"/>
        </w:rPr>
        <w:t>领域的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项目库、雨露计划、资产管理等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19个文件</w:t>
      </w:r>
      <w:r>
        <w:rPr>
          <w:rFonts w:hint="eastAsia" w:ascii="仿宋_GB2312" w:hAnsi="仿宋" w:eastAsia="仿宋_GB2312" w:cs="仿宋"/>
          <w:sz w:val="32"/>
          <w:szCs w:val="32"/>
        </w:rPr>
        <w:t>信息及时公开。充分利用政府网站、桦川印象微信公众号等新媒体及时宣传做到“应公开，尽公开”，最大限度把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县巩固拓展脱贫攻坚成果同乡村振兴有效衔接</w:t>
      </w:r>
      <w:r>
        <w:rPr>
          <w:rFonts w:hint="eastAsia" w:ascii="仿宋_GB2312" w:hAnsi="仿宋" w:eastAsia="仿宋_GB2312" w:cs="仿宋"/>
          <w:sz w:val="32"/>
          <w:szCs w:val="32"/>
        </w:rPr>
        <w:t>工作动态对外公开。</w:t>
      </w:r>
    </w:p>
    <w:p>
      <w:pPr>
        <w:widowControl/>
        <w:spacing w:line="600" w:lineRule="exact"/>
        <w:ind w:firstLine="642" w:firstLineChars="200"/>
        <w:jc w:val="left"/>
        <w:rPr>
          <w:sz w:val="32"/>
          <w:szCs w:val="32"/>
        </w:rPr>
      </w:pPr>
      <w:r>
        <w:rPr>
          <w:rFonts w:hint="eastAsia" w:ascii="楷体_GB2312" w:hAnsi="楷体" w:eastAsia="楷体_GB2312" w:cs="楷体"/>
          <w:b/>
          <w:bCs/>
          <w:sz w:val="32"/>
          <w:szCs w:val="32"/>
        </w:rPr>
        <w:t>（三)完善信息公开制度。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夯实责任抓落实。强化组织领导，局主要负责人高度重视信息公开工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作，做到</w:t>
      </w:r>
      <w:r>
        <w:rPr>
          <w:rFonts w:hint="default" w:ascii="仿宋_GB2312" w:hAnsi="仿宋" w:eastAsia="仿宋_GB2312" w:cs="仿宋"/>
          <w:sz w:val="32"/>
          <w:szCs w:val="32"/>
          <w:lang w:eastAsia="zh-CN"/>
        </w:rPr>
        <w:t>实时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调度、时时提醒，多次听取工作汇报，将信息公开工作作为科室和干部年度考核、评优评先的重要依据。有力地推动政府信息公开工作落地见效。</w:t>
      </w:r>
      <w:r>
        <w:rPr>
          <w:rFonts w:hint="eastAsia" w:ascii="仿宋_GB2312" w:hAnsi="仿宋" w:eastAsia="仿宋_GB2312" w:cs="仿宋"/>
          <w:sz w:val="32"/>
          <w:szCs w:val="32"/>
        </w:rPr>
        <w:t>进一步健全完善了《桦川县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乡村振兴局</w:t>
      </w:r>
      <w:r>
        <w:rPr>
          <w:rFonts w:hint="eastAsia" w:ascii="仿宋_GB2312" w:hAnsi="仿宋" w:eastAsia="仿宋_GB2312" w:cs="仿宋"/>
          <w:sz w:val="32"/>
          <w:szCs w:val="32"/>
        </w:rPr>
        <w:t>政府信息公开工作考评制度》《桦川县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乡村振兴局</w:t>
      </w:r>
      <w:r>
        <w:rPr>
          <w:rFonts w:hint="eastAsia" w:ascii="仿宋_GB2312" w:hAnsi="仿宋" w:eastAsia="仿宋_GB2312" w:cs="仿宋"/>
          <w:sz w:val="32"/>
          <w:szCs w:val="32"/>
        </w:rPr>
        <w:t>政府信息公开工作责任追究制度》等制度，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color="auto" w:fill="FFFFFF"/>
        </w:rPr>
        <w:t>在推进政府信息公开工作中，严格坚持政府信息公开保密工作程序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shd w:val="clear" w:color="auto" w:fill="FFFFFF"/>
        </w:rPr>
        <w:t>。</w:t>
      </w: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二、主动公开政府信息情况</w:t>
      </w:r>
    </w:p>
    <w:tbl>
      <w:tblPr>
        <w:tblStyle w:val="5"/>
        <w:tblpPr w:leftFromText="180" w:rightFromText="180" w:vertAnchor="text" w:horzAnchor="page" w:tblpX="1166" w:tblpY="413"/>
        <w:tblOverlap w:val="never"/>
        <w:tblW w:w="9735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4867"/>
                <w:tab w:val="left" w:pos="6208"/>
              </w:tabs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shd w:val="clear" w:color="auto" w:fill="auto"/>
              </w:rPr>
            </w:pP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第二十条第（一）项</w:t>
            </w:r>
            <w:r>
              <w:rPr>
                <w:rFonts w:hint="default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ab/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highlight w:val="none"/>
                <w:shd w:val="clear" w:color="auto" w:fill="auto"/>
              </w:rPr>
              <w:t>现行有效件</w:t>
            </w:r>
            <w:r>
              <w:rPr>
                <w:rFonts w:hint="eastAsia" w:ascii="宋体" w:hAnsi="宋体" w:eastAsia="宋体" w:cs="宋体"/>
                <w:sz w:val="19"/>
                <w:szCs w:val="19"/>
                <w:highlight w:val="none"/>
                <w:shd w:val="clear" w:color="auto" w:fill="auto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三、收到和处理政府信息公开申请情况</w:t>
      </w:r>
    </w:p>
    <w:tbl>
      <w:tblPr>
        <w:tblStyle w:val="5"/>
        <w:tblpPr w:leftFromText="180" w:rightFromText="180" w:vertAnchor="text" w:horzAnchor="page" w:tblpX="1256" w:tblpY="29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spacing w:line="240" w:lineRule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  <w:b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政府信息公开行政复议、行政诉讼情况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page" w:tblpX="1202" w:tblpY="207"/>
        <w:tblOverlap w:val="never"/>
        <w:tblW w:w="9750" w:type="dxa"/>
        <w:tblInd w:w="0" w:type="dxa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4"/>
        <w:widowControl/>
        <w:spacing w:beforeAutospacing="0" w:afterAutospacing="0" w:line="600" w:lineRule="exact"/>
        <w:ind w:left="674"/>
        <w:jc w:val="both"/>
        <w:rPr>
          <w:rStyle w:val="7"/>
          <w:rFonts w:ascii="黑体" w:hAnsi="黑体" w:eastAsia="黑体" w:cs="黑体"/>
          <w:b w:val="0"/>
          <w:bCs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pacing w:val="8"/>
          <w:sz w:val="32"/>
          <w:szCs w:val="32"/>
        </w:rPr>
        <w:t>五、存在的主要问题及改进情况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局在</w:t>
      </w:r>
      <w:r>
        <w:rPr>
          <w:rFonts w:hint="eastAsia" w:ascii="仿宋" w:hAnsi="仿宋" w:eastAsia="仿宋" w:cs="仿宋"/>
          <w:sz w:val="32"/>
          <w:szCs w:val="32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一直努力做好，</w:t>
      </w:r>
      <w:r>
        <w:rPr>
          <w:rFonts w:hint="eastAsia" w:ascii="仿宋" w:hAnsi="仿宋" w:eastAsia="仿宋" w:cs="仿宋"/>
          <w:sz w:val="32"/>
          <w:szCs w:val="32"/>
        </w:rPr>
        <w:t>取得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了不错</w:t>
      </w:r>
      <w:r>
        <w:rPr>
          <w:rFonts w:hint="eastAsia" w:ascii="仿宋" w:hAnsi="仿宋" w:eastAsia="仿宋" w:cs="仿宋"/>
          <w:sz w:val="32"/>
          <w:szCs w:val="32"/>
        </w:rPr>
        <w:t>成效，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但也存在一些问题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公开内容和要件把握不准，经常咨询政府办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针对上述问题</w:t>
      </w:r>
      <w:r>
        <w:rPr>
          <w:rFonts w:hint="eastAsia" w:ascii="仿宋" w:hAnsi="仿宋" w:eastAsia="仿宋" w:cs="仿宋"/>
          <w:sz w:val="32"/>
          <w:szCs w:val="32"/>
        </w:rPr>
        <w:t>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加大政府公开信息条例培训学习，明确专人负责，</w:t>
      </w:r>
      <w:r>
        <w:rPr>
          <w:rFonts w:hint="eastAsia" w:ascii="仿宋" w:hAnsi="仿宋" w:eastAsia="仿宋" w:cs="仿宋"/>
          <w:sz w:val="32"/>
          <w:szCs w:val="32"/>
        </w:rPr>
        <w:t>不断增强工作人员依法行政的观念和政务公开的意识，进一步压实政府信息公开责任，推动我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政府信息公开工作再上新台阶。</w:t>
      </w:r>
    </w:p>
    <w:p>
      <w:pPr>
        <w:pStyle w:val="4"/>
        <w:widowControl/>
        <w:spacing w:beforeAutospacing="0" w:afterAutospacing="0" w:line="600" w:lineRule="exact"/>
        <w:ind w:firstLine="672" w:firstLineChars="200"/>
        <w:jc w:val="both"/>
        <w:rPr>
          <w:rFonts w:ascii="黑体" w:hAnsi="黑体" w:eastAsia="黑体" w:cs="黑体"/>
          <w:b/>
          <w:bCs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spacing w:val="8"/>
          <w:sz w:val="32"/>
          <w:szCs w:val="32"/>
        </w:rPr>
        <w:t>六、其他需要报告的事项</w:t>
      </w:r>
    </w:p>
    <w:p>
      <w:pPr>
        <w:pStyle w:val="4"/>
        <w:widowControl/>
        <w:spacing w:beforeAutospacing="0" w:afterAutospacing="0"/>
        <w:ind w:firstLine="672"/>
        <w:jc w:val="both"/>
        <w:rPr>
          <w:rFonts w:ascii="仿宋" w:hAnsi="仿宋" w:eastAsia="仿宋" w:cs="仿宋"/>
          <w:spacing w:val="8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无</w:t>
      </w:r>
    </w:p>
    <w:p>
      <w:pPr>
        <w:pStyle w:val="4"/>
        <w:widowControl/>
        <w:wordWrap w:val="0"/>
        <w:spacing w:before="0" w:beforeAutospacing="0" w:after="0" w:afterAutospacing="0" w:line="600" w:lineRule="exact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600" w:lineRule="exact"/>
        <w:jc w:val="righ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600" w:lineRule="exact"/>
        <w:jc w:val="center"/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桦川县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乡村振兴局</w:t>
      </w:r>
    </w:p>
    <w:p>
      <w:pPr>
        <w:pStyle w:val="4"/>
        <w:widowControl/>
        <w:wordWrap w:val="0"/>
        <w:spacing w:before="0" w:beforeAutospacing="0" w:after="0" w:afterAutospacing="0" w:line="600" w:lineRule="exact"/>
        <w:ind w:right="640"/>
        <w:jc w:val="right"/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年1月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sectPr>
      <w:pgSz w:w="11906" w:h="16838"/>
      <w:pgMar w:top="1417" w:right="1474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F3DFE"/>
    <w:multiLevelType w:val="singleLevel"/>
    <w:tmpl w:val="7FFF3D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02899"/>
    <w:rsid w:val="00194274"/>
    <w:rsid w:val="001B5A96"/>
    <w:rsid w:val="00203EB3"/>
    <w:rsid w:val="0023029C"/>
    <w:rsid w:val="00241844"/>
    <w:rsid w:val="002619AD"/>
    <w:rsid w:val="002B6427"/>
    <w:rsid w:val="002E2251"/>
    <w:rsid w:val="004A4D99"/>
    <w:rsid w:val="005C0B94"/>
    <w:rsid w:val="00617744"/>
    <w:rsid w:val="00643C1F"/>
    <w:rsid w:val="00751CB7"/>
    <w:rsid w:val="007B7744"/>
    <w:rsid w:val="008D2EBF"/>
    <w:rsid w:val="00A1289E"/>
    <w:rsid w:val="00AB121F"/>
    <w:rsid w:val="00B64E95"/>
    <w:rsid w:val="00BB4366"/>
    <w:rsid w:val="00BD1E7B"/>
    <w:rsid w:val="00DB4B68"/>
    <w:rsid w:val="00DD0EAF"/>
    <w:rsid w:val="00E52CC3"/>
    <w:rsid w:val="00E81424"/>
    <w:rsid w:val="00EC73B5"/>
    <w:rsid w:val="00FB4CE7"/>
    <w:rsid w:val="00FD0797"/>
    <w:rsid w:val="1AB02899"/>
    <w:rsid w:val="22BC45ED"/>
    <w:rsid w:val="333344AF"/>
    <w:rsid w:val="40593E0A"/>
    <w:rsid w:val="4EBB0DA3"/>
    <w:rsid w:val="7D9E1AD6"/>
    <w:rsid w:val="7FFF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323</Words>
  <Characters>1842</Characters>
  <Lines>15</Lines>
  <Paragraphs>4</Paragraphs>
  <TotalTime>11</TotalTime>
  <ScaleCrop>false</ScaleCrop>
  <LinksUpToDate>false</LinksUpToDate>
  <CharactersWithSpaces>2161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2021-01-06T11:00:00Z</dcterms:created>
  <dc:creator>桦川县扶贫办</dc:creator>
  <cp:lastModifiedBy>greatwall</cp:lastModifiedBy>
  <cp:lastPrinted>2022-01-20T11:18:00Z</cp:lastPrinted>
  <dcterms:modified xsi:type="dcterms:W3CDTF">2022-01-21T15:16:43Z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05CB48FE60F04B24BFDC93F19453C324</vt:lpwstr>
  </property>
</Properties>
</file>