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47" w:rsidRDefault="00591321" w:rsidP="006A4747">
      <w:pPr>
        <w:pStyle w:val="1"/>
        <w:jc w:val="center"/>
      </w:pPr>
      <w:r>
        <w:rPr>
          <w:rFonts w:hint="eastAsia"/>
        </w:rPr>
        <w:t>桦川县</w:t>
      </w:r>
      <w:r w:rsidR="00B33BD7" w:rsidRPr="00B33BD7">
        <w:rPr>
          <w:rFonts w:hint="eastAsia"/>
        </w:rPr>
        <w:t>司法局</w:t>
      </w:r>
      <w:r w:rsidR="00B33BD7" w:rsidRPr="00B33BD7">
        <w:rPr>
          <w:rFonts w:hint="eastAsia"/>
        </w:rPr>
        <w:t>20</w:t>
      </w:r>
      <w:r w:rsidR="00B33BD7">
        <w:rPr>
          <w:rFonts w:hint="eastAsia"/>
        </w:rPr>
        <w:t>21</w:t>
      </w:r>
      <w:r w:rsidR="00B33BD7" w:rsidRPr="00B33BD7">
        <w:rPr>
          <w:rFonts w:hint="eastAsia"/>
        </w:rPr>
        <w:t>年政府信息公开</w:t>
      </w:r>
    </w:p>
    <w:p w:rsidR="00B33BD7" w:rsidRPr="00B33BD7" w:rsidRDefault="00B33BD7" w:rsidP="006A4747">
      <w:pPr>
        <w:pStyle w:val="1"/>
        <w:jc w:val="center"/>
      </w:pPr>
      <w:r w:rsidRPr="00B33BD7">
        <w:rPr>
          <w:rFonts w:hint="eastAsia"/>
        </w:rPr>
        <w:t>工作年度报告</w:t>
      </w:r>
    </w:p>
    <w:p w:rsidR="00B33BD7" w:rsidRPr="006A4747" w:rsidRDefault="00B33BD7" w:rsidP="006A4747">
      <w:pPr>
        <w:widowControl/>
        <w:shd w:val="clear" w:color="auto" w:fill="FFFFFF"/>
        <w:spacing w:line="540" w:lineRule="atLeast"/>
        <w:ind w:firstLineChars="200" w:firstLine="643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A4747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一、总体情况</w:t>
      </w:r>
    </w:p>
    <w:p w:rsidR="00D96A1B" w:rsidRDefault="00B33BD7" w:rsidP="00D96A1B">
      <w:pPr>
        <w:widowControl/>
        <w:shd w:val="clear" w:color="auto" w:fill="FFFFFF"/>
        <w:spacing w:line="45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今年以来，我局按照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县政府的统一部署和要求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，积极组织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全体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干部认真学习《中华人民共和国政府信息公开条例》和《国务院办公厅关于实施﹤条例﹥若干问题的意见》，结合全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县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政务公开工作会议精神，统一思想认识，广泛宣传发动，创新体制机制，增强全系统开展活动的自觉性和主动性。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</w:t>
      </w:r>
    </w:p>
    <w:p w:rsidR="00D96A1B" w:rsidRPr="00D96A1B" w:rsidRDefault="00D96A1B" w:rsidP="00D96A1B">
      <w:pPr>
        <w:widowControl/>
        <w:shd w:val="clear" w:color="auto" w:fill="FFFFFF"/>
        <w:spacing w:line="450" w:lineRule="atLeast"/>
        <w:ind w:firstLine="640"/>
        <w:rPr>
          <w:rFonts w:ascii="楷体" w:eastAsia="楷体" w:hAnsi="楷体" w:cs="宋体"/>
          <w:color w:val="333333"/>
          <w:kern w:val="0"/>
          <w:sz w:val="32"/>
          <w:szCs w:val="32"/>
        </w:rPr>
      </w:pPr>
      <w:r w:rsidRPr="00D96A1B">
        <w:rPr>
          <w:rFonts w:ascii="楷体" w:eastAsia="楷体" w:hAnsi="楷体" w:hint="eastAsia"/>
          <w:sz w:val="32"/>
          <w:szCs w:val="32"/>
        </w:rPr>
        <w:t>（一）高度重视，加强领导，压实责任，确保工作实效</w:t>
      </w:r>
    </w:p>
    <w:p w:rsidR="00D96A1B" w:rsidRPr="00D96A1B" w:rsidRDefault="00B33BD7" w:rsidP="00D96A1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我局及时调整了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信息公开工作领导小组，由局主要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领导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担任组长，分管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副局长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担任副组长，局机关各科室负责人为成员，统一领导、组织开展全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县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司法行政系统的政务公开工作。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按照政府信息公开</w:t>
      </w:r>
      <w:r w:rsidR="00D96A1B" w:rsidRPr="00D96A1B">
        <w:rPr>
          <w:rFonts w:ascii="仿宋" w:eastAsia="仿宋" w:hAnsi="仿宋" w:cs="仿宋" w:hint="eastAsia"/>
          <w:sz w:val="32"/>
          <w:szCs w:val="32"/>
        </w:rPr>
        <w:t>的工作要求，一把手亲自研究、亲自部署、亲自督查，层层传导压力，</w:t>
      </w:r>
      <w:r w:rsidR="00D96A1B" w:rsidRPr="00D96A1B">
        <w:rPr>
          <w:rFonts w:ascii="仿宋" w:eastAsia="仿宋" w:hAnsi="仿宋" w:hint="eastAsia"/>
          <w:sz w:val="32"/>
          <w:szCs w:val="32"/>
        </w:rPr>
        <w:t>确保</w:t>
      </w:r>
      <w:r w:rsidR="00D96A1B">
        <w:rPr>
          <w:rFonts w:ascii="仿宋" w:eastAsia="仿宋" w:hAnsi="仿宋" w:hint="eastAsia"/>
          <w:sz w:val="32"/>
          <w:szCs w:val="32"/>
        </w:rPr>
        <w:t>信息公开</w:t>
      </w:r>
      <w:r w:rsidR="00D96A1B" w:rsidRPr="00D96A1B">
        <w:rPr>
          <w:rFonts w:ascii="仿宋" w:eastAsia="仿宋" w:hAnsi="仿宋" w:cs="仿宋" w:hint="eastAsia"/>
          <w:sz w:val="32"/>
          <w:szCs w:val="32"/>
        </w:rPr>
        <w:t>工作得到有效开展。</w:t>
      </w:r>
    </w:p>
    <w:p w:rsidR="00D96A1B" w:rsidRDefault="00B33BD7" w:rsidP="00B33BD7">
      <w:pPr>
        <w:widowControl/>
        <w:shd w:val="clear" w:color="auto" w:fill="FFFFFF"/>
        <w:spacing w:line="45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（二）</w:t>
      </w:r>
      <w:r w:rsidR="00D96A1B"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拓展宣传方式，加大</w:t>
      </w:r>
      <w:r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宣传力度。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为深入开展好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公开工作，我局加大了宣传力度，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充分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利用新媒体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广泛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宣传法律法规和政策知识、司法行政工作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动态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等。充分利用“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八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五”普法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启动这一契机，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积极宣传司法行政系统的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各项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工作举措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，提高了司法行政工作在社会上的影响力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通过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积极的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宣传活动取得了良好的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社会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效果，社会各界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群众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对司法行政工作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的了解进一步加强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，对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与日常生活相关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法律法规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更为熟悉，尊法守法的意识显著提高。</w:t>
      </w:r>
    </w:p>
    <w:p w:rsidR="00B33BD7" w:rsidRPr="00B33BD7" w:rsidRDefault="00B33BD7" w:rsidP="00B33BD7">
      <w:pPr>
        <w:widowControl/>
        <w:shd w:val="clear" w:color="auto" w:fill="FFFFFF"/>
        <w:spacing w:line="45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（三）</w:t>
      </w:r>
      <w:r w:rsidR="00D96A1B"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完善工作运行机制、落实工作责任。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为保证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公开工作的制度化、规范化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运行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，确保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公开工作高质量、高标准、严要求地进行，做到全面公开、及时公开，我局建立和完善了有关的工作制度：一是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建立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领导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负责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制，主要领导负总责、分管领导抓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具体工作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、各科室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部门密切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配合的工作机制;二是建立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公开工作的长效机制，做到“四个落实”即：落实分管领导、落实专门机构、落实专职人员、落实有关工作措施和制度，使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公开工作长期有人管、有人抓，形成有效的长效工作机制;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三是加强制度建设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，使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条理清晰，分工明确，</w:t>
      </w:r>
      <w:r w:rsidR="00D96A1B"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有章可循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B33BD7" w:rsidRPr="00B33BD7" w:rsidRDefault="00B33BD7" w:rsidP="00B33BD7">
      <w:pPr>
        <w:widowControl/>
        <w:shd w:val="clear" w:color="auto" w:fill="FFFFFF"/>
        <w:spacing w:line="45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（四）加强</w:t>
      </w:r>
      <w:r w:rsidR="00D96A1B"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信息</w:t>
      </w:r>
      <w:r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公开力度，</w:t>
      </w:r>
      <w:r w:rsidR="00D96A1B"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提高</w:t>
      </w:r>
      <w:r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群众</w:t>
      </w:r>
      <w:r w:rsidR="00D96A1B"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对司法行政工作的</w:t>
      </w:r>
      <w:r w:rsidRPr="008960AB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知晓率。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今年以来，我局通过政府网站、微信公众号“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桦川司法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”主动公开信息。将司法行政的工作</w:t>
      </w:r>
      <w:r w:rsidR="009460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动态情况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、开展的法治宣传活动，通过公众号予以公开，让广大群众</w:t>
      </w:r>
      <w:r w:rsidR="009460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能够</w:t>
      </w:r>
      <w:r w:rsidR="00D96A1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深入了解司法行政工作。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21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年，我局未收到群众申请公开事项。</w:t>
      </w:r>
    </w:p>
    <w:p w:rsidR="006A4747" w:rsidRDefault="006A4747" w:rsidP="006A4747">
      <w:pPr>
        <w:tabs>
          <w:tab w:val="center" w:pos="4153"/>
          <w:tab w:val="right" w:pos="8306"/>
        </w:tabs>
        <w:snapToGrid w:val="0"/>
        <w:ind w:firstLineChars="200" w:firstLine="880"/>
        <w:jc w:val="left"/>
        <w:rPr>
          <w:rFonts w:ascii="Calibri" w:eastAsia="宋体" w:hAnsi="Calibri" w:cs="Times New Roman"/>
          <w:sz w:val="44"/>
          <w:szCs w:val="44"/>
        </w:rPr>
      </w:pPr>
    </w:p>
    <w:p w:rsidR="009460D7" w:rsidRPr="006A4747" w:rsidRDefault="009460D7" w:rsidP="006A4747">
      <w:pPr>
        <w:tabs>
          <w:tab w:val="center" w:pos="4153"/>
          <w:tab w:val="right" w:pos="8306"/>
        </w:tabs>
        <w:snapToGrid w:val="0"/>
        <w:ind w:firstLineChars="200" w:firstLine="643"/>
        <w:jc w:val="left"/>
        <w:rPr>
          <w:rFonts w:ascii="黑体" w:eastAsia="黑体" w:hAnsi="黑体" w:cs="Times New Roman"/>
          <w:b/>
          <w:bCs/>
          <w:sz w:val="32"/>
          <w:szCs w:val="32"/>
        </w:rPr>
      </w:pPr>
      <w:r w:rsidRPr="006A4747">
        <w:rPr>
          <w:rFonts w:ascii="黑体" w:eastAsia="黑体" w:hAnsi="黑体" w:cs="Times New Roman" w:hint="eastAsia"/>
          <w:b/>
          <w:bCs/>
          <w:sz w:val="32"/>
          <w:szCs w:val="32"/>
        </w:rPr>
        <w:t>二、主动公开政府信息情况</w:t>
      </w:r>
    </w:p>
    <w:tbl>
      <w:tblPr>
        <w:tblpPr w:leftFromText="180" w:rightFromText="180" w:vertAnchor="text" w:horzAnchor="page" w:tblpX="1166" w:tblpY="413"/>
        <w:tblOverlap w:val="never"/>
        <w:tblW w:w="9735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45"/>
      </w:tblGrid>
      <w:tr w:rsidR="009460D7" w:rsidRPr="009460D7" w:rsidTr="00B241A7">
        <w:trPr>
          <w:trHeight w:val="345"/>
        </w:trPr>
        <w:tc>
          <w:tcPr>
            <w:tcW w:w="9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tabs>
                <w:tab w:val="center" w:pos="4867"/>
                <w:tab w:val="left" w:pos="6208"/>
              </w:tabs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ab/>
            </w: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第二十条第（一）项</w:t>
            </w:r>
            <w:r w:rsidRPr="009460D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9460D7" w:rsidRPr="009460D7" w:rsidTr="009460D7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</w:t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现行有效件</w:t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</w:t>
            </w:r>
          </w:p>
        </w:tc>
      </w:tr>
      <w:tr w:rsidR="009460D7" w:rsidRPr="009460D7" w:rsidTr="009460D7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591321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9460D7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591321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9460D7" w:rsidRPr="009460D7" w:rsidTr="00B241A7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:rsidR="009460D7" w:rsidRPr="009460D7" w:rsidTr="00B241A7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591321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9460D7" w:rsidRPr="009460D7" w:rsidTr="00B241A7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:rsidR="009460D7" w:rsidRPr="009460D7" w:rsidTr="00B241A7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591321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591321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rPr>
          <w:trHeight w:val="345"/>
        </w:trPr>
        <w:tc>
          <w:tcPr>
            <w:tcW w:w="97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9460D7" w:rsidRPr="009460D7" w:rsidTr="00AD1C53">
        <w:trPr>
          <w:trHeight w:val="345"/>
        </w:trPr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591321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9460D7" w:rsidRPr="009460D7" w:rsidTr="00AD1C53">
        <w:trPr>
          <w:trHeight w:val="34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591321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AD1C53" w:rsidP="00AD1C53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</w:tbl>
    <w:p w:rsidR="009460D7" w:rsidRPr="009460D7" w:rsidRDefault="009460D7" w:rsidP="009460D7">
      <w:pPr>
        <w:rPr>
          <w:rFonts w:ascii="Calibri" w:eastAsia="宋体" w:hAnsi="Calibri" w:cs="Times New Roman"/>
          <w:sz w:val="24"/>
          <w:szCs w:val="24"/>
        </w:rPr>
      </w:pPr>
    </w:p>
    <w:p w:rsidR="009460D7" w:rsidRPr="009460D7" w:rsidRDefault="009460D7" w:rsidP="009460D7">
      <w:pPr>
        <w:rPr>
          <w:rFonts w:ascii="Calibri" w:eastAsia="宋体" w:hAnsi="Calibri" w:cs="Times New Roman"/>
          <w:sz w:val="24"/>
          <w:szCs w:val="24"/>
        </w:rPr>
      </w:pPr>
      <w:bookmarkStart w:id="0" w:name="_GoBack"/>
      <w:bookmarkEnd w:id="0"/>
    </w:p>
    <w:p w:rsidR="009460D7" w:rsidRPr="00AD1C53" w:rsidRDefault="009460D7" w:rsidP="009460D7">
      <w:pPr>
        <w:rPr>
          <w:rFonts w:ascii="黑体" w:eastAsia="黑体" w:hAnsi="黑体" w:cs="Times New Roman"/>
          <w:b/>
          <w:bCs/>
          <w:sz w:val="32"/>
          <w:szCs w:val="32"/>
        </w:rPr>
      </w:pPr>
      <w:r w:rsidRPr="00AD1C53">
        <w:rPr>
          <w:rFonts w:ascii="黑体" w:eastAsia="黑体" w:hAnsi="黑体" w:cs="Times New Roman" w:hint="eastAsia"/>
          <w:b/>
          <w:bCs/>
          <w:sz w:val="32"/>
          <w:szCs w:val="32"/>
        </w:rPr>
        <w:t>三、收到和处理政府信息公开申请情况</w:t>
      </w:r>
    </w:p>
    <w:tbl>
      <w:tblPr>
        <w:tblpPr w:leftFromText="180" w:rightFromText="180" w:vertAnchor="text" w:horzAnchor="page" w:tblpX="1256" w:tblpY="297"/>
        <w:tblOverlap w:val="never"/>
        <w:tblW w:w="9750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:rsidR="009460D7" w:rsidRPr="009460D7" w:rsidTr="00B241A7">
        <w:tc>
          <w:tcPr>
            <w:tcW w:w="4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申请人情况</w:t>
            </w:r>
          </w:p>
        </w:tc>
      </w:tr>
      <w:tr w:rsidR="009460D7" w:rsidRPr="009460D7" w:rsidTr="00B241A7">
        <w:tc>
          <w:tcPr>
            <w:tcW w:w="49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</w:tr>
      <w:tr w:rsidR="009460D7" w:rsidRPr="009460D7" w:rsidTr="00B241A7">
        <w:tc>
          <w:tcPr>
            <w:tcW w:w="49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商业</w:t>
            </w:r>
          </w:p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</w:t>
            </w:r>
          </w:p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机构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692" w:type="dxa"/>
            <w:vMerge/>
            <w:tcBorders>
              <w:top w:val="single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  <w:tr w:rsidR="009460D7" w:rsidRPr="009460D7" w:rsidTr="00B241A7"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 w:val="restart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（二）部分公开</w:t>
            </w:r>
            <w:r w:rsidRPr="009460D7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1.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2.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3.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危及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“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三安全一稳定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4.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5.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6.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7.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8.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1.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2.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3.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1.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2.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3.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4.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rPr>
          <w:trHeight w:val="780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5.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B241A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9460D7">
        <w:tc>
          <w:tcPr>
            <w:tcW w:w="7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9460D7"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  <w:tr w:rsidR="009460D7" w:rsidRPr="009460D7" w:rsidTr="009460D7"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</w:tbl>
    <w:p w:rsidR="009460D7" w:rsidRPr="009460D7" w:rsidRDefault="009460D7" w:rsidP="009460D7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sz w:val="24"/>
          <w:szCs w:val="24"/>
        </w:rPr>
      </w:pPr>
    </w:p>
    <w:p w:rsidR="009460D7" w:rsidRPr="009460D7" w:rsidRDefault="009460D7" w:rsidP="009460D7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b/>
          <w:bCs/>
          <w:sz w:val="24"/>
          <w:szCs w:val="24"/>
        </w:rPr>
      </w:pPr>
    </w:p>
    <w:p w:rsidR="009460D7" w:rsidRPr="00AD1C53" w:rsidRDefault="009460D7" w:rsidP="00AD1C53">
      <w:pPr>
        <w:pStyle w:val="a3"/>
        <w:numPr>
          <w:ilvl w:val="0"/>
          <w:numId w:val="3"/>
        </w:numPr>
        <w:tabs>
          <w:tab w:val="center" w:pos="4153"/>
          <w:tab w:val="right" w:pos="8306"/>
        </w:tabs>
        <w:snapToGrid w:val="0"/>
        <w:ind w:firstLineChars="0"/>
        <w:jc w:val="left"/>
        <w:rPr>
          <w:rFonts w:ascii="黑体" w:eastAsia="黑体" w:hAnsi="黑体" w:cs="Times New Roman"/>
          <w:b/>
          <w:bCs/>
          <w:sz w:val="32"/>
          <w:szCs w:val="32"/>
        </w:rPr>
      </w:pPr>
      <w:r w:rsidRPr="00AD1C53">
        <w:rPr>
          <w:rFonts w:ascii="黑体" w:eastAsia="黑体" w:hAnsi="黑体" w:cs="Times New Roman" w:hint="eastAsia"/>
          <w:b/>
          <w:bCs/>
          <w:sz w:val="32"/>
          <w:szCs w:val="32"/>
        </w:rPr>
        <w:t>政府信息公开行政复议、行政诉讼情况</w:t>
      </w:r>
    </w:p>
    <w:p w:rsidR="009460D7" w:rsidRPr="009460D7" w:rsidRDefault="009460D7" w:rsidP="009460D7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202" w:tblpY="207"/>
        <w:tblOverlap w:val="never"/>
        <w:tblW w:w="9750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9460D7" w:rsidRPr="009460D7" w:rsidTr="00B241A7"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行政诉讼</w:t>
            </w:r>
          </w:p>
        </w:tc>
      </w:tr>
      <w:tr w:rsidR="009460D7" w:rsidRPr="009460D7" w:rsidTr="00B241A7">
        <w:tc>
          <w:tcPr>
            <w:tcW w:w="6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复议后起诉</w:t>
            </w:r>
          </w:p>
        </w:tc>
      </w:tr>
      <w:tr w:rsidR="009460D7" w:rsidRPr="009460D7" w:rsidTr="00B241A7"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维持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结果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  <w:r w:rsidRPr="009460D7">
              <w:rPr>
                <w:rFonts w:ascii="Calibri" w:eastAsia="宋体" w:hAnsi="Calibri" w:cs="Times New Roman"/>
                <w:color w:val="000000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尚未</w:t>
            </w:r>
            <w:r w:rsidRPr="009460D7">
              <w:rPr>
                <w:rFonts w:ascii="Calibri" w:eastAsia="宋体" w:hAnsi="Calibri" w:cs="Times New Roman"/>
                <w:kern w:val="0"/>
                <w:sz w:val="24"/>
                <w:szCs w:val="24"/>
              </w:rPr>
              <w:br/>
            </w:r>
            <w:r w:rsidRPr="009460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  <w:r w:rsidRPr="009460D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9460D7" w:rsidRPr="009460D7" w:rsidTr="00B241A7">
        <w:trPr>
          <w:trHeight w:val="675"/>
        </w:trPr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60D7" w:rsidRPr="009460D7" w:rsidRDefault="009460D7" w:rsidP="009460D7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460D7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</w:tr>
    </w:tbl>
    <w:p w:rsidR="009460D7" w:rsidRPr="009460D7" w:rsidRDefault="009460D7" w:rsidP="009460D7">
      <w:pPr>
        <w:tabs>
          <w:tab w:val="center" w:pos="4153"/>
          <w:tab w:val="right" w:pos="8306"/>
        </w:tabs>
        <w:snapToGrid w:val="0"/>
        <w:jc w:val="left"/>
        <w:rPr>
          <w:rFonts w:ascii="Calibri" w:eastAsia="宋体" w:hAnsi="Calibri" w:cs="Times New Roman"/>
          <w:sz w:val="32"/>
          <w:szCs w:val="32"/>
        </w:rPr>
      </w:pPr>
    </w:p>
    <w:p w:rsidR="00B33BD7" w:rsidRPr="00AD1C53" w:rsidRDefault="00B33BD7" w:rsidP="009460D7">
      <w:pPr>
        <w:widowControl/>
        <w:shd w:val="clear" w:color="auto" w:fill="FFFFFF"/>
        <w:spacing w:line="540" w:lineRule="atLeast"/>
        <w:ind w:firstLineChars="200" w:firstLine="643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AD1C53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五、存在的主要问题及改进情况</w:t>
      </w:r>
    </w:p>
    <w:p w:rsidR="00B33BD7" w:rsidRPr="00B33BD7" w:rsidRDefault="00B33BD7" w:rsidP="00B33BD7">
      <w:pPr>
        <w:widowControl/>
        <w:shd w:val="clear" w:color="auto" w:fill="FFFFFF"/>
        <w:spacing w:line="45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我局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公开工作虽然取得一定成效，但也存在一些问题，如对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公开工作的认识有待加强；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公开的形式有待拓展；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公开宣传力度有待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提高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等。今后我局将采取有效措施，针对存在问题扎实进行整改：一是加强学习教育，不断提高广大</w:t>
      </w:r>
      <w:r w:rsidR="00F2782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干部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对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公开工作重要性、紧迫性的认识。二是进一步健全和完善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政务</w:t>
      </w:r>
      <w:r w:rsidR="006A474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公开制度，规范流程，提高公开质量。三是加强调查研究，不断创新公开形式和便民服务举措。四是大力宣传司法行政工作职能和</w:t>
      </w:r>
      <w:r w:rsidR="00AD1C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工作范围，不断提高司法行政工作知晓</w:t>
      </w: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度，从而推进司法行政工作的全面发展。</w:t>
      </w:r>
    </w:p>
    <w:p w:rsidR="00B33BD7" w:rsidRPr="00B33BD7" w:rsidRDefault="00B33BD7" w:rsidP="00AD1C53">
      <w:pPr>
        <w:widowControl/>
        <w:shd w:val="clear" w:color="auto" w:fill="FFFFFF"/>
        <w:spacing w:line="540" w:lineRule="atLeast"/>
        <w:ind w:firstLineChars="200" w:firstLine="643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33BD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六、其他需要报告的事项</w:t>
      </w:r>
    </w:p>
    <w:p w:rsidR="00B33BD7" w:rsidRPr="00B33BD7" w:rsidRDefault="00B33BD7" w:rsidP="00B33BD7">
      <w:pPr>
        <w:widowControl/>
        <w:shd w:val="clear" w:color="auto" w:fill="FFFFFF"/>
        <w:spacing w:line="45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33BD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无</w:t>
      </w:r>
    </w:p>
    <w:p w:rsidR="008A4832" w:rsidRDefault="008A4832"/>
    <w:sectPr w:rsidR="008A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417"/>
    <w:multiLevelType w:val="hybridMultilevel"/>
    <w:tmpl w:val="30B0329C"/>
    <w:lvl w:ilvl="0" w:tplc="A43E636A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7467A399"/>
    <w:multiLevelType w:val="singleLevel"/>
    <w:tmpl w:val="7467A3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FF3DFE"/>
    <w:multiLevelType w:val="singleLevel"/>
    <w:tmpl w:val="7FFF3DF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D7"/>
    <w:rsid w:val="003F1E69"/>
    <w:rsid w:val="00591321"/>
    <w:rsid w:val="006A4747"/>
    <w:rsid w:val="008960AB"/>
    <w:rsid w:val="008A4832"/>
    <w:rsid w:val="009460D7"/>
    <w:rsid w:val="00AD1C53"/>
    <w:rsid w:val="00B33BD7"/>
    <w:rsid w:val="00D96A1B"/>
    <w:rsid w:val="00E744F9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4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A1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744F9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6A474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47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4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A1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744F9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6A474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4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DCDCDC"/>
                <w:right w:val="none" w:sz="0" w:space="0" w:color="auto"/>
              </w:divBdr>
              <w:divsChild>
                <w:div w:id="17560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351233">
          <w:marLeft w:val="0"/>
          <w:marRight w:val="0"/>
          <w:marTop w:val="315"/>
          <w:marBottom w:val="0"/>
          <w:divBdr>
            <w:top w:val="single" w:sz="6" w:space="9" w:color="DDDDD4"/>
            <w:left w:val="single" w:sz="6" w:space="16" w:color="DDDDD4"/>
            <w:bottom w:val="single" w:sz="6" w:space="9" w:color="DDDDD4"/>
            <w:right w:val="single" w:sz="6" w:space="16" w:color="DDDDD4"/>
          </w:divBdr>
          <w:divsChild>
            <w:div w:id="17664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17</cp:revision>
  <cp:lastPrinted>2022-01-06T02:27:00Z</cp:lastPrinted>
  <dcterms:created xsi:type="dcterms:W3CDTF">2022-01-04T07:15:00Z</dcterms:created>
  <dcterms:modified xsi:type="dcterms:W3CDTF">2022-01-06T02:34:00Z</dcterms:modified>
</cp:coreProperties>
</file>