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right="0"/>
        <w:jc w:val="center"/>
        <w:rPr>
          <w:rFonts w:ascii="宋体" w:hAnsi="宋体" w:eastAsia="宋体" w:cs="宋体"/>
          <w:color w:val="333333"/>
          <w:spacing w:val="0"/>
          <w:sz w:val="27"/>
          <w:szCs w:val="27"/>
          <w:bdr w:val="none" w:color="auto" w:sz="0" w:space="0"/>
          <w:vertAlign w:val="baseline"/>
        </w:rPr>
      </w:pPr>
      <w:bookmarkStart w:id="0" w:name="_GoBack"/>
      <w:r>
        <w:rPr>
          <w:rFonts w:ascii="微软雅黑" w:hAnsi="微软雅黑" w:eastAsia="微软雅黑" w:cs="微软雅黑"/>
          <w:b/>
          <w:i w:val="0"/>
          <w:caps w:val="0"/>
          <w:color w:val="2D66A5"/>
          <w:spacing w:val="0"/>
          <w:sz w:val="42"/>
          <w:szCs w:val="42"/>
          <w:shd w:val="clear" w:fill="FFFFFF"/>
        </w:rPr>
        <w:t>桦川县公安局2019年政府信息公开工作年度报告</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r>
        <w:rPr>
          <w:rFonts w:ascii="宋体" w:hAnsi="宋体" w:eastAsia="宋体" w:cs="宋体"/>
          <w:color w:val="333333"/>
          <w:spacing w:val="0"/>
          <w:sz w:val="27"/>
          <w:szCs w:val="27"/>
          <w:bdr w:val="none" w:color="auto" w:sz="0" w:space="0"/>
          <w:vertAlign w:val="baseline"/>
        </w:rPr>
        <w:t>按照《中华人民共和国政府信息公开条例》和《黑龙江省政务公开信息公开年报告的通知》要求，桦川县公安局加强自身建设，结合本单位各窗口单位的工作实际，认真抓好落实，积极推进政府信息公开工作，切实提高了工作主动性和自觉性，确保高质量、高标准、高实效公平公正依法公开各类政务信息，做到公开的信息准确及时，底数清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r>
        <w:rPr>
          <w:rStyle w:val="5"/>
          <w:rFonts w:ascii="宋体" w:hAnsi="宋体" w:eastAsia="宋体" w:cs="宋体"/>
          <w:color w:val="333333"/>
          <w:spacing w:val="0"/>
          <w:sz w:val="27"/>
          <w:szCs w:val="27"/>
          <w:bdr w:val="none" w:color="auto" w:sz="0" w:space="0"/>
          <w:vertAlign w:val="baseline"/>
        </w:rPr>
        <w:t>1.建立常态机制，扎实推进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r>
        <w:rPr>
          <w:rFonts w:ascii="宋体" w:hAnsi="宋体" w:eastAsia="宋体" w:cs="宋体"/>
          <w:color w:val="333333"/>
          <w:spacing w:val="0"/>
          <w:sz w:val="27"/>
          <w:szCs w:val="27"/>
          <w:bdr w:val="none" w:color="auto" w:sz="0" w:space="0"/>
          <w:vertAlign w:val="baseline"/>
        </w:rPr>
        <w:t>严格执行“坚持以公开为常态，不公开为例外”的工作原则，建立常态化工作机制，规范受理环节、办理环节和答复环节，对依法主动公开、依申请公开信息要遵守工作实效，对群众依申请公开的事项必须在规定的时限内主动给予答复，截至目前县局在政府信息网站公布政务类信息15条，行政许可类17项，行政处罚类208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r>
        <w:rPr>
          <w:rFonts w:ascii="宋体" w:hAnsi="宋体" w:eastAsia="宋体" w:cs="宋体"/>
          <w:color w:val="333333"/>
          <w:spacing w:val="0"/>
          <w:sz w:val="27"/>
          <w:szCs w:val="27"/>
          <w:bdr w:val="none" w:color="auto" w:sz="0" w:space="0"/>
          <w:vertAlign w:val="baseline"/>
        </w:rPr>
        <w:t>2.</w:t>
      </w:r>
      <w:r>
        <w:rPr>
          <w:rStyle w:val="5"/>
          <w:rFonts w:ascii="宋体" w:hAnsi="宋体" w:eastAsia="宋体" w:cs="宋体"/>
          <w:color w:val="333333"/>
          <w:spacing w:val="0"/>
          <w:sz w:val="27"/>
          <w:szCs w:val="27"/>
          <w:bdr w:val="none" w:color="auto" w:sz="0" w:space="0"/>
          <w:vertAlign w:val="baseline"/>
        </w:rPr>
        <w:t>纳入考核，监督问责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r>
        <w:rPr>
          <w:rFonts w:ascii="宋体" w:hAnsi="宋体" w:eastAsia="宋体" w:cs="宋体"/>
          <w:color w:val="333333"/>
          <w:spacing w:val="0"/>
          <w:sz w:val="27"/>
          <w:szCs w:val="27"/>
          <w:bdr w:val="none" w:color="auto" w:sz="0" w:space="0"/>
          <w:vertAlign w:val="baseline"/>
        </w:rPr>
        <w:t>建立监督保障机制，将政务公开工作纳入本单位年度绩效考评，对执行不到位，公开不及时，对群众依申请公开事项不在规定时向内给予答复造成上访或行政诉讼的将追究部门领导及相关责任人的责任，依法给予处分。2019年没有因依申请公开事项造成的行政复议案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二、主动公开政府信息情况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57"/>
        <w:gridCol w:w="2116"/>
        <w:gridCol w:w="2058"/>
        <w:gridCol w:w="2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本年新制作数量</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本年新公开数量</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规章</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规范性文件</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上一年项目数量</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本年增/减</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行政许可</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17</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其他对外管理服务事项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上一年项目数量</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本年增/减</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行政处罚</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208</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行政强制</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上一年项目数量</w:t>
            </w:r>
          </w:p>
        </w:tc>
        <w:tc>
          <w:tcPr>
            <w:tcW w:w="679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行政事业性收费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679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采购项目数量</w:t>
            </w:r>
          </w:p>
        </w:tc>
        <w:tc>
          <w:tcPr>
            <w:tcW w:w="679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政府集中采购</w:t>
            </w:r>
          </w:p>
        </w:tc>
        <w:tc>
          <w:tcPr>
            <w:tcW w:w="339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679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三、收到和处理政府信息公开申请情况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75"/>
        <w:gridCol w:w="925"/>
        <w:gridCol w:w="2210"/>
        <w:gridCol w:w="624"/>
        <w:gridCol w:w="624"/>
        <w:gridCol w:w="624"/>
        <w:gridCol w:w="624"/>
        <w:gridCol w:w="624"/>
        <w:gridCol w:w="639"/>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390" w:type="dxa"/>
            <w:gridSpan w:val="3"/>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（本列数据的勾稽关系为：第一项加第二项之和，等于第三项加第四项之和）</w:t>
            </w:r>
          </w:p>
        </w:tc>
        <w:tc>
          <w:tcPr>
            <w:tcW w:w="7395" w:type="dxa"/>
            <w:gridSpan w:val="7"/>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90" w:type="dxa"/>
            <w:gridSpan w:val="3"/>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自然人</w:t>
            </w:r>
          </w:p>
        </w:tc>
        <w:tc>
          <w:tcPr>
            <w:tcW w:w="5280" w:type="dxa"/>
            <w:gridSpan w:val="5"/>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法人或其他组织</w:t>
            </w:r>
          </w:p>
        </w:tc>
        <w:tc>
          <w:tcPr>
            <w:tcW w:w="1050"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90" w:type="dxa"/>
            <w:gridSpan w:val="3"/>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商业企业</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科研机构</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社会公益组织</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法律服务机构</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其他</w:t>
            </w: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90" w:type="dxa"/>
            <w:gridSpan w:val="3"/>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一、本年新收政府信息公开申请数量</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90" w:type="dxa"/>
            <w:gridSpan w:val="3"/>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二、上年结转政府信息公开申请数量</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三、本年度办理结果</w:t>
            </w:r>
          </w:p>
        </w:tc>
        <w:tc>
          <w:tcPr>
            <w:tcW w:w="532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（一）予以公开</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（二）部分公开（区分处理的，只记这一情形，不计其他情形）</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（三）不予公开</w:t>
            </w: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1.属于国家秘密</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2.其他法律行政法规禁止公开</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3.危及“三安全一稳定”</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4.保护第三方合法权益</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5.属于三类内部事务信息</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6.属于四类过程性信息</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7.属于行政执法案卷</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8.属于行政查询事项</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（四）无法提供</w:t>
            </w: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1.本机关不掌握相关政府信息</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2.没有现成信息需要另行制作</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3.补正后申请内容仍不明确</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（五）不予处理</w:t>
            </w: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1.信访举报投诉类申请</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2.重复申请</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3.要求提供公开出版物</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4.无正当理由大量反复申请</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5.要求行政机关确认或重新出具已获取信息</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（六）其他处理</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50"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（七）总计</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90" w:type="dxa"/>
            <w:gridSpan w:val="3"/>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ascii="宋体" w:hAnsi="宋体" w:eastAsia="宋体" w:cs="宋体"/>
                <w:sz w:val="27"/>
                <w:szCs w:val="27"/>
                <w:bdr w:val="none" w:color="auto" w:sz="0" w:space="0"/>
                <w:vertAlign w:val="baseline"/>
              </w:rPr>
              <w:t>四、结转下年度继续办理</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四、政府信息公开行政复议、行政诉讼情况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4"/>
        <w:gridCol w:w="554"/>
        <w:gridCol w:w="554"/>
        <w:gridCol w:w="554"/>
        <w:gridCol w:w="554"/>
        <w:gridCol w:w="554"/>
        <w:gridCol w:w="554"/>
        <w:gridCol w:w="554"/>
        <w:gridCol w:w="554"/>
        <w:gridCol w:w="554"/>
        <w:gridCol w:w="554"/>
        <w:gridCol w:w="555"/>
        <w:gridCol w:w="555"/>
        <w:gridCol w:w="555"/>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725" w:type="dxa"/>
            <w:gridSpan w:val="5"/>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行政复议</w:t>
            </w:r>
          </w:p>
        </w:tc>
        <w:tc>
          <w:tcPr>
            <w:tcW w:w="9450" w:type="dxa"/>
            <w:gridSpan w:val="10"/>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结果维持</w:t>
            </w:r>
          </w:p>
        </w:tc>
        <w:tc>
          <w:tcPr>
            <w:tcW w:w="945"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结果纠正</w:t>
            </w:r>
          </w:p>
        </w:tc>
        <w:tc>
          <w:tcPr>
            <w:tcW w:w="945"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其他结果</w:t>
            </w:r>
          </w:p>
        </w:tc>
        <w:tc>
          <w:tcPr>
            <w:tcW w:w="945"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尚未审结</w:t>
            </w:r>
          </w:p>
        </w:tc>
        <w:tc>
          <w:tcPr>
            <w:tcW w:w="945" w:type="dxa"/>
            <w:vMerge w:val="restart"/>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总计</w:t>
            </w:r>
          </w:p>
        </w:tc>
        <w:tc>
          <w:tcPr>
            <w:tcW w:w="4725" w:type="dxa"/>
            <w:gridSpan w:val="5"/>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未经复议直接起诉</w:t>
            </w:r>
          </w:p>
        </w:tc>
        <w:tc>
          <w:tcPr>
            <w:tcW w:w="4725" w:type="dxa"/>
            <w:gridSpan w:val="5"/>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rPr>
                <w:rFonts w:hint="eastAsia" w:ascii="宋体"/>
                <w:sz w:val="24"/>
                <w:szCs w:val="24"/>
                <w:vertAlign w:val="baseline"/>
              </w:rPr>
            </w:pP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结果维持</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结果纠正</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其他结果</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尚未审结</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总计</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结果维持</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结果纠正</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其他结果</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尚未审结</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ascii="宋体" w:hAnsi="宋体" w:eastAsia="宋体" w:cs="宋体"/>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由于公安机关担负着打击和防范职责的特殊性，一些规范性文件及行政强制措施等具有较强的法律性和保密性，因此依公开事项和信息量相对少些。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both"/>
        <w:rPr>
          <w:color w:val="333333"/>
          <w:spacing w:val="0"/>
        </w:rPr>
      </w:pPr>
      <w:r>
        <w:rPr>
          <w:rFonts w:ascii="宋体" w:hAnsi="宋体" w:eastAsia="宋体" w:cs="宋体"/>
          <w:color w:val="333333"/>
          <w:spacing w:val="0"/>
          <w:sz w:val="27"/>
          <w:szCs w:val="27"/>
          <w:bdr w:val="none" w:color="auto" w:sz="0" w:space="0"/>
          <w:vertAlign w:val="baseline"/>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color w:val="333333"/>
          <w:spacing w:val="0"/>
        </w:rPr>
      </w:pPr>
      <w:r>
        <w:rPr>
          <w:rFonts w:ascii="宋体" w:hAnsi="宋体" w:eastAsia="宋体" w:cs="宋体"/>
          <w:color w:val="333333"/>
          <w:spacing w:val="0"/>
          <w:sz w:val="27"/>
          <w:szCs w:val="27"/>
          <w:bdr w:val="none" w:color="auto" w:sz="0" w:space="0"/>
          <w:vertAlign w:val="baseline"/>
        </w:rPr>
        <w:t>在下步工作中，要细化分解本单位所承担的任务事项，积极抓好各项任务的推进，加大信息量，推进政务新媒体与政府网站的协同联动、融合发展，全面提升政务公开水平，坚持依法执法、规范执法、阳光执法，力争达到公开透明，节省实效，便捷高效为民的标准，群众的满意率达到100%.</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line="480"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D2357"/>
    <w:rsid w:val="050B50F7"/>
    <w:rsid w:val="0FBA2FE6"/>
    <w:rsid w:val="16271141"/>
    <w:rsid w:val="1B4F43F0"/>
    <w:rsid w:val="1EEB2A35"/>
    <w:rsid w:val="21143F55"/>
    <w:rsid w:val="2AFD2357"/>
    <w:rsid w:val="61F7037A"/>
    <w:rsid w:val="7DCE468A"/>
    <w:rsid w:val="7E79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2020-12-24T06:52:00Z</dcterms:created>
  <dc:creator>呦小太阳</dc:creator>
  <cp:lastModifiedBy>呦小太阳</cp:lastModifiedBy>
  <dcterms:modified xsi:type="dcterms:W3CDTF">2020-12-24T07:06:38Z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