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宋体" w:hAnsi="宋体" w:eastAsia="宋体" w:cs="宋体"/>
          <w:b/>
          <w:bCs w:val="0"/>
          <w:sz w:val="44"/>
          <w:szCs w:val="44"/>
          <w:shd w:val="clear" w:color="auto" w:fill="auto"/>
        </w:rPr>
      </w:pPr>
      <w:r>
        <w:rPr>
          <w:rFonts w:hint="eastAsia" w:ascii="宋体" w:hAnsi="宋体" w:eastAsia="宋体" w:cs="宋体"/>
          <w:b/>
          <w:bCs w:val="0"/>
          <w:sz w:val="44"/>
          <w:szCs w:val="44"/>
          <w:shd w:val="clear" w:color="auto" w:fill="auto"/>
        </w:rPr>
        <w:t>桦川县</w:t>
      </w:r>
      <w:r>
        <w:rPr>
          <w:rFonts w:hint="eastAsia" w:ascii="宋体" w:hAnsi="宋体" w:eastAsia="宋体" w:cs="宋体"/>
          <w:b/>
          <w:bCs w:val="0"/>
          <w:sz w:val="44"/>
          <w:szCs w:val="44"/>
          <w:shd w:val="clear" w:color="auto" w:fill="auto"/>
          <w:lang w:eastAsia="zh-CN"/>
        </w:rPr>
        <w:t>司法局</w:t>
      </w:r>
      <w:r>
        <w:rPr>
          <w:rFonts w:hint="eastAsia" w:ascii="宋体" w:hAnsi="宋体" w:eastAsia="宋体" w:cs="宋体"/>
          <w:b/>
          <w:bCs w:val="0"/>
          <w:sz w:val="44"/>
          <w:szCs w:val="44"/>
          <w:shd w:val="clear" w:color="auto" w:fill="auto"/>
        </w:rPr>
        <w:t>信息公开指南</w:t>
      </w:r>
    </w:p>
    <w:p>
      <w:pPr>
        <w:rPr>
          <w:rFonts w:hint="eastAsia"/>
          <w:b/>
          <w:bCs w:val="0"/>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为了更好地提供信息公开服务，方便公民、法人和其他组织获得政府信息，根据《中华人民共和国政府信息公开条例》，我们编制了《桦川县司法局信息公开指南》（以下简称《指南》）。本机关依据相关职责和法规行使行政职能所掌握的政府信息，除依法免予公开之外，凡与经济、社会管理和公共服务相关的信息，均予以公开或者依公民、法人和其他组织的申请予以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一、主动公开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36" w:right="0" w:firstLine="0"/>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（一）公开范围。本机关主动向社会免费公开的信息主要有以下几类：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1、概况信息。包括本机关总体情况，机构职能，领导简历、分工和重要活动、讲话。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2.法规文件。包括本机关负责执行的法律、法规、规章和上级机关制定的规范性文件；本机关制定的规范性文件和其他有关文件。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3.工作动态。本机关重要会议、自身建设等重要政务最新动态、政务公告；综合性和阶段性统计数据。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4、行政执法。包括本局负责实施的行政许可等具体行政行为的法律依据、行政执法等情况。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5、公共服务。本局有关面向公民、企业和其他经营者及涉外服务方面的信息。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6</w:t>
      </w:r>
      <w:r>
        <w:rPr>
          <w:rFonts w:hint="eastAsia" w:ascii="仿宋" w:hAnsi="仿宋" w:eastAsia="仿宋" w:cs="仿宋"/>
          <w:b w:val="0"/>
          <w:bCs/>
          <w:i w:val="0"/>
          <w:caps w:val="0"/>
          <w:color w:val="333333"/>
          <w:spacing w:val="0"/>
          <w:sz w:val="32"/>
          <w:szCs w:val="32"/>
          <w:shd w:val="clear" w:color="auto" w:fill="auto"/>
          <w:vertAlign w:val="baseline"/>
        </w:rPr>
        <w:t>、其他需要公开的信息：除上述5类信息以外的本局认为需要公开的其他信息。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（二）公开形式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对主动公开信息，本机关主要采取桦川县政府信息公开平台公开和主要办公场所公开两种形式。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（三）公开时限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本机关网上公开的信息，除概况信息、法规和规范性文件、行政执法依据、公共服务等信息长期留存外，其他信息网上留存的期限不超过1年，超过留存的信息，本机关不继续在网上公开，公民、法人和其他组织可以到本机关主要办公场所查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二、依申请公开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公民、法人和其他组织需要本机关主动公开以外的信息，可以向本机关申请获取。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（一）受理机构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本机关受理机构、办公地址、联系电话、传真号、电子邮箱等公示如下：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受理机构：桦川县司法局办公室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办公地址：桦川县悦来大街北段司法局办公楼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联系电话：3829148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电子邮箱：1554920133@qq.com</w:t>
      </w:r>
      <w:r>
        <w:rPr>
          <w:rFonts w:ascii="微软雅黑" w:hAnsi="微软雅黑" w:eastAsia="微软雅黑" w:cs="微软雅黑"/>
          <w:i w:val="0"/>
          <w:iCs w:val="0"/>
          <w:caps w:val="0"/>
          <w:color w:val="333333"/>
          <w:spacing w:val="0"/>
          <w:sz w:val="24"/>
          <w:szCs w:val="24"/>
        </w:rPr>
        <w:t>（此邮箱不接收依申请公开）；</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受理时间：法定节假日除外。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（二)申请程序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1.提出申请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为了提高处理申请的效率，申请人对所需信息的描述请尽量详细、明确；若有可能，请提供该信息的标题、发布时间、文号或者其他有助于本机关确定信息载体的提示。申请人可通过下列方式提出申请：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（1）通过互联网提出申请。申请人可以在桦川县人民政府门户网站上填写电子版《申请表》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（2）通过信函、传真申请。申请人通过信函提出申请的，请在信封左下角注明“政府信息公开申请”的字样；申请人通过传真方式提出申请的，请相应注明“政府信息公开申请”的字样。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（3）当面申请。申请人可以到本机关当场提出申请。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法人或者其他组织提出申请的，需出具单位委托书及经办人身份证。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2.申请处理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本机关收到信息公开申请后，对《申请表》的要件是否完备进行审查，对于要件完备，可以当场受理的，当场受理登记并出具《登记回执》；对于要件不完备的，本机关可以要求申请人补正。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本机关收到信息公开申请后，按规定程序对申请进行审查，能够当场答复的，当场予以答复；不能答复的，自收到申请之日起在15个工作日内予以答复；如遇特殊情况需延长答复期限的，经本机关信息公开工作机构负责人同意，并告知申请人，可延长15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本机关根据收到申请的先后次序来处理申请，一件申请中同时提出几项独立请求的，将全部处理完毕后统一答复。鉴于针对不同请求的答复可能不同，为提高处理效率，建议申请人就不同请求分别申请。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申请获取的信息如果属于本机关已经主动公开的信息，本机关告知申请人获得信息的方式和途径。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依法不属于本机关公开或者该政府信息不存在的，告知申请人，对能够确定该政府信息的公开机关的，告知申请人该行政机关的名称、联系方式。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（三）不予公开的政府信息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1.属于国家秘密的；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2.属于商业秘密或者公开可能导致商业秘密被泄露的；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3.属于个人隐私或者公开可能导致对个人隐私造成不当侵害的；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4.法律、法规规定免予公开的其他情形。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三、监督方式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公民、法人和其他组织可以通过以下方式对本机关信息公开工作进行监督。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公民、法人或其他组织认为本机关未依法履行信息公开义务的，可以向本机关办公室投诉。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333333"/>
          <w:spacing w:val="0"/>
          <w:sz w:val="32"/>
          <w:szCs w:val="32"/>
          <w:shd w:val="clear" w:color="auto" w:fill="auto"/>
          <w:vertAlign w:val="baseline"/>
        </w:rPr>
        <w:t>监督电话：0438-3829148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通信地址：桦川县司法局办公室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textAlignment w:val="baseline"/>
        <w:rPr>
          <w:rFonts w:hint="eastAsia" w:ascii="仿宋" w:hAnsi="仿宋" w:eastAsia="仿宋" w:cs="仿宋"/>
          <w:b w:val="0"/>
          <w:bCs/>
          <w:i w:val="0"/>
          <w:caps w:val="0"/>
          <w:color w:val="333333"/>
          <w:spacing w:val="0"/>
          <w:sz w:val="32"/>
          <w:szCs w:val="32"/>
          <w:shd w:val="clear" w:color="auto" w:fill="auto"/>
        </w:rPr>
      </w:pPr>
      <w:r>
        <w:rPr>
          <w:rFonts w:hint="eastAsia" w:ascii="仿宋" w:hAnsi="仿宋" w:eastAsia="仿宋" w:cs="仿宋"/>
          <w:b w:val="0"/>
          <w:bCs/>
          <w:i w:val="0"/>
          <w:caps w:val="0"/>
          <w:color w:val="0B333C"/>
          <w:spacing w:val="0"/>
          <w:sz w:val="32"/>
          <w:szCs w:val="32"/>
          <w:shd w:val="clear" w:color="auto" w:fill="auto"/>
          <w:vertAlign w:val="baseline"/>
        </w:rPr>
        <w:t>接待投诉时间：法定节假日除外。</w:t>
      </w:r>
    </w:p>
    <w:p>
      <w:pPr>
        <w:bidi w:val="0"/>
        <w:rPr>
          <w:rFonts w:hint="eastAsia" w:ascii="仿宋" w:hAnsi="仿宋" w:eastAsia="仿宋" w:cs="仿宋"/>
          <w:b w:val="0"/>
          <w:bCs/>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YmE5MDljNjU4ODRkMWU3YjBhZjMxN2ZkNzYzMTUifQ=="/>
  </w:docVars>
  <w:rsids>
    <w:rsidRoot w:val="00000000"/>
    <w:rsid w:val="096C1B54"/>
    <w:rsid w:val="3F1D2549"/>
    <w:rsid w:val="43397CF2"/>
    <w:rsid w:val="74BC1091"/>
    <w:rsid w:val="7579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2021-01-06T02:42:00Z</dcterms:created>
  <dc:creator>Administrator</dc:creator>
  <cp:lastModifiedBy>十一</cp:lastModifiedBy>
  <dcterms:modified xsi:type="dcterms:W3CDTF">2024-04-12T01:52:29Z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6D978FE223214946A3ED8A4A41CCBDAD_12</vt:lpwstr>
  </property>
</Properties>
</file>