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4A0B31">
      <w:pPr>
        <w:spacing w:line="700" w:lineRule="exact"/>
        <w:jc w:val="center"/>
        <w:rPr>
          <w:rFonts w:hint="eastAsia" w:ascii="方正小标宋简体" w:hAnsi="方正小标宋简体" w:eastAsia="方正小标宋简体" w:cs="方正小标宋简体"/>
          <w:b w:val="0"/>
          <w:bCs w:val="0"/>
          <w:color w:val="auto"/>
          <w:sz w:val="48"/>
          <w:szCs w:val="32"/>
          <w:highlight w:val="none"/>
        </w:rPr>
      </w:pPr>
      <w:bookmarkStart w:id="2550" w:name="_GoBack"/>
    </w:p>
    <w:bookmarkEnd w:id="2550"/>
    <w:p w14:paraId="338DED43">
      <w:pPr>
        <w:spacing w:line="700" w:lineRule="exact"/>
        <w:jc w:val="center"/>
        <w:rPr>
          <w:rFonts w:hint="eastAsia" w:ascii="方正小标宋简体" w:hAnsi="方正小标宋简体" w:eastAsia="方正小标宋简体" w:cs="方正小标宋简体"/>
          <w:b w:val="0"/>
          <w:bCs w:val="0"/>
          <w:color w:val="auto"/>
          <w:sz w:val="48"/>
          <w:szCs w:val="32"/>
          <w:highlight w:val="none"/>
        </w:rPr>
      </w:pPr>
    </w:p>
    <w:p w14:paraId="07DA18F5">
      <w:pPr>
        <w:spacing w:line="700" w:lineRule="exact"/>
        <w:jc w:val="center"/>
        <w:rPr>
          <w:rFonts w:hint="eastAsia" w:ascii="方正小标宋简体" w:hAnsi="方正小标宋简体" w:eastAsia="方正小标宋简体" w:cs="方正小标宋简体"/>
          <w:b w:val="0"/>
          <w:bCs w:val="0"/>
          <w:color w:val="auto"/>
          <w:sz w:val="48"/>
          <w:szCs w:val="32"/>
          <w:highlight w:val="none"/>
        </w:rPr>
      </w:pPr>
      <w:r>
        <w:rPr>
          <w:rFonts w:hint="eastAsia" w:ascii="方正小标宋简体" w:hAnsi="方正小标宋简体" w:eastAsia="方正小标宋简体" w:cs="方正小标宋简体"/>
          <w:b w:val="0"/>
          <w:bCs w:val="0"/>
          <w:color w:val="auto"/>
          <w:sz w:val="48"/>
          <w:szCs w:val="32"/>
          <w:highlight w:val="none"/>
        </w:rPr>
        <w:t>桦川县国民经济和社会发展第十五个</w:t>
      </w:r>
    </w:p>
    <w:p w14:paraId="7BD788D0">
      <w:pPr>
        <w:spacing w:line="700" w:lineRule="exact"/>
        <w:jc w:val="center"/>
        <w:rPr>
          <w:rFonts w:hint="eastAsia" w:ascii="方正小标宋简体" w:hAnsi="方正小标宋简体" w:eastAsia="方正小标宋简体" w:cs="方正小标宋简体"/>
          <w:b w:val="0"/>
          <w:bCs w:val="0"/>
          <w:color w:val="auto"/>
          <w:sz w:val="48"/>
          <w:szCs w:val="32"/>
          <w:highlight w:val="none"/>
        </w:rPr>
      </w:pPr>
      <w:r>
        <w:rPr>
          <w:rFonts w:hint="eastAsia" w:ascii="方正小标宋简体" w:hAnsi="方正小标宋简体" w:eastAsia="方正小标宋简体" w:cs="方正小标宋简体"/>
          <w:b w:val="0"/>
          <w:bCs w:val="0"/>
          <w:color w:val="auto"/>
          <w:sz w:val="48"/>
          <w:szCs w:val="32"/>
          <w:highlight w:val="none"/>
        </w:rPr>
        <w:t>五年规划纲要</w:t>
      </w:r>
    </w:p>
    <w:p w14:paraId="0EDA688E">
      <w:pPr>
        <w:spacing w:line="700" w:lineRule="exact"/>
        <w:ind w:firstLine="640" w:firstLineChars="200"/>
        <w:jc w:val="center"/>
        <w:rPr>
          <w:rFonts w:hint="default" w:ascii="Times New Roman" w:hAnsi="Times New Roman" w:eastAsia="华文中宋" w:cs="Times New Roman"/>
          <w:color w:val="auto"/>
          <w:sz w:val="32"/>
          <w:szCs w:val="32"/>
          <w:highlight w:val="none"/>
        </w:rPr>
      </w:pPr>
    </w:p>
    <w:p w14:paraId="02E2A095">
      <w:pPr>
        <w:spacing w:line="700" w:lineRule="exact"/>
        <w:ind w:firstLine="640" w:firstLineChars="200"/>
        <w:jc w:val="center"/>
        <w:rPr>
          <w:rFonts w:hint="default" w:ascii="Times New Roman" w:hAnsi="Times New Roman" w:eastAsia="华文中宋" w:cs="Times New Roman"/>
          <w:color w:val="auto"/>
          <w:sz w:val="32"/>
          <w:szCs w:val="32"/>
          <w:highlight w:val="none"/>
        </w:rPr>
      </w:pPr>
    </w:p>
    <w:p w14:paraId="461780B2">
      <w:pPr>
        <w:spacing w:line="700" w:lineRule="exact"/>
        <w:ind w:firstLine="640" w:firstLineChars="200"/>
        <w:jc w:val="center"/>
        <w:rPr>
          <w:rFonts w:hint="default" w:ascii="Times New Roman" w:hAnsi="Times New Roman" w:eastAsia="华文中宋" w:cs="Times New Roman"/>
          <w:color w:val="auto"/>
          <w:sz w:val="32"/>
          <w:szCs w:val="32"/>
          <w:highlight w:val="none"/>
        </w:rPr>
      </w:pPr>
    </w:p>
    <w:p w14:paraId="54D14FD8">
      <w:pPr>
        <w:spacing w:line="700" w:lineRule="exact"/>
        <w:ind w:firstLine="640" w:firstLineChars="200"/>
        <w:jc w:val="center"/>
        <w:rPr>
          <w:rFonts w:hint="default" w:ascii="Times New Roman" w:hAnsi="Times New Roman" w:eastAsia="华文中宋" w:cs="Times New Roman"/>
          <w:color w:val="auto"/>
          <w:sz w:val="32"/>
          <w:szCs w:val="32"/>
          <w:highlight w:val="none"/>
        </w:rPr>
      </w:pPr>
    </w:p>
    <w:p w14:paraId="4865AAD8">
      <w:pPr>
        <w:spacing w:line="700" w:lineRule="exact"/>
        <w:ind w:firstLine="640" w:firstLineChars="200"/>
        <w:jc w:val="center"/>
        <w:rPr>
          <w:rFonts w:hint="default" w:ascii="Times New Roman" w:hAnsi="Times New Roman" w:eastAsia="华文中宋" w:cs="Times New Roman"/>
          <w:color w:val="auto"/>
          <w:sz w:val="32"/>
          <w:szCs w:val="32"/>
          <w:highlight w:val="none"/>
        </w:rPr>
      </w:pPr>
    </w:p>
    <w:p w14:paraId="51408AAB">
      <w:pPr>
        <w:spacing w:line="700" w:lineRule="exact"/>
        <w:ind w:firstLine="640" w:firstLineChars="200"/>
        <w:jc w:val="center"/>
        <w:rPr>
          <w:rFonts w:hint="default" w:ascii="Times New Roman" w:hAnsi="Times New Roman" w:eastAsia="华文中宋" w:cs="Times New Roman"/>
          <w:color w:val="auto"/>
          <w:sz w:val="32"/>
          <w:szCs w:val="32"/>
          <w:highlight w:val="none"/>
        </w:rPr>
      </w:pPr>
    </w:p>
    <w:p w14:paraId="04B7DC5E">
      <w:pPr>
        <w:spacing w:line="700" w:lineRule="exact"/>
        <w:ind w:firstLine="640" w:firstLineChars="200"/>
        <w:jc w:val="center"/>
        <w:rPr>
          <w:rFonts w:hint="default" w:ascii="Times New Roman" w:hAnsi="Times New Roman" w:eastAsia="华文中宋" w:cs="Times New Roman"/>
          <w:color w:val="auto"/>
          <w:sz w:val="32"/>
          <w:szCs w:val="32"/>
          <w:highlight w:val="none"/>
        </w:rPr>
      </w:pPr>
    </w:p>
    <w:p w14:paraId="4340DE17">
      <w:pPr>
        <w:spacing w:line="700" w:lineRule="exact"/>
        <w:ind w:firstLine="640" w:firstLineChars="200"/>
        <w:jc w:val="center"/>
        <w:rPr>
          <w:rFonts w:hint="default" w:ascii="Times New Roman" w:hAnsi="Times New Roman" w:eastAsia="华文中宋" w:cs="Times New Roman"/>
          <w:color w:val="auto"/>
          <w:sz w:val="32"/>
          <w:szCs w:val="32"/>
          <w:highlight w:val="none"/>
        </w:rPr>
      </w:pPr>
    </w:p>
    <w:p w14:paraId="0AE5E231">
      <w:pPr>
        <w:spacing w:line="700" w:lineRule="exact"/>
        <w:ind w:firstLine="0" w:firstLineChars="0"/>
        <w:jc w:val="both"/>
        <w:rPr>
          <w:rFonts w:hint="default" w:ascii="Times New Roman" w:hAnsi="Times New Roman" w:eastAsia="华文中宋" w:cs="Times New Roman"/>
          <w:color w:val="auto"/>
          <w:sz w:val="32"/>
          <w:szCs w:val="32"/>
          <w:highlight w:val="none"/>
        </w:rPr>
      </w:pPr>
    </w:p>
    <w:p w14:paraId="61BB2D97">
      <w:pPr>
        <w:spacing w:line="700" w:lineRule="exact"/>
        <w:ind w:firstLine="640" w:firstLineChars="200"/>
        <w:jc w:val="center"/>
        <w:rPr>
          <w:rFonts w:hint="default" w:ascii="Times New Roman" w:hAnsi="Times New Roman" w:eastAsia="华文中宋" w:cs="Times New Roman"/>
          <w:color w:val="auto"/>
          <w:sz w:val="32"/>
          <w:szCs w:val="32"/>
          <w:highlight w:val="none"/>
        </w:rPr>
      </w:pPr>
    </w:p>
    <w:p w14:paraId="0C0B2725">
      <w:pPr>
        <w:spacing w:line="700" w:lineRule="exact"/>
        <w:rPr>
          <w:rFonts w:hint="default" w:ascii="Times New Roman" w:hAnsi="Times New Roman" w:eastAsia="华文中宋" w:cs="Times New Roman"/>
          <w:color w:val="auto"/>
          <w:sz w:val="32"/>
          <w:szCs w:val="32"/>
          <w:highlight w:val="none"/>
        </w:rPr>
      </w:pPr>
    </w:p>
    <w:p w14:paraId="4B9D947D">
      <w:pPr>
        <w:keepNext w:val="0"/>
        <w:keepLines w:val="0"/>
        <w:pageBreakBefore w:val="0"/>
        <w:widowControl w:val="0"/>
        <w:kinsoku/>
        <w:wordWrap/>
        <w:overflowPunct/>
        <w:topLinePunct w:val="0"/>
        <w:autoSpaceDE/>
        <w:autoSpaceDN/>
        <w:bidi w:val="0"/>
        <w:adjustRightInd/>
        <w:snapToGrid/>
        <w:spacing w:before="0" w:beforeLines="0" w:after="0" w:afterLines="0" w:line="240" w:lineRule="atLeast"/>
        <w:ind w:left="0" w:leftChars="0" w:right="0" w:rightChars="0" w:firstLine="0" w:firstLineChars="0"/>
        <w:jc w:val="center"/>
        <w:textAlignment w:val="auto"/>
        <w:rPr>
          <w:rFonts w:hint="default" w:ascii="Times New Roman" w:hAnsi="Times New Roman" w:eastAsia="宋体" w:cs="Times New Roman"/>
          <w:kern w:val="2"/>
          <w:sz w:val="21"/>
          <w:szCs w:val="24"/>
          <w:lang w:val="en-US" w:eastAsia="zh-CN" w:bidi="ar-SA"/>
        </w:rPr>
      </w:pPr>
    </w:p>
    <w:p w14:paraId="05412CE1">
      <w:pPr>
        <w:keepNext w:val="0"/>
        <w:keepLines w:val="0"/>
        <w:pageBreakBefore w:val="0"/>
        <w:widowControl w:val="0"/>
        <w:kinsoku/>
        <w:wordWrap/>
        <w:overflowPunct/>
        <w:topLinePunct w:val="0"/>
        <w:autoSpaceDE/>
        <w:autoSpaceDN/>
        <w:bidi w:val="0"/>
        <w:adjustRightInd/>
        <w:snapToGrid/>
        <w:spacing w:before="0" w:beforeLines="0" w:after="0" w:afterLines="0" w:line="240" w:lineRule="atLeast"/>
        <w:ind w:left="0" w:leftChars="0" w:right="0" w:rightChars="0" w:firstLine="0" w:firstLineChars="0"/>
        <w:jc w:val="center"/>
        <w:textAlignment w:val="auto"/>
        <w:rPr>
          <w:rFonts w:hint="default" w:ascii="Times New Roman" w:hAnsi="Times New Roman" w:eastAsia="宋体" w:cs="Times New Roman"/>
          <w:kern w:val="2"/>
          <w:sz w:val="21"/>
          <w:szCs w:val="24"/>
          <w:lang w:val="en-US" w:eastAsia="zh-CN" w:bidi="ar-SA"/>
        </w:rPr>
      </w:pPr>
    </w:p>
    <w:p w14:paraId="50B528FC">
      <w:pPr>
        <w:keepNext w:val="0"/>
        <w:keepLines w:val="0"/>
        <w:pageBreakBefore w:val="0"/>
        <w:widowControl w:val="0"/>
        <w:kinsoku/>
        <w:wordWrap/>
        <w:overflowPunct/>
        <w:topLinePunct w:val="0"/>
        <w:autoSpaceDE/>
        <w:autoSpaceDN/>
        <w:bidi w:val="0"/>
        <w:adjustRightInd/>
        <w:snapToGrid/>
        <w:spacing w:before="0" w:beforeLines="0" w:after="0" w:afterLines="0" w:line="240" w:lineRule="atLeast"/>
        <w:ind w:left="0" w:leftChars="0" w:right="0" w:rightChars="0" w:firstLine="0" w:firstLineChars="0"/>
        <w:jc w:val="center"/>
        <w:textAlignment w:val="auto"/>
        <w:rPr>
          <w:rFonts w:hint="default" w:ascii="Times New Roman" w:hAnsi="Times New Roman" w:eastAsia="宋体" w:cs="Times New Roman"/>
          <w:kern w:val="2"/>
          <w:sz w:val="21"/>
          <w:szCs w:val="24"/>
          <w:lang w:val="en-US" w:eastAsia="zh-CN" w:bidi="ar-SA"/>
        </w:rPr>
      </w:pPr>
    </w:p>
    <w:p w14:paraId="6220F7BB">
      <w:pPr>
        <w:keepNext w:val="0"/>
        <w:keepLines w:val="0"/>
        <w:pageBreakBefore w:val="0"/>
        <w:widowControl w:val="0"/>
        <w:kinsoku/>
        <w:wordWrap/>
        <w:overflowPunct/>
        <w:topLinePunct w:val="0"/>
        <w:autoSpaceDE/>
        <w:autoSpaceDN/>
        <w:bidi w:val="0"/>
        <w:adjustRightInd/>
        <w:snapToGrid/>
        <w:spacing w:before="0" w:beforeLines="0" w:after="0" w:afterLines="0" w:line="240" w:lineRule="atLeast"/>
        <w:ind w:left="0" w:leftChars="0" w:right="0" w:rightChars="0" w:firstLine="0" w:firstLineChars="0"/>
        <w:jc w:val="center"/>
        <w:textAlignment w:val="auto"/>
        <w:rPr>
          <w:rFonts w:hint="default" w:ascii="Times New Roman" w:hAnsi="Times New Roman" w:eastAsia="宋体" w:cs="Times New Roman"/>
          <w:kern w:val="2"/>
          <w:sz w:val="21"/>
          <w:szCs w:val="24"/>
          <w:lang w:val="en-US" w:eastAsia="zh-CN" w:bidi="ar-SA"/>
        </w:rPr>
      </w:pPr>
    </w:p>
    <w:p w14:paraId="7DED93EB">
      <w:pPr>
        <w:keepNext w:val="0"/>
        <w:keepLines w:val="0"/>
        <w:pageBreakBefore w:val="0"/>
        <w:widowControl w:val="0"/>
        <w:kinsoku/>
        <w:wordWrap/>
        <w:overflowPunct/>
        <w:topLinePunct w:val="0"/>
        <w:autoSpaceDE/>
        <w:autoSpaceDN/>
        <w:bidi w:val="0"/>
        <w:adjustRightInd/>
        <w:snapToGrid/>
        <w:spacing w:before="0" w:beforeLines="0" w:after="0" w:afterLines="0" w:line="240" w:lineRule="atLeast"/>
        <w:ind w:left="0" w:leftChars="0" w:right="0" w:rightChars="0" w:firstLine="0" w:firstLineChars="0"/>
        <w:jc w:val="center"/>
        <w:textAlignment w:val="auto"/>
        <w:rPr>
          <w:rFonts w:hint="default" w:ascii="Times New Roman" w:hAnsi="Times New Roman" w:eastAsia="宋体" w:cs="Times New Roman"/>
          <w:kern w:val="2"/>
          <w:sz w:val="21"/>
          <w:szCs w:val="24"/>
          <w:lang w:val="en-US" w:eastAsia="zh-CN" w:bidi="ar-SA"/>
        </w:rPr>
      </w:pPr>
    </w:p>
    <w:p w14:paraId="66D92C21">
      <w:pPr>
        <w:keepNext w:val="0"/>
        <w:keepLines w:val="0"/>
        <w:pageBreakBefore w:val="0"/>
        <w:widowControl w:val="0"/>
        <w:kinsoku/>
        <w:wordWrap/>
        <w:overflowPunct/>
        <w:topLinePunct w:val="0"/>
        <w:autoSpaceDE/>
        <w:autoSpaceDN/>
        <w:bidi w:val="0"/>
        <w:adjustRightInd/>
        <w:snapToGrid/>
        <w:spacing w:before="0" w:beforeLines="0" w:after="0" w:afterLines="0" w:line="240" w:lineRule="atLeast"/>
        <w:ind w:left="0" w:leftChars="0" w:right="0" w:rightChars="0" w:firstLine="0" w:firstLineChars="0"/>
        <w:jc w:val="center"/>
        <w:textAlignment w:val="auto"/>
        <w:rPr>
          <w:rFonts w:hint="default" w:ascii="Times New Roman" w:hAnsi="Times New Roman" w:eastAsia="宋体" w:cs="Times New Roman"/>
          <w:kern w:val="2"/>
          <w:sz w:val="21"/>
          <w:szCs w:val="24"/>
          <w:lang w:val="en-US" w:eastAsia="zh-CN" w:bidi="ar-SA"/>
        </w:rPr>
      </w:pPr>
    </w:p>
    <w:p w14:paraId="55A3E5F3">
      <w:pPr>
        <w:keepNext w:val="0"/>
        <w:keepLines w:val="0"/>
        <w:pageBreakBefore w:val="0"/>
        <w:widowControl w:val="0"/>
        <w:kinsoku/>
        <w:wordWrap/>
        <w:overflowPunct/>
        <w:topLinePunct w:val="0"/>
        <w:autoSpaceDE/>
        <w:autoSpaceDN/>
        <w:bidi w:val="0"/>
        <w:adjustRightInd/>
        <w:snapToGrid/>
        <w:spacing w:before="0" w:beforeLines="0" w:after="0" w:afterLines="0" w:line="240" w:lineRule="atLeast"/>
        <w:ind w:left="0" w:leftChars="0" w:right="0" w:rightChars="0" w:firstLine="0" w:firstLineChars="0"/>
        <w:jc w:val="center"/>
        <w:textAlignment w:val="auto"/>
        <w:rPr>
          <w:rFonts w:hint="default" w:ascii="Times New Roman" w:hAnsi="Times New Roman" w:eastAsia="宋体" w:cs="Times New Roman"/>
          <w:kern w:val="2"/>
          <w:sz w:val="21"/>
          <w:szCs w:val="24"/>
          <w:lang w:val="en-US" w:eastAsia="zh-CN" w:bidi="ar-SA"/>
        </w:rPr>
      </w:pPr>
    </w:p>
    <w:p w14:paraId="2E60420A">
      <w:pPr>
        <w:keepNext w:val="0"/>
        <w:keepLines w:val="0"/>
        <w:pageBreakBefore w:val="0"/>
        <w:widowControl w:val="0"/>
        <w:kinsoku/>
        <w:wordWrap/>
        <w:overflowPunct/>
        <w:topLinePunct w:val="0"/>
        <w:autoSpaceDE/>
        <w:autoSpaceDN/>
        <w:bidi w:val="0"/>
        <w:adjustRightInd/>
        <w:snapToGrid/>
        <w:spacing w:before="0" w:beforeLines="0" w:after="0" w:afterLines="0" w:line="240" w:lineRule="atLeast"/>
        <w:ind w:left="0" w:leftChars="0" w:right="0" w:rightChars="0" w:firstLine="0" w:firstLineChars="0"/>
        <w:jc w:val="center"/>
        <w:textAlignment w:val="auto"/>
        <w:rPr>
          <w:rFonts w:hint="default" w:ascii="Times New Roman" w:hAnsi="Times New Roman" w:eastAsia="宋体" w:cs="Times New Roman"/>
          <w:kern w:val="2"/>
          <w:sz w:val="21"/>
          <w:szCs w:val="24"/>
          <w:lang w:val="en-US" w:eastAsia="zh-CN" w:bidi="ar-SA"/>
        </w:rPr>
      </w:pPr>
    </w:p>
    <w:p w14:paraId="25EEAE88">
      <w:pPr>
        <w:keepNext w:val="0"/>
        <w:keepLines w:val="0"/>
        <w:pageBreakBefore w:val="0"/>
        <w:widowControl w:val="0"/>
        <w:kinsoku/>
        <w:wordWrap/>
        <w:overflowPunct/>
        <w:topLinePunct w:val="0"/>
        <w:autoSpaceDE/>
        <w:autoSpaceDN/>
        <w:bidi w:val="0"/>
        <w:adjustRightInd/>
        <w:snapToGrid/>
        <w:spacing w:before="0" w:beforeLines="0" w:after="0" w:afterLines="0" w:line="240" w:lineRule="atLeast"/>
        <w:ind w:left="0" w:leftChars="0" w:right="0" w:rightChars="0" w:firstLine="0" w:firstLineChars="0"/>
        <w:jc w:val="center"/>
        <w:textAlignment w:val="auto"/>
        <w:rPr>
          <w:rFonts w:hint="default" w:ascii="Times New Roman" w:hAnsi="Times New Roman" w:eastAsia="宋体" w:cs="Times New Roman"/>
          <w:kern w:val="2"/>
          <w:sz w:val="21"/>
          <w:szCs w:val="24"/>
          <w:lang w:val="en-US" w:eastAsia="zh-CN" w:bidi="ar-SA"/>
        </w:rPr>
      </w:pPr>
    </w:p>
    <w:sdt>
      <w:sdtPr>
        <w:rPr>
          <w:rFonts w:hint="default" w:ascii="Times New Roman" w:hAnsi="Times New Roman" w:eastAsia="宋体" w:cs="Times New Roman"/>
          <w:kern w:val="2"/>
          <w:sz w:val="21"/>
          <w:szCs w:val="24"/>
          <w:lang w:val="en-US" w:eastAsia="zh-CN" w:bidi="ar-SA"/>
        </w:rPr>
        <w:id w:val="147451886"/>
        <w15:color w:val="DBDBDB"/>
        <w:docPartObj>
          <w:docPartGallery w:val="Table of Contents"/>
          <w:docPartUnique/>
        </w:docPartObj>
      </w:sdtPr>
      <w:sdtEndPr>
        <w:rPr>
          <w:rFonts w:hint="default" w:ascii="Times New Roman" w:hAnsi="Times New Roman" w:eastAsia="宋体" w:cs="Times New Roman"/>
          <w:kern w:val="2"/>
          <w:sz w:val="21"/>
          <w:szCs w:val="24"/>
          <w:lang w:val="en-US" w:eastAsia="zh-CN" w:bidi="ar-SA"/>
        </w:rPr>
      </w:sdtEndPr>
      <w:sdtContent>
        <w:p w14:paraId="2D5A3E37">
          <w:pPr>
            <w:keepNext w:val="0"/>
            <w:keepLines w:val="0"/>
            <w:pageBreakBefore w:val="0"/>
            <w:widowControl w:val="0"/>
            <w:kinsoku/>
            <w:wordWrap/>
            <w:overflowPunct/>
            <w:topLinePunct w:val="0"/>
            <w:autoSpaceDE/>
            <w:autoSpaceDN/>
            <w:bidi w:val="0"/>
            <w:adjustRightInd/>
            <w:snapToGrid/>
            <w:spacing w:before="0" w:beforeLines="0" w:after="0" w:afterLines="0" w:line="240" w:lineRule="atLeast"/>
            <w:ind w:left="0" w:leftChars="0" w:right="0" w:rightChars="0" w:firstLine="0" w:firstLineChars="0"/>
            <w:jc w:val="center"/>
            <w:textAlignment w:val="auto"/>
            <w:rPr>
              <w:rFonts w:hint="eastAsia" w:ascii="方正小标宋简体" w:hAnsi="方正小标宋简体" w:eastAsia="方正小标宋简体" w:cs="方正小标宋简体"/>
              <w:b w:val="0"/>
              <w:bCs w:val="0"/>
            </w:rPr>
          </w:pPr>
          <w:bookmarkStart w:id="0" w:name="_Toc4311"/>
          <w:r>
            <w:rPr>
              <w:rStyle w:val="32"/>
              <w:rFonts w:hint="eastAsia" w:ascii="方正小标宋简体" w:hAnsi="方正小标宋简体" w:eastAsia="方正小标宋简体" w:cs="方正小标宋简体"/>
              <w:b w:val="0"/>
              <w:bCs w:val="0"/>
              <w:color w:val="auto"/>
              <w:sz w:val="44"/>
              <w:szCs w:val="44"/>
            </w:rPr>
            <w:t>目</w:t>
          </w:r>
          <w:r>
            <w:rPr>
              <w:rStyle w:val="32"/>
              <w:rFonts w:hint="eastAsia" w:ascii="方正小标宋简体" w:hAnsi="方正小标宋简体" w:eastAsia="方正小标宋简体" w:cs="方正小标宋简体"/>
              <w:b w:val="0"/>
              <w:bCs w:val="0"/>
              <w:color w:val="auto"/>
              <w:sz w:val="44"/>
              <w:szCs w:val="44"/>
              <w:lang w:val="en-US" w:eastAsia="zh-CN"/>
            </w:rPr>
            <w:t xml:space="preserve">  </w:t>
          </w:r>
          <w:r>
            <w:rPr>
              <w:rStyle w:val="32"/>
              <w:rFonts w:hint="eastAsia" w:ascii="方正小标宋简体" w:hAnsi="方正小标宋简体" w:eastAsia="方正小标宋简体" w:cs="方正小标宋简体"/>
              <w:b w:val="0"/>
              <w:bCs w:val="0"/>
              <w:color w:val="auto"/>
              <w:sz w:val="44"/>
              <w:szCs w:val="44"/>
            </w:rPr>
            <w:t>录</w:t>
          </w:r>
          <w:bookmarkEnd w:id="0"/>
        </w:p>
        <w:p w14:paraId="66CED718">
          <w:pPr>
            <w:pStyle w:val="18"/>
            <w:tabs>
              <w:tab w:val="right" w:leader="dot" w:pos="8306"/>
              <w:tab w:val="clear" w:pos="8296"/>
            </w:tabs>
            <w:rPr>
              <w:w w:val="97"/>
              <w:sz w:val="28"/>
              <w:szCs w:val="28"/>
            </w:rPr>
          </w:pPr>
          <w:r>
            <w:rPr>
              <w:rFonts w:hint="default" w:ascii="Times New Roman" w:hAnsi="Times New Roman" w:eastAsia="黑体" w:cs="Times New Roman"/>
              <w:w w:val="97"/>
              <w:sz w:val="28"/>
              <w:szCs w:val="28"/>
              <w:highlight w:val="none"/>
              <w:lang w:val="en-US" w:eastAsia="zh-CN"/>
              <w14:ligatures w14:val="standardContextual"/>
            </w:rPr>
            <w:t>第一篇</w:t>
          </w:r>
          <w:r>
            <w:rPr>
              <w:rFonts w:hint="default" w:ascii="Times New Roman" w:hAnsi="Times New Roman" w:eastAsia="黑体" w:cs="Times New Roman"/>
              <w:w w:val="97"/>
              <w:sz w:val="28"/>
              <w:szCs w:val="28"/>
              <w:highlight w:val="none"/>
              <w14:ligatures w14:val="standardContextual"/>
            </w:rPr>
            <w:t xml:space="preserve"> “十五五”时期是全面建设社会主义现代化桦川的关键时期</w:t>
          </w:r>
          <w:r>
            <w:rPr>
              <w:w w:val="97"/>
              <w:sz w:val="28"/>
              <w:szCs w:val="28"/>
            </w:rPr>
            <w:tab/>
          </w:r>
          <w:r>
            <w:rPr>
              <w:w w:val="97"/>
              <w:sz w:val="28"/>
              <w:szCs w:val="28"/>
            </w:rPr>
            <w:t>- 14 -</w:t>
          </w:r>
        </w:p>
        <w:p w14:paraId="68875137">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lang w:val="en-US" w:eastAsia="zh-CN"/>
            </w:rPr>
            <w:t>第一章</w:t>
          </w:r>
          <w:r>
            <w:rPr>
              <w:rFonts w:hint="default" w:ascii="Times New Roman" w:hAnsi="Times New Roman" w:eastAsia="楷体" w:cs="Times New Roman"/>
              <w:sz w:val="28"/>
              <w:szCs w:val="28"/>
              <w:highlight w:val="none"/>
            </w:rPr>
            <w:t xml:space="preserve"> 建设现代化桦川成绩斐然</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- 15 -</w:t>
          </w:r>
        </w:p>
        <w:p w14:paraId="552D48C3">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 xml:space="preserve">第一节 </w:t>
          </w:r>
          <w:r>
            <w:rPr>
              <w:rFonts w:hint="default" w:ascii="Times New Roman" w:hAnsi="Times New Roman" w:eastAsia="仿宋_GB2312" w:cs="Times New Roman"/>
              <w:bCs/>
              <w:sz w:val="28"/>
              <w:szCs w:val="28"/>
              <w:highlight w:val="none"/>
              <w:lang w:eastAsia="zh" w:bidi="ar"/>
              <w:woUserID w:val="0"/>
            </w:rPr>
            <w:t>县域综合实力显著增强</w:t>
          </w:r>
          <w:r>
            <w:rPr>
              <w:sz w:val="28"/>
              <w:szCs w:val="28"/>
            </w:rPr>
            <w:tab/>
          </w:r>
          <w:r>
            <w:rPr>
              <w:sz w:val="28"/>
              <w:szCs w:val="28"/>
            </w:rPr>
            <w:t>- 15 -</w:t>
          </w:r>
        </w:p>
        <w:p w14:paraId="2C63E7D3">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 xml:space="preserve">第二节 </w:t>
          </w:r>
          <w:r>
            <w:rPr>
              <w:rFonts w:hint="default" w:ascii="Times New Roman" w:hAnsi="Times New Roman" w:eastAsia="仿宋_GB2312" w:cs="Times New Roman"/>
              <w:bCs/>
              <w:sz w:val="28"/>
              <w:szCs w:val="28"/>
              <w:highlight w:val="none"/>
              <w:lang w:eastAsia="zh-CN" w:bidi="ar"/>
              <w:woUserID w:val="0"/>
            </w:rPr>
            <w:t>产业转型成效充分凸显</w:t>
          </w:r>
          <w:r>
            <w:rPr>
              <w:sz w:val="28"/>
              <w:szCs w:val="28"/>
            </w:rPr>
            <w:tab/>
          </w:r>
          <w:r>
            <w:rPr>
              <w:sz w:val="28"/>
              <w:szCs w:val="28"/>
            </w:rPr>
            <w:t>- 15 -</w:t>
          </w:r>
        </w:p>
        <w:p w14:paraId="43255260">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第</w:t>
          </w:r>
          <w:r>
            <w:rPr>
              <w:rFonts w:hint="default" w:ascii="Times New Roman" w:hAnsi="Times New Roman" w:eastAsia="仿宋_GB2312" w:cs="Times New Roman"/>
              <w:bCs/>
              <w:sz w:val="28"/>
              <w:szCs w:val="28"/>
              <w:highlight w:val="none"/>
              <w:lang w:val="en-US" w:eastAsia="zh" w:bidi="ar"/>
              <w:woUserID w:val="0"/>
            </w:rPr>
            <w:t>三</w:t>
          </w:r>
          <w:r>
            <w:rPr>
              <w:rFonts w:hint="default" w:ascii="Times New Roman" w:hAnsi="Times New Roman" w:eastAsia="仿宋_GB2312" w:cs="Times New Roman"/>
              <w:bCs/>
              <w:sz w:val="28"/>
              <w:szCs w:val="28"/>
              <w:highlight w:val="none"/>
              <w:lang w:val="en-US" w:eastAsia="zh-CN" w:bidi="ar"/>
              <w:woUserID w:val="0"/>
            </w:rPr>
            <w:t xml:space="preserve">节 </w:t>
          </w:r>
          <w:r>
            <w:rPr>
              <w:rFonts w:hint="default" w:ascii="Times New Roman" w:hAnsi="Times New Roman" w:eastAsia="仿宋_GB2312" w:cs="Times New Roman"/>
              <w:bCs/>
              <w:sz w:val="28"/>
              <w:szCs w:val="28"/>
              <w:highlight w:val="none"/>
              <w:lang w:eastAsia="zh" w:bidi="ar"/>
              <w:woUserID w:val="0"/>
            </w:rPr>
            <w:t>科技创新能级初步显现</w:t>
          </w:r>
          <w:r>
            <w:rPr>
              <w:sz w:val="28"/>
              <w:szCs w:val="28"/>
            </w:rPr>
            <w:tab/>
          </w:r>
          <w:r>
            <w:rPr>
              <w:sz w:val="28"/>
              <w:szCs w:val="28"/>
            </w:rPr>
            <w:t>- 16 -</w:t>
          </w:r>
        </w:p>
        <w:p w14:paraId="42726E88">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第</w:t>
          </w:r>
          <w:r>
            <w:rPr>
              <w:rFonts w:hint="default" w:ascii="Times New Roman" w:hAnsi="Times New Roman" w:eastAsia="仿宋_GB2312" w:cs="Times New Roman"/>
              <w:bCs/>
              <w:sz w:val="28"/>
              <w:szCs w:val="28"/>
              <w:highlight w:val="none"/>
              <w:lang w:val="en-US" w:eastAsia="zh" w:bidi="ar"/>
              <w:woUserID w:val="0"/>
            </w:rPr>
            <w:t>四</w:t>
          </w:r>
          <w:r>
            <w:rPr>
              <w:rFonts w:hint="default" w:ascii="Times New Roman" w:hAnsi="Times New Roman" w:eastAsia="仿宋_GB2312" w:cs="Times New Roman"/>
              <w:bCs/>
              <w:sz w:val="28"/>
              <w:szCs w:val="28"/>
              <w:highlight w:val="none"/>
              <w:lang w:val="en-US" w:eastAsia="zh-CN" w:bidi="ar"/>
              <w:woUserID w:val="0"/>
            </w:rPr>
            <w:t xml:space="preserve">节 </w:t>
          </w:r>
          <w:r>
            <w:rPr>
              <w:rFonts w:hint="default" w:ascii="Times New Roman" w:hAnsi="Times New Roman" w:eastAsia="仿宋_GB2312" w:cs="Times New Roman"/>
              <w:bCs/>
              <w:sz w:val="28"/>
              <w:szCs w:val="28"/>
              <w:highlight w:val="none"/>
              <w:lang w:eastAsia="zh" w:bidi="ar"/>
              <w:woUserID w:val="0"/>
            </w:rPr>
            <w:t>改革发展护航活力桦川</w:t>
          </w:r>
          <w:r>
            <w:rPr>
              <w:sz w:val="28"/>
              <w:szCs w:val="28"/>
            </w:rPr>
            <w:tab/>
          </w:r>
          <w:r>
            <w:rPr>
              <w:sz w:val="28"/>
              <w:szCs w:val="28"/>
            </w:rPr>
            <w:t>- 17 -</w:t>
          </w:r>
        </w:p>
        <w:p w14:paraId="6332E7FC">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第</w:t>
          </w:r>
          <w:r>
            <w:rPr>
              <w:rFonts w:hint="default" w:ascii="Times New Roman" w:hAnsi="Times New Roman" w:eastAsia="仿宋_GB2312" w:cs="Times New Roman"/>
              <w:bCs/>
              <w:sz w:val="28"/>
              <w:szCs w:val="28"/>
              <w:highlight w:val="none"/>
              <w:lang w:val="en-US" w:eastAsia="zh" w:bidi="ar"/>
              <w:woUserID w:val="0"/>
            </w:rPr>
            <w:t>五</w:t>
          </w:r>
          <w:r>
            <w:rPr>
              <w:rFonts w:hint="default" w:ascii="Times New Roman" w:hAnsi="Times New Roman" w:eastAsia="仿宋_GB2312" w:cs="Times New Roman"/>
              <w:bCs/>
              <w:sz w:val="28"/>
              <w:szCs w:val="28"/>
              <w:highlight w:val="none"/>
              <w:lang w:val="en-US" w:eastAsia="zh-CN" w:bidi="ar"/>
              <w:woUserID w:val="0"/>
            </w:rPr>
            <w:t xml:space="preserve">节 </w:t>
          </w:r>
          <w:r>
            <w:rPr>
              <w:rFonts w:hint="default" w:ascii="Times New Roman" w:hAnsi="Times New Roman" w:eastAsia="仿宋_GB2312" w:cs="Times New Roman"/>
              <w:bCs/>
              <w:sz w:val="28"/>
              <w:szCs w:val="28"/>
              <w:highlight w:val="none"/>
              <w:lang w:eastAsia="zh" w:bidi="ar"/>
              <w:woUserID w:val="0"/>
            </w:rPr>
            <w:t>城市面貌加速焕新蝶变</w:t>
          </w:r>
          <w:r>
            <w:rPr>
              <w:sz w:val="28"/>
              <w:szCs w:val="28"/>
            </w:rPr>
            <w:tab/>
          </w:r>
          <w:r>
            <w:rPr>
              <w:sz w:val="28"/>
              <w:szCs w:val="28"/>
            </w:rPr>
            <w:t>- 17 -</w:t>
          </w:r>
        </w:p>
        <w:p w14:paraId="06508F01">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第</w:t>
          </w:r>
          <w:r>
            <w:rPr>
              <w:rFonts w:hint="default" w:ascii="Times New Roman" w:hAnsi="Times New Roman" w:eastAsia="仿宋_GB2312" w:cs="Times New Roman"/>
              <w:bCs/>
              <w:sz w:val="28"/>
              <w:szCs w:val="28"/>
              <w:highlight w:val="none"/>
              <w:lang w:val="en-US" w:eastAsia="zh" w:bidi="ar"/>
              <w:woUserID w:val="0"/>
            </w:rPr>
            <w:t>六</w:t>
          </w:r>
          <w:r>
            <w:rPr>
              <w:rFonts w:hint="default" w:ascii="Times New Roman" w:hAnsi="Times New Roman" w:eastAsia="仿宋_GB2312" w:cs="Times New Roman"/>
              <w:bCs/>
              <w:sz w:val="28"/>
              <w:szCs w:val="28"/>
              <w:highlight w:val="none"/>
              <w:lang w:val="en-US" w:eastAsia="zh-CN" w:bidi="ar"/>
              <w:woUserID w:val="0"/>
            </w:rPr>
            <w:t xml:space="preserve">节 </w:t>
          </w:r>
          <w:r>
            <w:rPr>
              <w:rFonts w:hint="default" w:ascii="Times New Roman" w:hAnsi="Times New Roman" w:eastAsia="仿宋_GB2312" w:cs="Times New Roman"/>
              <w:bCs/>
              <w:sz w:val="28"/>
              <w:szCs w:val="28"/>
              <w:highlight w:val="none"/>
              <w:lang w:eastAsia="zh" w:bidi="ar"/>
              <w:woUserID w:val="0"/>
            </w:rPr>
            <w:t>乡村振兴战略深入实施</w:t>
          </w:r>
          <w:r>
            <w:rPr>
              <w:sz w:val="28"/>
              <w:szCs w:val="28"/>
            </w:rPr>
            <w:tab/>
          </w:r>
          <w:r>
            <w:rPr>
              <w:sz w:val="28"/>
              <w:szCs w:val="28"/>
            </w:rPr>
            <w:t>- 18 -</w:t>
          </w:r>
        </w:p>
        <w:p w14:paraId="3240B3BE">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第</w:t>
          </w:r>
          <w:r>
            <w:rPr>
              <w:rFonts w:hint="default" w:ascii="Times New Roman" w:hAnsi="Times New Roman" w:eastAsia="仿宋_GB2312" w:cs="Times New Roman"/>
              <w:bCs/>
              <w:sz w:val="28"/>
              <w:szCs w:val="28"/>
              <w:highlight w:val="none"/>
              <w:lang w:val="en-US" w:eastAsia="zh" w:bidi="ar"/>
              <w:woUserID w:val="0"/>
            </w:rPr>
            <w:t>七</w:t>
          </w:r>
          <w:r>
            <w:rPr>
              <w:rFonts w:hint="default" w:ascii="Times New Roman" w:hAnsi="Times New Roman" w:eastAsia="仿宋_GB2312" w:cs="Times New Roman"/>
              <w:bCs/>
              <w:sz w:val="28"/>
              <w:szCs w:val="28"/>
              <w:highlight w:val="none"/>
              <w:lang w:val="en-US" w:eastAsia="zh-CN" w:bidi="ar"/>
              <w:woUserID w:val="0"/>
            </w:rPr>
            <w:t xml:space="preserve">节 </w:t>
          </w:r>
          <w:r>
            <w:rPr>
              <w:rFonts w:hint="default" w:ascii="Times New Roman" w:hAnsi="Times New Roman" w:eastAsia="仿宋_GB2312" w:cs="Times New Roman"/>
              <w:bCs/>
              <w:sz w:val="28"/>
              <w:szCs w:val="28"/>
              <w:highlight w:val="none"/>
              <w:lang w:eastAsia="zh" w:bidi="ar"/>
              <w:woUserID w:val="0"/>
            </w:rPr>
            <w:t>生态桦川底色厚植重彩</w:t>
          </w:r>
          <w:r>
            <w:rPr>
              <w:sz w:val="28"/>
              <w:szCs w:val="28"/>
            </w:rPr>
            <w:tab/>
          </w:r>
          <w:r>
            <w:rPr>
              <w:sz w:val="28"/>
              <w:szCs w:val="28"/>
            </w:rPr>
            <w:t>- 19 -</w:t>
          </w:r>
        </w:p>
        <w:p w14:paraId="0C9DEDD3">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第</w:t>
          </w:r>
          <w:r>
            <w:rPr>
              <w:rFonts w:hint="default" w:ascii="Times New Roman" w:hAnsi="Times New Roman" w:eastAsia="仿宋_GB2312" w:cs="Times New Roman"/>
              <w:bCs/>
              <w:sz w:val="28"/>
              <w:szCs w:val="28"/>
              <w:highlight w:val="none"/>
              <w:lang w:val="en-US" w:eastAsia="zh" w:bidi="ar"/>
              <w:woUserID w:val="0"/>
            </w:rPr>
            <w:t>八</w:t>
          </w:r>
          <w:r>
            <w:rPr>
              <w:rFonts w:hint="default" w:ascii="Times New Roman" w:hAnsi="Times New Roman" w:eastAsia="仿宋_GB2312" w:cs="Times New Roman"/>
              <w:bCs/>
              <w:sz w:val="28"/>
              <w:szCs w:val="28"/>
              <w:highlight w:val="none"/>
              <w:lang w:val="en-US" w:eastAsia="zh-CN" w:bidi="ar"/>
              <w:woUserID w:val="0"/>
            </w:rPr>
            <w:t xml:space="preserve">节 </w:t>
          </w:r>
          <w:r>
            <w:rPr>
              <w:rFonts w:hint="default" w:ascii="Times New Roman" w:hAnsi="Times New Roman" w:eastAsia="仿宋_GB2312" w:cs="Times New Roman"/>
              <w:bCs/>
              <w:sz w:val="28"/>
              <w:szCs w:val="28"/>
              <w:highlight w:val="none"/>
              <w:lang w:eastAsia="zh" w:bidi="ar"/>
              <w:woUserID w:val="0"/>
            </w:rPr>
            <w:t>幸福桦川全民可感可及</w:t>
          </w:r>
          <w:r>
            <w:rPr>
              <w:sz w:val="28"/>
              <w:szCs w:val="28"/>
            </w:rPr>
            <w:tab/>
          </w:r>
          <w:r>
            <w:rPr>
              <w:sz w:val="28"/>
              <w:szCs w:val="28"/>
            </w:rPr>
            <w:t>- 19 -</w:t>
          </w:r>
        </w:p>
        <w:p w14:paraId="02974F5D">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第</w:t>
          </w:r>
          <w:r>
            <w:rPr>
              <w:rFonts w:hint="default" w:ascii="Times New Roman" w:hAnsi="Times New Roman" w:eastAsia="仿宋_GB2312" w:cs="Times New Roman"/>
              <w:bCs/>
              <w:sz w:val="28"/>
              <w:szCs w:val="28"/>
              <w:highlight w:val="none"/>
              <w:lang w:val="en-US" w:eastAsia="zh" w:bidi="ar"/>
              <w:woUserID w:val="0"/>
            </w:rPr>
            <w:t>九</w:t>
          </w:r>
          <w:r>
            <w:rPr>
              <w:rFonts w:hint="default" w:ascii="Times New Roman" w:hAnsi="Times New Roman" w:eastAsia="仿宋_GB2312" w:cs="Times New Roman"/>
              <w:bCs/>
              <w:sz w:val="28"/>
              <w:szCs w:val="28"/>
              <w:highlight w:val="none"/>
              <w:lang w:val="en-US" w:eastAsia="zh-CN" w:bidi="ar"/>
              <w:woUserID w:val="0"/>
            </w:rPr>
            <w:t xml:space="preserve">节 </w:t>
          </w:r>
          <w:r>
            <w:rPr>
              <w:rFonts w:hint="default" w:ascii="Times New Roman" w:hAnsi="Times New Roman" w:eastAsia="仿宋_GB2312" w:cs="Times New Roman"/>
              <w:bCs/>
              <w:sz w:val="28"/>
              <w:szCs w:val="28"/>
              <w:highlight w:val="none"/>
              <w:lang w:val="en-US" w:eastAsia="zh" w:bidi="ar"/>
              <w:woUserID w:val="0"/>
            </w:rPr>
            <w:t>平安桦川建设成果丰硕</w:t>
          </w:r>
          <w:r>
            <w:rPr>
              <w:sz w:val="28"/>
              <w:szCs w:val="28"/>
            </w:rPr>
            <w:tab/>
          </w:r>
          <w:r>
            <w:rPr>
              <w:sz w:val="28"/>
              <w:szCs w:val="28"/>
            </w:rPr>
            <w:t>- 20 -</w:t>
          </w:r>
        </w:p>
        <w:p w14:paraId="0A06B941">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第</w:t>
          </w:r>
          <w:r>
            <w:rPr>
              <w:rFonts w:hint="default" w:ascii="Times New Roman" w:hAnsi="Times New Roman" w:eastAsia="仿宋_GB2312" w:cs="Times New Roman"/>
              <w:bCs/>
              <w:sz w:val="28"/>
              <w:szCs w:val="28"/>
              <w:highlight w:val="none"/>
              <w:lang w:val="en-US" w:eastAsia="zh" w:bidi="ar"/>
              <w:woUserID w:val="0"/>
            </w:rPr>
            <w:t>十</w:t>
          </w:r>
          <w:r>
            <w:rPr>
              <w:rFonts w:hint="default" w:ascii="Times New Roman" w:hAnsi="Times New Roman" w:eastAsia="仿宋_GB2312" w:cs="Times New Roman"/>
              <w:bCs/>
              <w:sz w:val="28"/>
              <w:szCs w:val="28"/>
              <w:highlight w:val="none"/>
              <w:lang w:val="en-US" w:eastAsia="zh-CN" w:bidi="ar"/>
              <w:woUserID w:val="0"/>
            </w:rPr>
            <w:t xml:space="preserve">节 </w:t>
          </w:r>
          <w:r>
            <w:rPr>
              <w:rFonts w:hint="default" w:ascii="Times New Roman" w:hAnsi="Times New Roman" w:eastAsia="仿宋_GB2312" w:cs="Times New Roman"/>
              <w:bCs/>
              <w:sz w:val="28"/>
              <w:szCs w:val="28"/>
              <w:highlight w:val="none"/>
              <w:lang w:val="en-US" w:eastAsia="zh" w:bidi="ar"/>
              <w:woUserID w:val="0"/>
            </w:rPr>
            <w:t>全面从严治党纵深发展</w:t>
          </w:r>
          <w:r>
            <w:rPr>
              <w:sz w:val="28"/>
              <w:szCs w:val="28"/>
            </w:rPr>
            <w:tab/>
          </w:r>
          <w:r>
            <w:rPr>
              <w:sz w:val="28"/>
              <w:szCs w:val="28"/>
            </w:rPr>
            <w:t>- 21 -</w:t>
          </w:r>
        </w:p>
        <w:p w14:paraId="7920E39D">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lang w:bidi="ar"/>
            </w:rPr>
            <w:t>第二</w:t>
          </w:r>
          <w:r>
            <w:rPr>
              <w:rFonts w:hint="default" w:ascii="Times New Roman" w:hAnsi="Times New Roman" w:eastAsia="楷体" w:cs="Times New Roman"/>
              <w:bCs w:val="0"/>
              <w:sz w:val="28"/>
              <w:szCs w:val="28"/>
              <w:highlight w:val="none"/>
              <w:lang w:eastAsia="zh-CN" w:bidi="ar"/>
              <w:woUserID w:val="0"/>
            </w:rPr>
            <w:t>章</w:t>
          </w:r>
          <w:r>
            <w:rPr>
              <w:rFonts w:hint="default" w:ascii="Times New Roman" w:hAnsi="Times New Roman" w:eastAsia="楷体" w:cs="Times New Roman"/>
              <w:sz w:val="28"/>
              <w:szCs w:val="28"/>
              <w:highlight w:val="none"/>
              <w:lang w:bidi="ar"/>
            </w:rPr>
            <w:t xml:space="preserve"> </w:t>
          </w:r>
          <w:r>
            <w:rPr>
              <w:rFonts w:hint="default" w:ascii="Times New Roman" w:hAnsi="Times New Roman" w:eastAsia="楷体" w:cs="Times New Roman"/>
              <w:bCs w:val="0"/>
              <w:sz w:val="28"/>
              <w:szCs w:val="28"/>
              <w:highlight w:val="none"/>
              <w:lang w:bidi="ar"/>
            </w:rPr>
            <w:t>“十五五”时期在全面建设社会主义</w:t>
          </w:r>
          <w:r>
            <w:rPr>
              <w:rFonts w:hint="default" w:ascii="Times New Roman" w:hAnsi="Times New Roman" w:eastAsia="楷体" w:cs="Times New Roman"/>
              <w:bCs w:val="0"/>
              <w:sz w:val="28"/>
              <w:szCs w:val="28"/>
              <w:highlight w:val="none"/>
              <w:lang w:val="en-US" w:eastAsia="zh-CN" w:bidi="ar"/>
            </w:rPr>
            <w:t>现代化进程</w:t>
          </w:r>
          <w:r>
            <w:rPr>
              <w:rFonts w:hint="default" w:ascii="Times New Roman" w:hAnsi="Times New Roman" w:eastAsia="楷体" w:cs="Times New Roman"/>
              <w:bCs w:val="0"/>
              <w:sz w:val="28"/>
              <w:szCs w:val="28"/>
              <w:highlight w:val="none"/>
              <w:lang w:bidi="ar"/>
            </w:rPr>
            <w:t>中</w:t>
          </w:r>
          <w:r>
            <w:rPr>
              <w:rFonts w:hint="default" w:ascii="Times New Roman" w:hAnsi="Times New Roman" w:eastAsia="楷体" w:cs="Times New Roman"/>
              <w:bCs w:val="0"/>
              <w:sz w:val="28"/>
              <w:szCs w:val="28"/>
              <w:highlight w:val="none"/>
              <w:lang w:val="en-US" w:eastAsia="zh-CN" w:bidi="ar"/>
            </w:rPr>
            <w:t>具</w:t>
          </w:r>
          <w:r>
            <w:rPr>
              <w:rFonts w:hint="default" w:ascii="Times New Roman" w:hAnsi="Times New Roman" w:eastAsia="楷体" w:cs="Times New Roman"/>
              <w:bCs w:val="0"/>
              <w:sz w:val="28"/>
              <w:szCs w:val="28"/>
              <w:highlight w:val="none"/>
              <w:lang w:bidi="ar"/>
            </w:rPr>
            <w:t>有承前启后的重要地位</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- 22 -</w:t>
          </w:r>
        </w:p>
        <w:p w14:paraId="68F68ACC">
          <w:pPr>
            <w:pStyle w:val="21"/>
            <w:tabs>
              <w:tab w:val="right" w:leader="dot" w:pos="8306"/>
              <w:tab w:val="clear" w:pos="8296"/>
            </w:tabs>
            <w:rPr>
              <w:sz w:val="28"/>
              <w:szCs w:val="28"/>
            </w:rPr>
          </w:pPr>
          <w:r>
            <w:rPr>
              <w:rFonts w:hint="default" w:ascii="Times New Roman" w:hAnsi="Times New Roman" w:eastAsia="楷体" w:cs="Times New Roman"/>
              <w:bCs w:val="0"/>
              <w:sz w:val="28"/>
              <w:szCs w:val="28"/>
              <w:highlight w:val="none"/>
              <w:lang w:bidi="ar"/>
            </w:rPr>
            <w:t>第三</w:t>
          </w:r>
          <w:r>
            <w:rPr>
              <w:rFonts w:hint="default" w:ascii="Times New Roman" w:hAnsi="Times New Roman" w:eastAsia="楷体" w:cs="Times New Roman"/>
              <w:bCs w:val="0"/>
              <w:sz w:val="28"/>
              <w:szCs w:val="28"/>
              <w:highlight w:val="none"/>
              <w:lang w:eastAsia="zh" w:bidi="ar"/>
              <w:woUserID w:val="0"/>
            </w:rPr>
            <w:t>章</w:t>
          </w:r>
          <w:r>
            <w:rPr>
              <w:rFonts w:hint="default" w:ascii="Times New Roman" w:hAnsi="Times New Roman" w:eastAsia="楷体" w:cs="Times New Roman"/>
              <w:bCs w:val="0"/>
              <w:sz w:val="28"/>
              <w:szCs w:val="28"/>
              <w:highlight w:val="none"/>
              <w:lang w:bidi="ar"/>
            </w:rPr>
            <w:t xml:space="preserve"> “十五五”时期发展环境面临深刻复杂变化</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- 22 -</w:t>
          </w:r>
        </w:p>
        <w:p w14:paraId="066A3557">
          <w:pPr>
            <w:pStyle w:val="18"/>
            <w:tabs>
              <w:tab w:val="right" w:leader="dot" w:pos="8306"/>
              <w:tab w:val="clear" w:pos="8296"/>
            </w:tabs>
            <w:rPr>
              <w:sz w:val="28"/>
              <w:szCs w:val="28"/>
            </w:rPr>
          </w:pPr>
          <w:r>
            <w:rPr>
              <w:rFonts w:hint="default" w:ascii="Times New Roman" w:hAnsi="Times New Roman" w:eastAsia="黑体" w:cs="Times New Roman"/>
              <w:sz w:val="28"/>
              <w:szCs w:val="28"/>
              <w:highlight w:val="none"/>
              <w:lang w:val="en-US" w:eastAsia="zh-CN"/>
              <w14:ligatures w14:val="standardContextual"/>
            </w:rPr>
            <w:t>第二</w:t>
          </w:r>
          <w:r>
            <w:rPr>
              <w:rFonts w:hint="default" w:ascii="Times New Roman" w:hAnsi="Times New Roman" w:eastAsia="黑体" w:cs="Times New Roman"/>
              <w:sz w:val="28"/>
              <w:szCs w:val="28"/>
              <w:highlight w:val="none"/>
              <w:lang w:val="en-US" w:eastAsia="zh"/>
              <w14:ligatures w14:val="standardContextual"/>
            </w:rPr>
            <w:t>篇</w:t>
          </w:r>
          <w:r>
            <w:rPr>
              <w:rFonts w:hint="default" w:ascii="Times New Roman" w:hAnsi="Times New Roman" w:eastAsia="黑体" w:cs="Times New Roman"/>
              <w:sz w:val="28"/>
              <w:szCs w:val="28"/>
              <w:highlight w:val="none"/>
              <w:lang w:val="en-US" w:eastAsia="zh-CN"/>
              <w14:ligatures w14:val="standardContextual"/>
            </w:rPr>
            <w:t xml:space="preserve"> “十五五”时期高质量振兴发展的总体要求</w:t>
          </w:r>
          <w:r>
            <w:rPr>
              <w:sz w:val="28"/>
              <w:szCs w:val="28"/>
            </w:rPr>
            <w:tab/>
          </w:r>
          <w:r>
            <w:rPr>
              <w:sz w:val="28"/>
              <w:szCs w:val="28"/>
            </w:rPr>
            <w:t>- 25 -</w:t>
          </w:r>
        </w:p>
        <w:p w14:paraId="7F3D4BE7">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rPr>
            <w:t>第一</w:t>
          </w:r>
          <w:r>
            <w:rPr>
              <w:rFonts w:hint="default" w:ascii="Times New Roman" w:hAnsi="Times New Roman" w:eastAsia="楷体" w:cs="Times New Roman"/>
              <w:sz w:val="28"/>
              <w:szCs w:val="28"/>
              <w:highlight w:val="none"/>
              <w:lang w:eastAsia="zh"/>
              <w:woUserID w:val="0"/>
            </w:rPr>
            <w:t>章</w:t>
          </w:r>
          <w:r>
            <w:rPr>
              <w:rFonts w:hint="default" w:ascii="Times New Roman" w:hAnsi="Times New Roman" w:eastAsia="楷体" w:cs="Times New Roman"/>
              <w:sz w:val="28"/>
              <w:szCs w:val="28"/>
              <w:highlight w:val="none"/>
            </w:rPr>
            <w:t xml:space="preserve"> </w:t>
          </w:r>
          <w:r>
            <w:rPr>
              <w:rFonts w:hint="default" w:ascii="Times New Roman" w:hAnsi="Times New Roman" w:eastAsia="楷体" w:cs="Times New Roman"/>
              <w:bCs w:val="0"/>
              <w:sz w:val="28"/>
              <w:szCs w:val="28"/>
              <w:highlight w:val="none"/>
            </w:rPr>
            <w:t>“十五五”时期经济社会发展的</w:t>
          </w:r>
          <w:r>
            <w:rPr>
              <w:rFonts w:hint="default" w:ascii="Times New Roman" w:hAnsi="Times New Roman" w:eastAsia="楷体" w:cs="Times New Roman"/>
              <w:sz w:val="28"/>
              <w:szCs w:val="28"/>
              <w:highlight w:val="none"/>
            </w:rPr>
            <w:t>指导思想</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- 25 -</w:t>
          </w:r>
        </w:p>
        <w:p w14:paraId="0E2FC91E">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rPr>
            <w:t>第二</w:t>
          </w:r>
          <w:r>
            <w:rPr>
              <w:rFonts w:hint="default" w:ascii="Times New Roman" w:hAnsi="Times New Roman" w:eastAsia="楷体" w:cs="Times New Roman"/>
              <w:sz w:val="28"/>
              <w:szCs w:val="28"/>
              <w:highlight w:val="none"/>
              <w:lang w:eastAsia="zh"/>
            </w:rPr>
            <w:t>章</w:t>
          </w:r>
          <w:r>
            <w:rPr>
              <w:rFonts w:hint="default" w:ascii="Times New Roman" w:hAnsi="Times New Roman" w:eastAsia="楷体" w:cs="Times New Roman"/>
              <w:sz w:val="28"/>
              <w:szCs w:val="28"/>
              <w:highlight w:val="none"/>
            </w:rPr>
            <w:t xml:space="preserve"> “十五五”时期经济社会发展</w:t>
          </w:r>
          <w:r>
            <w:rPr>
              <w:rFonts w:hint="default" w:ascii="Times New Roman" w:hAnsi="Times New Roman" w:eastAsia="楷体" w:cs="Times New Roman"/>
              <w:sz w:val="28"/>
              <w:szCs w:val="28"/>
              <w:highlight w:val="none"/>
              <w:lang w:eastAsia="zh"/>
            </w:rPr>
            <w:t>必须遵循的</w:t>
          </w:r>
          <w:r>
            <w:rPr>
              <w:rFonts w:hint="default" w:ascii="Times New Roman" w:hAnsi="Times New Roman" w:eastAsia="楷体" w:cs="Times New Roman"/>
              <w:sz w:val="28"/>
              <w:szCs w:val="28"/>
              <w:highlight w:val="none"/>
            </w:rPr>
            <w:t>原则</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- 26 -</w:t>
          </w:r>
        </w:p>
        <w:p w14:paraId="263D8441">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 xml:space="preserve">第一节 </w:t>
          </w:r>
          <w:r>
            <w:rPr>
              <w:rFonts w:hint="default" w:ascii="Times New Roman" w:hAnsi="Times New Roman" w:eastAsia="仿宋_GB2312" w:cs="Times New Roman"/>
              <w:bCs/>
              <w:sz w:val="28"/>
              <w:szCs w:val="28"/>
              <w:highlight w:val="none"/>
              <w:lang w:eastAsia="zh" w:bidi="ar"/>
              <w:woUserID w:val="0"/>
            </w:rPr>
            <w:t>坚持党的全面领导</w:t>
          </w:r>
          <w:r>
            <w:rPr>
              <w:sz w:val="28"/>
              <w:szCs w:val="28"/>
            </w:rPr>
            <w:tab/>
          </w:r>
          <w:r>
            <w:rPr>
              <w:sz w:val="28"/>
              <w:szCs w:val="28"/>
            </w:rPr>
            <w:t>- 26 -</w:t>
          </w:r>
        </w:p>
        <w:p w14:paraId="7F1A9641">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第</w:t>
          </w:r>
          <w:r>
            <w:rPr>
              <w:rFonts w:hint="default" w:ascii="Times New Roman" w:hAnsi="Times New Roman" w:eastAsia="仿宋_GB2312" w:cs="Times New Roman"/>
              <w:bCs/>
              <w:sz w:val="28"/>
              <w:szCs w:val="28"/>
              <w:highlight w:val="none"/>
              <w:lang w:val="en-US" w:eastAsia="zh" w:bidi="ar"/>
              <w:woUserID w:val="0"/>
            </w:rPr>
            <w:t>二</w:t>
          </w:r>
          <w:r>
            <w:rPr>
              <w:rFonts w:hint="default" w:ascii="Times New Roman" w:hAnsi="Times New Roman" w:eastAsia="仿宋_GB2312" w:cs="Times New Roman"/>
              <w:bCs/>
              <w:sz w:val="28"/>
              <w:szCs w:val="28"/>
              <w:highlight w:val="none"/>
              <w:lang w:val="en-US" w:eastAsia="zh-CN" w:bidi="ar"/>
              <w:woUserID w:val="0"/>
            </w:rPr>
            <w:t xml:space="preserve">节 </w:t>
          </w:r>
          <w:r>
            <w:rPr>
              <w:rFonts w:hint="default" w:ascii="Times New Roman" w:hAnsi="Times New Roman" w:eastAsia="仿宋_GB2312" w:cs="Times New Roman"/>
              <w:bCs/>
              <w:sz w:val="28"/>
              <w:szCs w:val="28"/>
              <w:highlight w:val="none"/>
              <w:lang w:eastAsia="zh" w:bidi="ar"/>
              <w:woUserID w:val="0"/>
            </w:rPr>
            <w:t>坚持人民至上</w:t>
          </w:r>
          <w:r>
            <w:rPr>
              <w:sz w:val="28"/>
              <w:szCs w:val="28"/>
            </w:rPr>
            <w:tab/>
          </w:r>
          <w:r>
            <w:rPr>
              <w:sz w:val="28"/>
              <w:szCs w:val="28"/>
            </w:rPr>
            <w:t>- 26 -</w:t>
          </w:r>
        </w:p>
        <w:p w14:paraId="0DEA5EEE">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第</w:t>
          </w:r>
          <w:r>
            <w:rPr>
              <w:rFonts w:hint="default" w:ascii="Times New Roman" w:hAnsi="Times New Roman" w:eastAsia="仿宋_GB2312" w:cs="Times New Roman"/>
              <w:bCs/>
              <w:sz w:val="28"/>
              <w:szCs w:val="28"/>
              <w:highlight w:val="none"/>
              <w:lang w:val="en-US" w:eastAsia="zh" w:bidi="ar"/>
              <w:woUserID w:val="0"/>
            </w:rPr>
            <w:t>三</w:t>
          </w:r>
          <w:r>
            <w:rPr>
              <w:rFonts w:hint="default" w:ascii="Times New Roman" w:hAnsi="Times New Roman" w:eastAsia="仿宋_GB2312" w:cs="Times New Roman"/>
              <w:bCs/>
              <w:sz w:val="28"/>
              <w:szCs w:val="28"/>
              <w:highlight w:val="none"/>
              <w:lang w:val="en-US" w:eastAsia="zh-CN" w:bidi="ar"/>
              <w:woUserID w:val="0"/>
            </w:rPr>
            <w:t xml:space="preserve">节 </w:t>
          </w:r>
          <w:r>
            <w:rPr>
              <w:rFonts w:hint="default" w:ascii="Times New Roman" w:hAnsi="Times New Roman" w:eastAsia="仿宋_GB2312" w:cs="Times New Roman"/>
              <w:bCs/>
              <w:sz w:val="28"/>
              <w:szCs w:val="28"/>
              <w:highlight w:val="none"/>
              <w:lang w:eastAsia="zh" w:bidi="ar"/>
              <w:woUserID w:val="0"/>
            </w:rPr>
            <w:t>坚持高质量发展</w:t>
          </w:r>
          <w:r>
            <w:rPr>
              <w:sz w:val="28"/>
              <w:szCs w:val="28"/>
            </w:rPr>
            <w:tab/>
          </w:r>
          <w:r>
            <w:rPr>
              <w:sz w:val="28"/>
              <w:szCs w:val="28"/>
            </w:rPr>
            <w:t>- 26 -</w:t>
          </w:r>
        </w:p>
        <w:p w14:paraId="28ECC3E9">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第</w:t>
          </w:r>
          <w:r>
            <w:rPr>
              <w:rFonts w:hint="default" w:ascii="Times New Roman" w:hAnsi="Times New Roman" w:eastAsia="仿宋_GB2312" w:cs="Times New Roman"/>
              <w:bCs/>
              <w:sz w:val="28"/>
              <w:szCs w:val="28"/>
              <w:highlight w:val="none"/>
              <w:lang w:val="en-US" w:eastAsia="zh" w:bidi="ar"/>
              <w:woUserID w:val="0"/>
            </w:rPr>
            <w:t>四</w:t>
          </w:r>
          <w:r>
            <w:rPr>
              <w:rFonts w:hint="default" w:ascii="Times New Roman" w:hAnsi="Times New Roman" w:eastAsia="仿宋_GB2312" w:cs="Times New Roman"/>
              <w:bCs/>
              <w:sz w:val="28"/>
              <w:szCs w:val="28"/>
              <w:highlight w:val="none"/>
              <w:lang w:val="en-US" w:eastAsia="zh-CN" w:bidi="ar"/>
              <w:woUserID w:val="0"/>
            </w:rPr>
            <w:t xml:space="preserve">节 </w:t>
          </w:r>
          <w:r>
            <w:rPr>
              <w:rFonts w:hint="default" w:ascii="Times New Roman" w:hAnsi="Times New Roman" w:eastAsia="仿宋_GB2312" w:cs="Times New Roman"/>
              <w:bCs/>
              <w:sz w:val="28"/>
              <w:szCs w:val="28"/>
              <w:highlight w:val="none"/>
              <w:lang w:eastAsia="zh" w:bidi="ar"/>
              <w:woUserID w:val="0"/>
            </w:rPr>
            <w:t>坚持深化改革开放</w:t>
          </w:r>
          <w:r>
            <w:rPr>
              <w:sz w:val="28"/>
              <w:szCs w:val="28"/>
            </w:rPr>
            <w:tab/>
          </w:r>
          <w:r>
            <w:rPr>
              <w:sz w:val="28"/>
              <w:szCs w:val="28"/>
            </w:rPr>
            <w:t>- 27 -</w:t>
          </w:r>
        </w:p>
        <w:p w14:paraId="1DE3A841">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第</w:t>
          </w:r>
          <w:r>
            <w:rPr>
              <w:rFonts w:hint="default" w:ascii="Times New Roman" w:hAnsi="Times New Roman" w:eastAsia="仿宋_GB2312" w:cs="Times New Roman"/>
              <w:bCs/>
              <w:sz w:val="28"/>
              <w:szCs w:val="28"/>
              <w:highlight w:val="none"/>
              <w:lang w:val="en-US" w:eastAsia="zh" w:bidi="ar"/>
              <w:woUserID w:val="0"/>
            </w:rPr>
            <w:t>五</w:t>
          </w:r>
          <w:r>
            <w:rPr>
              <w:rFonts w:hint="default" w:ascii="Times New Roman" w:hAnsi="Times New Roman" w:eastAsia="仿宋_GB2312" w:cs="Times New Roman"/>
              <w:bCs/>
              <w:sz w:val="28"/>
              <w:szCs w:val="28"/>
              <w:highlight w:val="none"/>
              <w:lang w:val="en-US" w:eastAsia="zh-CN" w:bidi="ar"/>
              <w:woUserID w:val="0"/>
            </w:rPr>
            <w:t xml:space="preserve">节 </w:t>
          </w:r>
          <w:r>
            <w:rPr>
              <w:rFonts w:hint="default" w:ascii="Times New Roman" w:hAnsi="Times New Roman" w:eastAsia="仿宋_GB2312" w:cs="Times New Roman"/>
              <w:bCs/>
              <w:sz w:val="28"/>
              <w:szCs w:val="28"/>
              <w:highlight w:val="none"/>
              <w:lang w:eastAsia="zh" w:bidi="ar"/>
              <w:woUserID w:val="0"/>
            </w:rPr>
            <w:t>坚持有效市场和有为政府相结合</w:t>
          </w:r>
          <w:r>
            <w:rPr>
              <w:sz w:val="28"/>
              <w:szCs w:val="28"/>
            </w:rPr>
            <w:tab/>
          </w:r>
          <w:r>
            <w:rPr>
              <w:sz w:val="28"/>
              <w:szCs w:val="28"/>
            </w:rPr>
            <w:t>- 27 -</w:t>
          </w:r>
        </w:p>
        <w:p w14:paraId="4863D44D">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第</w:t>
          </w:r>
          <w:r>
            <w:rPr>
              <w:rFonts w:hint="default" w:ascii="Times New Roman" w:hAnsi="Times New Roman" w:eastAsia="仿宋_GB2312" w:cs="Times New Roman"/>
              <w:bCs/>
              <w:sz w:val="28"/>
              <w:szCs w:val="28"/>
              <w:highlight w:val="none"/>
              <w:lang w:val="en-US" w:eastAsia="zh" w:bidi="ar"/>
              <w:woUserID w:val="0"/>
            </w:rPr>
            <w:t>六</w:t>
          </w:r>
          <w:r>
            <w:rPr>
              <w:rFonts w:hint="default" w:ascii="Times New Roman" w:hAnsi="Times New Roman" w:eastAsia="仿宋_GB2312" w:cs="Times New Roman"/>
              <w:bCs/>
              <w:sz w:val="28"/>
              <w:szCs w:val="28"/>
              <w:highlight w:val="none"/>
              <w:lang w:val="en-US" w:eastAsia="zh-CN" w:bidi="ar"/>
              <w:woUserID w:val="0"/>
            </w:rPr>
            <w:t xml:space="preserve">节 </w:t>
          </w:r>
          <w:r>
            <w:rPr>
              <w:rFonts w:hint="default" w:ascii="Times New Roman" w:hAnsi="Times New Roman" w:eastAsia="仿宋_GB2312" w:cs="Times New Roman"/>
              <w:bCs/>
              <w:sz w:val="28"/>
              <w:szCs w:val="28"/>
              <w:highlight w:val="none"/>
              <w:lang w:eastAsia="zh" w:bidi="ar"/>
              <w:woUserID w:val="0"/>
            </w:rPr>
            <w:t>坚持统筹发展和安全</w:t>
          </w:r>
          <w:r>
            <w:rPr>
              <w:sz w:val="28"/>
              <w:szCs w:val="28"/>
            </w:rPr>
            <w:tab/>
          </w:r>
          <w:r>
            <w:rPr>
              <w:sz w:val="28"/>
              <w:szCs w:val="28"/>
            </w:rPr>
            <w:t>- 27 -</w:t>
          </w:r>
        </w:p>
        <w:p w14:paraId="17E5BC7D">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第</w:t>
          </w:r>
          <w:r>
            <w:rPr>
              <w:rFonts w:hint="default" w:ascii="Times New Roman" w:hAnsi="Times New Roman" w:eastAsia="仿宋_GB2312" w:cs="Times New Roman"/>
              <w:bCs/>
              <w:sz w:val="28"/>
              <w:szCs w:val="28"/>
              <w:highlight w:val="none"/>
              <w:lang w:val="en-US" w:eastAsia="zh" w:bidi="ar"/>
              <w:woUserID w:val="0"/>
            </w:rPr>
            <w:t>七</w:t>
          </w:r>
          <w:r>
            <w:rPr>
              <w:rFonts w:hint="default" w:ascii="Times New Roman" w:hAnsi="Times New Roman" w:eastAsia="仿宋_GB2312" w:cs="Times New Roman"/>
              <w:bCs/>
              <w:sz w:val="28"/>
              <w:szCs w:val="28"/>
              <w:highlight w:val="none"/>
              <w:lang w:val="en-US" w:eastAsia="zh-CN" w:bidi="ar"/>
              <w:woUserID w:val="0"/>
            </w:rPr>
            <w:t xml:space="preserve">节 </w:t>
          </w:r>
          <w:r>
            <w:rPr>
              <w:rFonts w:hint="default" w:ascii="Times New Roman" w:hAnsi="Times New Roman" w:eastAsia="仿宋_GB2312" w:cs="Times New Roman"/>
              <w:bCs/>
              <w:sz w:val="28"/>
              <w:szCs w:val="28"/>
              <w:highlight w:val="none"/>
              <w:lang w:eastAsia="zh" w:bidi="ar"/>
              <w:woUserID w:val="0"/>
            </w:rPr>
            <w:t>坚持创先争优</w:t>
          </w:r>
          <w:r>
            <w:rPr>
              <w:sz w:val="28"/>
              <w:szCs w:val="28"/>
            </w:rPr>
            <w:tab/>
          </w:r>
          <w:r>
            <w:rPr>
              <w:sz w:val="28"/>
              <w:szCs w:val="28"/>
            </w:rPr>
            <w:t>- 27 -</w:t>
          </w:r>
        </w:p>
        <w:p w14:paraId="4D9F7892">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第</w:t>
          </w:r>
          <w:r>
            <w:rPr>
              <w:rFonts w:hint="default" w:ascii="Times New Roman" w:hAnsi="Times New Roman" w:eastAsia="仿宋_GB2312" w:cs="Times New Roman"/>
              <w:bCs/>
              <w:sz w:val="28"/>
              <w:szCs w:val="28"/>
              <w:highlight w:val="none"/>
              <w:lang w:val="en-US" w:eastAsia="zh" w:bidi="ar"/>
              <w:woUserID w:val="0"/>
            </w:rPr>
            <w:t>八</w:t>
          </w:r>
          <w:r>
            <w:rPr>
              <w:rFonts w:hint="default" w:ascii="Times New Roman" w:hAnsi="Times New Roman" w:eastAsia="仿宋_GB2312" w:cs="Times New Roman"/>
              <w:bCs/>
              <w:sz w:val="28"/>
              <w:szCs w:val="28"/>
              <w:highlight w:val="none"/>
              <w:lang w:val="en-US" w:eastAsia="zh-CN" w:bidi="ar"/>
              <w:woUserID w:val="0"/>
            </w:rPr>
            <w:t xml:space="preserve">节 </w:t>
          </w:r>
          <w:r>
            <w:rPr>
              <w:rFonts w:hint="default" w:ascii="Times New Roman" w:hAnsi="Times New Roman" w:eastAsia="仿宋_GB2312" w:cs="Times New Roman"/>
              <w:bCs/>
              <w:sz w:val="28"/>
              <w:szCs w:val="28"/>
              <w:highlight w:val="none"/>
              <w:lang w:val="en-US" w:eastAsia="zh" w:bidi="ar"/>
              <w:woUserID w:val="0"/>
            </w:rPr>
            <w:t>坚持一张蓝图绘到底</w:t>
          </w:r>
          <w:r>
            <w:rPr>
              <w:sz w:val="28"/>
              <w:szCs w:val="28"/>
            </w:rPr>
            <w:tab/>
          </w:r>
          <w:r>
            <w:rPr>
              <w:sz w:val="28"/>
              <w:szCs w:val="28"/>
            </w:rPr>
            <w:t>- 28 -</w:t>
          </w:r>
        </w:p>
        <w:p w14:paraId="617F5672">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rPr>
            <w:t>第三</w:t>
          </w:r>
          <w:r>
            <w:rPr>
              <w:rFonts w:hint="default" w:ascii="Times New Roman" w:hAnsi="Times New Roman" w:eastAsia="楷体" w:cs="Times New Roman"/>
              <w:sz w:val="28"/>
              <w:szCs w:val="28"/>
              <w:highlight w:val="none"/>
              <w:lang w:eastAsia="zh"/>
              <w:woUserID w:val="0"/>
            </w:rPr>
            <w:t>章</w:t>
          </w:r>
          <w:r>
            <w:rPr>
              <w:rFonts w:hint="default" w:ascii="Times New Roman" w:hAnsi="Times New Roman" w:eastAsia="楷体" w:cs="Times New Roman"/>
              <w:sz w:val="28"/>
              <w:szCs w:val="28"/>
              <w:highlight w:val="none"/>
            </w:rPr>
            <w:t xml:space="preserve"> </w:t>
          </w:r>
          <w:r>
            <w:rPr>
              <w:rFonts w:hint="default" w:ascii="Times New Roman" w:hAnsi="Times New Roman" w:eastAsia="楷体" w:cs="Times New Roman"/>
              <w:bCs w:val="0"/>
              <w:sz w:val="28"/>
              <w:szCs w:val="28"/>
              <w:highlight w:val="none"/>
            </w:rPr>
            <w:t>“十五五”时期经济社会发展的</w:t>
          </w:r>
          <w:r>
            <w:rPr>
              <w:rFonts w:hint="default" w:ascii="Times New Roman" w:hAnsi="Times New Roman" w:eastAsia="楷体" w:cs="Times New Roman"/>
              <w:sz w:val="28"/>
              <w:szCs w:val="28"/>
              <w:highlight w:val="none"/>
            </w:rPr>
            <w:t>战略定位</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- 28 -</w:t>
          </w:r>
        </w:p>
        <w:p w14:paraId="1565E558">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第</w:t>
          </w:r>
          <w:r>
            <w:rPr>
              <w:rFonts w:hint="default" w:ascii="Times New Roman" w:hAnsi="Times New Roman" w:eastAsia="仿宋_GB2312" w:cs="Times New Roman"/>
              <w:bCs/>
              <w:sz w:val="28"/>
              <w:szCs w:val="28"/>
              <w:highlight w:val="none"/>
              <w:lang w:val="en-US" w:eastAsia="zh" w:bidi="ar"/>
              <w:woUserID w:val="0"/>
            </w:rPr>
            <w:t>一</w:t>
          </w:r>
          <w:r>
            <w:rPr>
              <w:rFonts w:hint="default" w:ascii="Times New Roman" w:hAnsi="Times New Roman" w:eastAsia="仿宋_GB2312" w:cs="Times New Roman"/>
              <w:bCs/>
              <w:sz w:val="28"/>
              <w:szCs w:val="28"/>
              <w:highlight w:val="none"/>
              <w:lang w:val="en-US" w:eastAsia="zh-CN" w:bidi="ar"/>
              <w:woUserID w:val="0"/>
            </w:rPr>
            <w:t xml:space="preserve">节 </w:t>
          </w:r>
          <w:r>
            <w:rPr>
              <w:rFonts w:hint="default" w:ascii="Times New Roman" w:hAnsi="Times New Roman" w:eastAsia="仿宋_GB2312" w:cs="Times New Roman"/>
              <w:bCs/>
              <w:sz w:val="28"/>
              <w:szCs w:val="28"/>
              <w:highlight w:val="none"/>
              <w:lang w:eastAsia="zh" w:bidi="ar"/>
              <w:woUserID w:val="0"/>
            </w:rPr>
            <w:t>打造现代化大农业发展先行区</w:t>
          </w:r>
          <w:r>
            <w:rPr>
              <w:sz w:val="28"/>
              <w:szCs w:val="28"/>
            </w:rPr>
            <w:tab/>
          </w:r>
          <w:r>
            <w:rPr>
              <w:sz w:val="28"/>
              <w:szCs w:val="28"/>
            </w:rPr>
            <w:t>- 28 -</w:t>
          </w:r>
        </w:p>
        <w:p w14:paraId="6C45A9D6">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第</w:t>
          </w:r>
          <w:r>
            <w:rPr>
              <w:rFonts w:hint="default" w:ascii="Times New Roman" w:hAnsi="Times New Roman" w:eastAsia="仿宋_GB2312" w:cs="Times New Roman"/>
              <w:bCs/>
              <w:sz w:val="28"/>
              <w:szCs w:val="28"/>
              <w:highlight w:val="none"/>
              <w:lang w:val="en-US" w:eastAsia="zh" w:bidi="ar"/>
              <w:woUserID w:val="0"/>
            </w:rPr>
            <w:t>二</w:t>
          </w:r>
          <w:r>
            <w:rPr>
              <w:rFonts w:hint="default" w:ascii="Times New Roman" w:hAnsi="Times New Roman" w:eastAsia="仿宋_GB2312" w:cs="Times New Roman"/>
              <w:bCs/>
              <w:sz w:val="28"/>
              <w:szCs w:val="28"/>
              <w:highlight w:val="none"/>
              <w:lang w:val="en-US" w:eastAsia="zh-CN" w:bidi="ar"/>
              <w:woUserID w:val="0"/>
            </w:rPr>
            <w:t xml:space="preserve">节 </w:t>
          </w:r>
          <w:r>
            <w:rPr>
              <w:rFonts w:hint="default" w:ascii="Times New Roman" w:hAnsi="Times New Roman" w:eastAsia="仿宋_GB2312" w:cs="Times New Roman"/>
              <w:bCs/>
              <w:sz w:val="28"/>
              <w:szCs w:val="28"/>
              <w:highlight w:val="none"/>
              <w:lang w:eastAsia="zh" w:bidi="ar"/>
              <w:woUserID w:val="0"/>
            </w:rPr>
            <w:t>构建农文体旅融合发展示范区</w:t>
          </w:r>
          <w:r>
            <w:rPr>
              <w:sz w:val="28"/>
              <w:szCs w:val="28"/>
            </w:rPr>
            <w:tab/>
          </w:r>
          <w:r>
            <w:rPr>
              <w:sz w:val="28"/>
              <w:szCs w:val="28"/>
            </w:rPr>
            <w:t>- 28 -</w:t>
          </w:r>
        </w:p>
        <w:p w14:paraId="5169C26B">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第</w:t>
          </w:r>
          <w:r>
            <w:rPr>
              <w:rFonts w:hint="default" w:ascii="Times New Roman" w:hAnsi="Times New Roman" w:eastAsia="仿宋_GB2312" w:cs="Times New Roman"/>
              <w:bCs/>
              <w:sz w:val="28"/>
              <w:szCs w:val="28"/>
              <w:highlight w:val="none"/>
              <w:lang w:val="en-US" w:eastAsia="zh" w:bidi="ar"/>
              <w:woUserID w:val="0"/>
            </w:rPr>
            <w:t>三</w:t>
          </w:r>
          <w:r>
            <w:rPr>
              <w:rFonts w:hint="default" w:ascii="Times New Roman" w:hAnsi="Times New Roman" w:eastAsia="仿宋_GB2312" w:cs="Times New Roman"/>
              <w:bCs/>
              <w:sz w:val="28"/>
              <w:szCs w:val="28"/>
              <w:highlight w:val="none"/>
              <w:lang w:val="en-US" w:eastAsia="zh-CN" w:bidi="ar"/>
              <w:woUserID w:val="0"/>
            </w:rPr>
            <w:t xml:space="preserve">节 </w:t>
          </w:r>
          <w:r>
            <w:rPr>
              <w:rFonts w:hint="default" w:ascii="Times New Roman" w:hAnsi="Times New Roman" w:eastAsia="仿宋_GB2312" w:cs="Times New Roman"/>
              <w:bCs/>
              <w:sz w:val="28"/>
              <w:szCs w:val="28"/>
              <w:highlight w:val="none"/>
              <w:lang w:eastAsia="zh" w:bidi="ar"/>
              <w:woUserID w:val="0"/>
            </w:rPr>
            <w:t>建设城乡协调联动发展样板区</w:t>
          </w:r>
          <w:r>
            <w:rPr>
              <w:sz w:val="28"/>
              <w:szCs w:val="28"/>
            </w:rPr>
            <w:tab/>
          </w:r>
          <w:r>
            <w:rPr>
              <w:sz w:val="28"/>
              <w:szCs w:val="28"/>
            </w:rPr>
            <w:t>- 29 -</w:t>
          </w:r>
        </w:p>
        <w:p w14:paraId="6D08AE69">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第</w:t>
          </w:r>
          <w:r>
            <w:rPr>
              <w:rFonts w:hint="default" w:ascii="Times New Roman" w:hAnsi="Times New Roman" w:eastAsia="仿宋_GB2312" w:cs="Times New Roman"/>
              <w:bCs/>
              <w:sz w:val="28"/>
              <w:szCs w:val="28"/>
              <w:highlight w:val="none"/>
              <w:lang w:val="en-US" w:eastAsia="zh" w:bidi="ar"/>
              <w:woUserID w:val="0"/>
            </w:rPr>
            <w:t>四</w:t>
          </w:r>
          <w:r>
            <w:rPr>
              <w:rFonts w:hint="default" w:ascii="Times New Roman" w:hAnsi="Times New Roman" w:eastAsia="仿宋_GB2312" w:cs="Times New Roman"/>
              <w:bCs/>
              <w:sz w:val="28"/>
              <w:szCs w:val="28"/>
              <w:highlight w:val="none"/>
              <w:lang w:val="en-US" w:eastAsia="zh-CN" w:bidi="ar"/>
              <w:woUserID w:val="0"/>
            </w:rPr>
            <w:t xml:space="preserve">节 </w:t>
          </w:r>
          <w:r>
            <w:rPr>
              <w:rFonts w:hint="default" w:ascii="Times New Roman" w:hAnsi="Times New Roman" w:eastAsia="仿宋_GB2312" w:cs="Times New Roman"/>
              <w:bCs/>
              <w:sz w:val="28"/>
              <w:szCs w:val="28"/>
              <w:highlight w:val="none"/>
              <w:lang w:eastAsia="zh" w:bidi="ar"/>
              <w:woUserID w:val="0"/>
            </w:rPr>
            <w:t>打造佳市城郊产业配套功能区</w:t>
          </w:r>
          <w:r>
            <w:rPr>
              <w:sz w:val="28"/>
              <w:szCs w:val="28"/>
            </w:rPr>
            <w:tab/>
          </w:r>
          <w:r>
            <w:rPr>
              <w:sz w:val="28"/>
              <w:szCs w:val="28"/>
            </w:rPr>
            <w:t>- 29 -</w:t>
          </w:r>
        </w:p>
        <w:p w14:paraId="01932AF5">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rPr>
            <w:t>第四</w:t>
          </w:r>
          <w:r>
            <w:rPr>
              <w:rFonts w:hint="default" w:ascii="Times New Roman" w:hAnsi="Times New Roman" w:eastAsia="楷体" w:cs="Times New Roman"/>
              <w:sz w:val="28"/>
              <w:szCs w:val="28"/>
              <w:highlight w:val="none"/>
              <w:lang w:eastAsia="zh"/>
              <w:woUserID w:val="0"/>
            </w:rPr>
            <w:t>章</w:t>
          </w:r>
          <w:r>
            <w:rPr>
              <w:rFonts w:hint="default" w:ascii="Times New Roman" w:hAnsi="Times New Roman" w:eastAsia="楷体" w:cs="Times New Roman"/>
              <w:sz w:val="28"/>
              <w:szCs w:val="28"/>
              <w:highlight w:val="none"/>
            </w:rPr>
            <w:t xml:space="preserve"> </w:t>
          </w:r>
          <w:r>
            <w:rPr>
              <w:rFonts w:hint="default" w:ascii="Times New Roman" w:hAnsi="Times New Roman" w:eastAsia="楷体" w:cs="Times New Roman"/>
              <w:bCs w:val="0"/>
              <w:sz w:val="28"/>
              <w:szCs w:val="28"/>
              <w:highlight w:val="none"/>
            </w:rPr>
            <w:t>“十五五”时期经济社会发展的</w:t>
          </w:r>
          <w:r>
            <w:rPr>
              <w:rFonts w:hint="default" w:ascii="Times New Roman" w:hAnsi="Times New Roman" w:eastAsia="楷体" w:cs="Times New Roman"/>
              <w:sz w:val="28"/>
              <w:szCs w:val="28"/>
              <w:highlight w:val="none"/>
            </w:rPr>
            <w:t>主要目标</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- 29 -</w:t>
          </w:r>
        </w:p>
        <w:p w14:paraId="249D7E59">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第</w:t>
          </w:r>
          <w:r>
            <w:rPr>
              <w:rFonts w:hint="default" w:ascii="Times New Roman" w:hAnsi="Times New Roman" w:eastAsia="仿宋_GB2312" w:cs="Times New Roman"/>
              <w:bCs/>
              <w:sz w:val="28"/>
              <w:szCs w:val="28"/>
              <w:highlight w:val="none"/>
              <w:lang w:val="en-US" w:eastAsia="zh" w:bidi="ar"/>
              <w:woUserID w:val="0"/>
            </w:rPr>
            <w:t>一</w:t>
          </w:r>
          <w:r>
            <w:rPr>
              <w:rFonts w:hint="default" w:ascii="Times New Roman" w:hAnsi="Times New Roman" w:eastAsia="仿宋_GB2312" w:cs="Times New Roman"/>
              <w:bCs/>
              <w:sz w:val="28"/>
              <w:szCs w:val="28"/>
              <w:highlight w:val="none"/>
              <w:lang w:val="en-US" w:eastAsia="zh-CN" w:bidi="ar"/>
              <w:woUserID w:val="0"/>
            </w:rPr>
            <w:t xml:space="preserve">节 </w:t>
          </w:r>
          <w:r>
            <w:rPr>
              <w:rFonts w:hint="default" w:ascii="Times New Roman" w:hAnsi="Times New Roman" w:eastAsia="仿宋_GB2312" w:cs="Times New Roman"/>
              <w:bCs/>
              <w:sz w:val="28"/>
              <w:szCs w:val="28"/>
              <w:highlight w:val="none"/>
              <w:lang w:eastAsia="zh" w:bidi="ar"/>
              <w:woUserID w:val="0"/>
            </w:rPr>
            <w:t>县域经济高质量发展实现新跨越</w:t>
          </w:r>
          <w:r>
            <w:rPr>
              <w:sz w:val="28"/>
              <w:szCs w:val="28"/>
            </w:rPr>
            <w:tab/>
          </w:r>
          <w:r>
            <w:rPr>
              <w:sz w:val="28"/>
              <w:szCs w:val="28"/>
            </w:rPr>
            <w:t>- 29 -</w:t>
          </w:r>
        </w:p>
        <w:p w14:paraId="276A6D78">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第</w:t>
          </w:r>
          <w:r>
            <w:rPr>
              <w:rFonts w:hint="default" w:ascii="Times New Roman" w:hAnsi="Times New Roman" w:eastAsia="仿宋_GB2312" w:cs="Times New Roman"/>
              <w:bCs/>
              <w:sz w:val="28"/>
              <w:szCs w:val="28"/>
              <w:highlight w:val="none"/>
              <w:lang w:val="en-US" w:eastAsia="zh" w:bidi="ar"/>
              <w:woUserID w:val="0"/>
            </w:rPr>
            <w:t>二</w:t>
          </w:r>
          <w:r>
            <w:rPr>
              <w:rFonts w:hint="default" w:ascii="Times New Roman" w:hAnsi="Times New Roman" w:eastAsia="仿宋_GB2312" w:cs="Times New Roman"/>
              <w:bCs/>
              <w:sz w:val="28"/>
              <w:szCs w:val="28"/>
              <w:highlight w:val="none"/>
              <w:lang w:val="en-US" w:eastAsia="zh-CN" w:bidi="ar"/>
              <w:woUserID w:val="0"/>
            </w:rPr>
            <w:t xml:space="preserve">节 </w:t>
          </w:r>
          <w:r>
            <w:rPr>
              <w:rFonts w:hint="default" w:ascii="Times New Roman" w:hAnsi="Times New Roman" w:eastAsia="仿宋_GB2312" w:cs="Times New Roman"/>
              <w:bCs/>
              <w:sz w:val="28"/>
              <w:szCs w:val="28"/>
              <w:highlight w:val="none"/>
              <w:lang w:eastAsia="zh" w:bidi="ar"/>
              <w:woUserID w:val="0"/>
            </w:rPr>
            <w:t>科技创新能力迈上新台阶</w:t>
          </w:r>
          <w:r>
            <w:rPr>
              <w:sz w:val="28"/>
              <w:szCs w:val="28"/>
            </w:rPr>
            <w:tab/>
          </w:r>
          <w:r>
            <w:rPr>
              <w:sz w:val="28"/>
              <w:szCs w:val="28"/>
            </w:rPr>
            <w:t>- 30 -</w:t>
          </w:r>
        </w:p>
        <w:p w14:paraId="0ECE3F33">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第</w:t>
          </w:r>
          <w:r>
            <w:rPr>
              <w:rFonts w:hint="default" w:ascii="Times New Roman" w:hAnsi="Times New Roman" w:eastAsia="仿宋_GB2312" w:cs="Times New Roman"/>
              <w:bCs/>
              <w:sz w:val="28"/>
              <w:szCs w:val="28"/>
              <w:highlight w:val="none"/>
              <w:lang w:val="en-US" w:eastAsia="zh" w:bidi="ar"/>
              <w:woUserID w:val="0"/>
            </w:rPr>
            <w:t>三</w:t>
          </w:r>
          <w:r>
            <w:rPr>
              <w:rFonts w:hint="default" w:ascii="Times New Roman" w:hAnsi="Times New Roman" w:eastAsia="仿宋_GB2312" w:cs="Times New Roman"/>
              <w:bCs/>
              <w:sz w:val="28"/>
              <w:szCs w:val="28"/>
              <w:highlight w:val="none"/>
              <w:lang w:val="en-US" w:eastAsia="zh-CN" w:bidi="ar"/>
              <w:woUserID w:val="0"/>
            </w:rPr>
            <w:t xml:space="preserve">节 </w:t>
          </w:r>
          <w:r>
            <w:rPr>
              <w:rFonts w:hint="default" w:ascii="Times New Roman" w:hAnsi="Times New Roman" w:eastAsia="仿宋_GB2312" w:cs="Times New Roman"/>
              <w:bCs/>
              <w:sz w:val="28"/>
              <w:szCs w:val="28"/>
              <w:highlight w:val="none"/>
              <w:lang w:eastAsia="zh" w:bidi="ar"/>
              <w:woUserID w:val="0"/>
            </w:rPr>
            <w:t>全面深化改革实现新突破</w:t>
          </w:r>
          <w:r>
            <w:rPr>
              <w:sz w:val="28"/>
              <w:szCs w:val="28"/>
            </w:rPr>
            <w:tab/>
          </w:r>
          <w:r>
            <w:rPr>
              <w:sz w:val="28"/>
              <w:szCs w:val="28"/>
            </w:rPr>
            <w:t>- 30 -</w:t>
          </w:r>
        </w:p>
        <w:p w14:paraId="6B8EBB4E">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 xml:space="preserve">第四节 </w:t>
          </w:r>
          <w:r>
            <w:rPr>
              <w:rFonts w:hint="default" w:ascii="Times New Roman" w:hAnsi="Times New Roman" w:eastAsia="仿宋_GB2312" w:cs="Times New Roman"/>
              <w:bCs/>
              <w:sz w:val="28"/>
              <w:szCs w:val="28"/>
              <w:highlight w:val="none"/>
              <w:lang w:eastAsia="zh" w:bidi="ar"/>
              <w:woUserID w:val="0"/>
            </w:rPr>
            <w:t>社会文明程度得到新提高</w:t>
          </w:r>
          <w:r>
            <w:rPr>
              <w:sz w:val="28"/>
              <w:szCs w:val="28"/>
            </w:rPr>
            <w:tab/>
          </w:r>
          <w:r>
            <w:rPr>
              <w:sz w:val="28"/>
              <w:szCs w:val="28"/>
            </w:rPr>
            <w:t>- 30 -</w:t>
          </w:r>
        </w:p>
        <w:p w14:paraId="0B3E4A74">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 xml:space="preserve">第五节 </w:t>
          </w:r>
          <w:r>
            <w:rPr>
              <w:rFonts w:hint="default" w:ascii="Times New Roman" w:hAnsi="Times New Roman" w:eastAsia="仿宋_GB2312" w:cs="Times New Roman"/>
              <w:bCs/>
              <w:sz w:val="28"/>
              <w:szCs w:val="28"/>
              <w:highlight w:val="none"/>
              <w:lang w:eastAsia="zh" w:bidi="ar"/>
              <w:woUserID w:val="0"/>
            </w:rPr>
            <w:t>人民生活品质达到新水平</w:t>
          </w:r>
          <w:r>
            <w:rPr>
              <w:sz w:val="28"/>
              <w:szCs w:val="28"/>
            </w:rPr>
            <w:tab/>
          </w:r>
          <w:r>
            <w:rPr>
              <w:sz w:val="28"/>
              <w:szCs w:val="28"/>
            </w:rPr>
            <w:t>- 31 -</w:t>
          </w:r>
        </w:p>
        <w:p w14:paraId="737F5FAF">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CN" w:bidi="ar"/>
              <w:woUserID w:val="0"/>
            </w:rPr>
            <w:t>第</w:t>
          </w:r>
          <w:r>
            <w:rPr>
              <w:rFonts w:hint="default" w:ascii="Times New Roman" w:hAnsi="Times New Roman" w:eastAsia="仿宋_GB2312" w:cs="Times New Roman"/>
              <w:bCs/>
              <w:sz w:val="28"/>
              <w:szCs w:val="28"/>
              <w:highlight w:val="none"/>
              <w:lang w:val="en-US" w:eastAsia="zh" w:bidi="ar"/>
              <w:woUserID w:val="0"/>
            </w:rPr>
            <w:t>六</w:t>
          </w:r>
          <w:r>
            <w:rPr>
              <w:rFonts w:hint="default" w:ascii="Times New Roman" w:hAnsi="Times New Roman" w:eastAsia="仿宋_GB2312" w:cs="Times New Roman"/>
              <w:bCs/>
              <w:sz w:val="28"/>
              <w:szCs w:val="28"/>
              <w:highlight w:val="none"/>
              <w:lang w:val="en-US" w:eastAsia="zh-CN" w:bidi="ar"/>
              <w:woUserID w:val="0"/>
            </w:rPr>
            <w:t xml:space="preserve">节 </w:t>
          </w:r>
          <w:r>
            <w:rPr>
              <w:rFonts w:hint="default" w:ascii="Times New Roman" w:hAnsi="Times New Roman" w:eastAsia="仿宋_GB2312" w:cs="Times New Roman"/>
              <w:bCs/>
              <w:sz w:val="28"/>
              <w:szCs w:val="28"/>
              <w:highlight w:val="none"/>
              <w:lang w:eastAsia="zh" w:bidi="ar"/>
              <w:woUserID w:val="0"/>
            </w:rPr>
            <w:t>生态文明建设取得新进展</w:t>
          </w:r>
          <w:r>
            <w:rPr>
              <w:sz w:val="28"/>
              <w:szCs w:val="28"/>
            </w:rPr>
            <w:tab/>
          </w:r>
          <w:r>
            <w:rPr>
              <w:sz w:val="28"/>
              <w:szCs w:val="28"/>
            </w:rPr>
            <w:t>- 31 -</w:t>
          </w:r>
        </w:p>
        <w:p w14:paraId="522237CE">
          <w:pPr>
            <w:pStyle w:val="13"/>
            <w:tabs>
              <w:tab w:val="right" w:leader="dot" w:pos="8306"/>
            </w:tabs>
            <w:rPr>
              <w:rFonts w:hint="eastAsia" w:eastAsia="仿宋_GB2312"/>
              <w:sz w:val="28"/>
              <w:szCs w:val="28"/>
              <w:lang w:val="en-US" w:eastAsia="zh-CN"/>
            </w:rPr>
          </w:pPr>
          <w:r>
            <w:rPr>
              <w:rFonts w:hint="default" w:ascii="Times New Roman" w:hAnsi="Times New Roman" w:eastAsia="仿宋_GB2312" w:cs="Times New Roman"/>
              <w:bCs/>
              <w:sz w:val="28"/>
              <w:szCs w:val="28"/>
              <w:highlight w:val="none"/>
              <w:lang w:val="en-US" w:eastAsia="zh-CN" w:bidi="ar"/>
              <w:woUserID w:val="0"/>
            </w:rPr>
            <w:t>第</w:t>
          </w:r>
          <w:r>
            <w:rPr>
              <w:rFonts w:hint="default" w:ascii="Times New Roman" w:hAnsi="Times New Roman" w:eastAsia="仿宋_GB2312" w:cs="Times New Roman"/>
              <w:bCs/>
              <w:sz w:val="28"/>
              <w:szCs w:val="28"/>
              <w:highlight w:val="none"/>
              <w:lang w:val="en-US" w:eastAsia="zh" w:bidi="ar"/>
              <w:woUserID w:val="0"/>
            </w:rPr>
            <w:t>七</w:t>
          </w:r>
          <w:r>
            <w:rPr>
              <w:rFonts w:hint="default" w:ascii="Times New Roman" w:hAnsi="Times New Roman" w:eastAsia="仿宋_GB2312" w:cs="Times New Roman"/>
              <w:bCs/>
              <w:sz w:val="28"/>
              <w:szCs w:val="28"/>
              <w:highlight w:val="none"/>
              <w:lang w:val="en-US" w:eastAsia="zh-CN" w:bidi="ar"/>
              <w:woUserID w:val="0"/>
            </w:rPr>
            <w:t xml:space="preserve">节 </w:t>
          </w:r>
          <w:r>
            <w:rPr>
              <w:rFonts w:hint="default" w:ascii="Times New Roman" w:hAnsi="Times New Roman" w:eastAsia="仿宋_GB2312" w:cs="Times New Roman"/>
              <w:bCs/>
              <w:sz w:val="28"/>
              <w:szCs w:val="28"/>
              <w:highlight w:val="none"/>
              <w:lang w:eastAsia="zh" w:bidi="ar"/>
              <w:woUserID w:val="0"/>
            </w:rPr>
            <w:t>良好政治生态呈现新气象</w:t>
          </w:r>
          <w:r>
            <w:rPr>
              <w:sz w:val="28"/>
              <w:szCs w:val="28"/>
            </w:rPr>
            <w:tab/>
          </w:r>
          <w:r>
            <w:rPr>
              <w:sz w:val="28"/>
              <w:szCs w:val="28"/>
            </w:rPr>
            <w:t>- 31 -</w:t>
          </w:r>
        </w:p>
        <w:p w14:paraId="2F198F0A">
          <w:pPr>
            <w:pStyle w:val="18"/>
            <w:tabs>
              <w:tab w:val="right" w:leader="dot" w:pos="8306"/>
              <w:tab w:val="clear" w:pos="8296"/>
            </w:tabs>
            <w:rPr>
              <w:sz w:val="28"/>
              <w:szCs w:val="28"/>
            </w:rPr>
          </w:pPr>
          <w:r>
            <w:rPr>
              <w:rFonts w:hint="default" w:ascii="Times New Roman" w:hAnsi="Times New Roman" w:eastAsia="黑体" w:cs="Times New Roman"/>
              <w:sz w:val="28"/>
              <w:szCs w:val="28"/>
              <w:highlight w:val="none"/>
              <w14:ligatures w14:val="standardContextual"/>
            </w:rPr>
            <w:t>第三</w:t>
          </w:r>
          <w:r>
            <w:rPr>
              <w:rFonts w:hint="default" w:ascii="Times New Roman" w:hAnsi="Times New Roman" w:eastAsia="黑体" w:cs="Times New Roman"/>
              <w:sz w:val="28"/>
              <w:szCs w:val="28"/>
              <w:highlight w:val="none"/>
              <w:lang w:eastAsia="zh"/>
              <w14:ligatures w14:val="standardContextual"/>
              <w:woUserID w:val="0"/>
            </w:rPr>
            <w:t>篇</w:t>
          </w:r>
          <w:r>
            <w:rPr>
              <w:rFonts w:hint="default" w:ascii="Times New Roman" w:hAnsi="Times New Roman" w:eastAsia="黑体" w:cs="Times New Roman"/>
              <w:sz w:val="28"/>
              <w:szCs w:val="28"/>
              <w:highlight w:val="none"/>
              <w14:ligatures w14:val="standardContextual"/>
            </w:rPr>
            <w:t xml:space="preserve"> </w:t>
          </w:r>
          <w:r>
            <w:rPr>
              <w:rFonts w:hint="default" w:ascii="Times New Roman" w:hAnsi="Times New Roman" w:eastAsia="黑体" w:cs="Times New Roman"/>
              <w:sz w:val="28"/>
              <w:szCs w:val="28"/>
              <w:highlight w:val="none"/>
              <w:lang w:eastAsia="zh"/>
              <w14:ligatures w14:val="standardContextual"/>
            </w:rPr>
            <w:t>建设现代化大农业</w:t>
          </w:r>
          <w:r>
            <w:rPr>
              <w:rFonts w:hint="default" w:ascii="Times New Roman" w:hAnsi="Times New Roman" w:eastAsia="黑体" w:cs="Times New Roman"/>
              <w:sz w:val="28"/>
              <w:szCs w:val="28"/>
              <w:highlight w:val="none"/>
              <w14:ligatures w14:val="standardContextual"/>
            </w:rPr>
            <w:t xml:space="preserve"> </w:t>
          </w:r>
          <w:r>
            <w:rPr>
              <w:rFonts w:hint="default" w:ascii="Times New Roman" w:hAnsi="Times New Roman" w:eastAsia="黑体" w:cs="Times New Roman"/>
              <w:sz w:val="28"/>
              <w:szCs w:val="28"/>
              <w:highlight w:val="none"/>
              <w:lang w:eastAsia="zh"/>
              <w14:ligatures w14:val="standardContextual"/>
            </w:rPr>
            <w:t>扎实推进乡村全面振兴</w:t>
          </w:r>
          <w:r>
            <w:rPr>
              <w:sz w:val="28"/>
              <w:szCs w:val="28"/>
            </w:rPr>
            <w:tab/>
          </w:r>
          <w:r>
            <w:rPr>
              <w:sz w:val="28"/>
              <w:szCs w:val="28"/>
            </w:rPr>
            <w:t>- 33 -</w:t>
          </w:r>
        </w:p>
        <w:p w14:paraId="6E5C2AE5">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rPr>
            <w:t>第一</w:t>
          </w:r>
          <w:r>
            <w:rPr>
              <w:rFonts w:hint="default" w:ascii="Times New Roman" w:hAnsi="Times New Roman" w:eastAsia="楷体" w:cs="Times New Roman"/>
              <w:sz w:val="28"/>
              <w:szCs w:val="28"/>
              <w:highlight w:val="none"/>
              <w:lang w:eastAsia="zh"/>
              <w:woUserID w:val="0"/>
            </w:rPr>
            <w:t>章</w:t>
          </w:r>
          <w:r>
            <w:rPr>
              <w:rFonts w:hint="default" w:ascii="Times New Roman" w:hAnsi="Times New Roman" w:eastAsia="楷体" w:cs="Times New Roman"/>
              <w:sz w:val="28"/>
              <w:szCs w:val="28"/>
              <w:highlight w:val="none"/>
            </w:rPr>
            <w:t xml:space="preserve"> </w:t>
          </w:r>
          <w:r>
            <w:rPr>
              <w:rFonts w:hint="default" w:ascii="Times New Roman" w:hAnsi="Times New Roman" w:eastAsia="楷体" w:cs="Times New Roman"/>
              <w:sz w:val="28"/>
              <w:szCs w:val="28"/>
              <w:highlight w:val="none"/>
              <w:lang w:eastAsia="zh"/>
            </w:rPr>
            <w:t>筑牢粮食安全“压舱石”</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- 33 -</w:t>
          </w:r>
        </w:p>
        <w:p w14:paraId="092A8733">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 全面加强耕地保护与质量建设</w:t>
          </w:r>
          <w:r>
            <w:rPr>
              <w:sz w:val="28"/>
              <w:szCs w:val="28"/>
            </w:rPr>
            <w:tab/>
          </w:r>
          <w:r>
            <w:rPr>
              <w:sz w:val="28"/>
              <w:szCs w:val="28"/>
            </w:rPr>
            <w:t>- 33 -</w:t>
          </w:r>
        </w:p>
        <w:p w14:paraId="60F7064A">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 持续推动主要粮食作物大面积单产提升</w:t>
          </w:r>
          <w:r>
            <w:rPr>
              <w:sz w:val="28"/>
              <w:szCs w:val="28"/>
            </w:rPr>
            <w:tab/>
          </w:r>
          <w:r>
            <w:rPr>
              <w:sz w:val="28"/>
              <w:szCs w:val="28"/>
            </w:rPr>
            <w:t>- 34 -</w:t>
          </w:r>
        </w:p>
        <w:p w14:paraId="171B8291">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 加快优质高效农业发展进程</w:t>
          </w:r>
          <w:r>
            <w:rPr>
              <w:sz w:val="28"/>
              <w:szCs w:val="28"/>
            </w:rPr>
            <w:tab/>
          </w:r>
          <w:r>
            <w:rPr>
              <w:sz w:val="28"/>
              <w:szCs w:val="28"/>
            </w:rPr>
            <w:t>- 35 -</w:t>
          </w:r>
        </w:p>
        <w:p w14:paraId="64BF35C3">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第四节 推进一二三产业融合高质量发展</w:t>
          </w:r>
          <w:r>
            <w:rPr>
              <w:sz w:val="28"/>
              <w:szCs w:val="28"/>
            </w:rPr>
            <w:tab/>
          </w:r>
          <w:r>
            <w:rPr>
              <w:sz w:val="28"/>
              <w:szCs w:val="28"/>
            </w:rPr>
            <w:t>- 35 -</w:t>
          </w:r>
        </w:p>
        <w:p w14:paraId="2083864C">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第五节 推动农产品品牌提升</w:t>
          </w:r>
          <w:r>
            <w:rPr>
              <w:sz w:val="28"/>
              <w:szCs w:val="28"/>
            </w:rPr>
            <w:tab/>
          </w:r>
          <w:r>
            <w:rPr>
              <w:sz w:val="28"/>
              <w:szCs w:val="28"/>
            </w:rPr>
            <w:t>- 36 -</w:t>
          </w:r>
        </w:p>
        <w:p w14:paraId="7B2BD538">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第六节 构建多元化食物供给体系</w:t>
          </w:r>
          <w:r>
            <w:rPr>
              <w:sz w:val="28"/>
              <w:szCs w:val="28"/>
            </w:rPr>
            <w:tab/>
          </w:r>
          <w:r>
            <w:rPr>
              <w:sz w:val="28"/>
              <w:szCs w:val="28"/>
            </w:rPr>
            <w:t>- 37 -</w:t>
          </w:r>
        </w:p>
        <w:p w14:paraId="52A0521D">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rPr>
            <w:t>第二</w:t>
          </w:r>
          <w:r>
            <w:rPr>
              <w:rFonts w:hint="default" w:ascii="Times New Roman" w:hAnsi="Times New Roman" w:eastAsia="楷体" w:cs="Times New Roman"/>
              <w:sz w:val="28"/>
              <w:szCs w:val="28"/>
              <w:highlight w:val="none"/>
              <w:lang w:eastAsia="zh"/>
              <w:woUserID w:val="0"/>
            </w:rPr>
            <w:t>章</w:t>
          </w:r>
          <w:r>
            <w:rPr>
              <w:rFonts w:hint="default" w:ascii="Times New Roman" w:hAnsi="Times New Roman" w:eastAsia="楷体" w:cs="Times New Roman"/>
              <w:sz w:val="28"/>
              <w:szCs w:val="28"/>
              <w:highlight w:val="none"/>
            </w:rPr>
            <w:t xml:space="preserve"> </w:t>
          </w:r>
          <w:r>
            <w:rPr>
              <w:rFonts w:hint="default" w:ascii="Times New Roman" w:hAnsi="Times New Roman" w:eastAsia="楷体" w:cs="Times New Roman"/>
              <w:sz w:val="28"/>
              <w:szCs w:val="28"/>
              <w:highlight w:val="none"/>
              <w:lang w:eastAsia="zh"/>
            </w:rPr>
            <w:t>因地制宜发展农业新质生产力</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- 38 -</w:t>
          </w:r>
        </w:p>
        <w:p w14:paraId="0E9FCEE0">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 推动种业自主创新全面突破</w:t>
          </w:r>
          <w:r>
            <w:rPr>
              <w:sz w:val="28"/>
              <w:szCs w:val="28"/>
            </w:rPr>
            <w:tab/>
          </w:r>
          <w:r>
            <w:rPr>
              <w:sz w:val="28"/>
              <w:szCs w:val="28"/>
            </w:rPr>
            <w:t>- 38 -</w:t>
          </w:r>
        </w:p>
        <w:p w14:paraId="507EC23C">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 提高农作物全程机械化水平</w:t>
          </w:r>
          <w:r>
            <w:rPr>
              <w:sz w:val="28"/>
              <w:szCs w:val="28"/>
            </w:rPr>
            <w:tab/>
          </w:r>
          <w:r>
            <w:rPr>
              <w:sz w:val="28"/>
              <w:szCs w:val="28"/>
            </w:rPr>
            <w:t>- 38 -</w:t>
          </w:r>
        </w:p>
        <w:p w14:paraId="022B9B68">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w:t>
          </w:r>
          <w:r>
            <w:rPr>
              <w:rFonts w:hint="default" w:ascii="Times New Roman" w:hAnsi="Times New Roman" w:eastAsia="仿宋_GB2312" w:cs="Times New Roman"/>
              <w:bCs/>
              <w:sz w:val="28"/>
              <w:szCs w:val="28"/>
              <w:highlight w:val="none"/>
              <w:lang w:val="en-US" w:eastAsia="zh" w:bidi="ar"/>
              <w:woUserID w:val="0"/>
            </w:rPr>
            <w:t>节 提升农业科技创新能力</w:t>
          </w:r>
          <w:r>
            <w:rPr>
              <w:sz w:val="28"/>
              <w:szCs w:val="28"/>
            </w:rPr>
            <w:tab/>
          </w:r>
          <w:r>
            <w:rPr>
              <w:sz w:val="28"/>
              <w:szCs w:val="28"/>
            </w:rPr>
            <w:t>- 39 -</w:t>
          </w:r>
        </w:p>
        <w:p w14:paraId="1C3B14CC">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第四节 促进数字技术与现代农业融合</w:t>
          </w:r>
          <w:r>
            <w:rPr>
              <w:sz w:val="28"/>
              <w:szCs w:val="28"/>
            </w:rPr>
            <w:tab/>
          </w:r>
          <w:r>
            <w:rPr>
              <w:sz w:val="28"/>
              <w:szCs w:val="28"/>
            </w:rPr>
            <w:t>- 40 -</w:t>
          </w:r>
        </w:p>
        <w:p w14:paraId="12F92163">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14:ligatures w14:val="standardContextual"/>
            </w:rPr>
            <w:t>第</w:t>
          </w:r>
          <w:r>
            <w:rPr>
              <w:rFonts w:hint="default" w:ascii="Times New Roman" w:hAnsi="Times New Roman" w:eastAsia="楷体" w:cs="Times New Roman"/>
              <w:sz w:val="28"/>
              <w:szCs w:val="28"/>
              <w:highlight w:val="none"/>
              <w:lang w:eastAsia="zh"/>
              <w14:ligatures w14:val="standardContextual"/>
            </w:rPr>
            <w:t>三</w:t>
          </w:r>
          <w:r>
            <w:rPr>
              <w:rFonts w:hint="default" w:ascii="Times New Roman" w:hAnsi="Times New Roman" w:eastAsia="楷体" w:cs="Times New Roman"/>
              <w:sz w:val="28"/>
              <w:szCs w:val="28"/>
              <w:highlight w:val="none"/>
              <w:lang w:eastAsia="zh"/>
              <w14:ligatures w14:val="standardContextual"/>
              <w:woUserID w:val="0"/>
            </w:rPr>
            <w:t>章</w:t>
          </w:r>
          <w:r>
            <w:rPr>
              <w:rFonts w:hint="default" w:ascii="Times New Roman" w:hAnsi="Times New Roman" w:eastAsia="楷体" w:cs="Times New Roman"/>
              <w:sz w:val="28"/>
              <w:szCs w:val="28"/>
              <w:highlight w:val="none"/>
              <w14:ligatures w14:val="standardContextual"/>
            </w:rPr>
            <w:t xml:space="preserve"> 完善现代农业经营体系</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- 41 -</w:t>
          </w:r>
        </w:p>
        <w:p w14:paraId="3868CA05">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 提升家庭经营集约化水平</w:t>
          </w:r>
          <w:r>
            <w:rPr>
              <w:sz w:val="28"/>
              <w:szCs w:val="28"/>
            </w:rPr>
            <w:tab/>
          </w:r>
          <w:r>
            <w:rPr>
              <w:sz w:val="28"/>
              <w:szCs w:val="28"/>
            </w:rPr>
            <w:t>- 41 -</w:t>
          </w:r>
        </w:p>
        <w:p w14:paraId="468E35D9">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 培育壮大新型农业经营主体</w:t>
          </w:r>
          <w:r>
            <w:rPr>
              <w:sz w:val="28"/>
              <w:szCs w:val="28"/>
            </w:rPr>
            <w:tab/>
          </w:r>
          <w:r>
            <w:rPr>
              <w:sz w:val="28"/>
              <w:szCs w:val="28"/>
            </w:rPr>
            <w:t>- 42 -</w:t>
          </w:r>
        </w:p>
        <w:p w14:paraId="21F8FC5F">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 健全农业社会化服务体系</w:t>
          </w:r>
          <w:r>
            <w:rPr>
              <w:sz w:val="28"/>
              <w:szCs w:val="28"/>
            </w:rPr>
            <w:tab/>
          </w:r>
          <w:r>
            <w:rPr>
              <w:sz w:val="28"/>
              <w:szCs w:val="28"/>
            </w:rPr>
            <w:t>- 43 -</w:t>
          </w:r>
        </w:p>
        <w:p w14:paraId="7AD8F087">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rPr>
            <w:t>第</w:t>
          </w:r>
          <w:r>
            <w:rPr>
              <w:rFonts w:hint="default" w:ascii="Times New Roman" w:hAnsi="Times New Roman" w:eastAsia="楷体" w:cs="Times New Roman"/>
              <w:sz w:val="28"/>
              <w:szCs w:val="28"/>
              <w:highlight w:val="none"/>
              <w:lang w:eastAsia="zh"/>
            </w:rPr>
            <w:t>四</w:t>
          </w:r>
          <w:r>
            <w:rPr>
              <w:rFonts w:hint="default" w:ascii="Times New Roman" w:hAnsi="Times New Roman" w:eastAsia="楷体" w:cs="Times New Roman"/>
              <w:sz w:val="28"/>
              <w:szCs w:val="28"/>
              <w:highlight w:val="none"/>
              <w:lang w:eastAsia="zh"/>
              <w:woUserID w:val="0"/>
            </w:rPr>
            <w:t>章</w:t>
          </w:r>
          <w:r>
            <w:rPr>
              <w:rFonts w:hint="default" w:ascii="Times New Roman" w:hAnsi="Times New Roman" w:eastAsia="楷体" w:cs="Times New Roman"/>
              <w:sz w:val="28"/>
              <w:szCs w:val="28"/>
              <w:highlight w:val="none"/>
            </w:rPr>
            <w:t xml:space="preserve"> 构筑</w:t>
          </w:r>
          <w:r>
            <w:rPr>
              <w:rFonts w:hint="default" w:ascii="Times New Roman" w:hAnsi="Times New Roman" w:eastAsia="楷体" w:cs="Times New Roman"/>
              <w:sz w:val="28"/>
              <w:szCs w:val="28"/>
              <w:highlight w:val="none"/>
              <w:lang w:eastAsia="zh"/>
            </w:rPr>
            <w:t>宜居宜业</w:t>
          </w:r>
          <w:r>
            <w:rPr>
              <w:rFonts w:hint="default" w:ascii="Times New Roman" w:hAnsi="Times New Roman" w:eastAsia="楷体" w:cs="Times New Roman"/>
              <w:sz w:val="28"/>
              <w:szCs w:val="28"/>
              <w:highlight w:val="none"/>
            </w:rPr>
            <w:t>和美乡村</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- 43 -</w:t>
          </w:r>
        </w:p>
        <w:p w14:paraId="7A2B55D8">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 提升乡村建设水平</w:t>
          </w:r>
          <w:r>
            <w:rPr>
              <w:sz w:val="28"/>
              <w:szCs w:val="28"/>
            </w:rPr>
            <w:tab/>
          </w:r>
          <w:r>
            <w:rPr>
              <w:sz w:val="28"/>
              <w:szCs w:val="28"/>
            </w:rPr>
            <w:t>- 44 -</w:t>
          </w:r>
        </w:p>
        <w:p w14:paraId="487B377F">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 健全乡村治理体系</w:t>
          </w:r>
          <w:r>
            <w:rPr>
              <w:sz w:val="28"/>
              <w:szCs w:val="28"/>
            </w:rPr>
            <w:tab/>
          </w:r>
          <w:r>
            <w:rPr>
              <w:sz w:val="28"/>
              <w:szCs w:val="28"/>
            </w:rPr>
            <w:t>- 45 -</w:t>
          </w:r>
        </w:p>
        <w:p w14:paraId="262929A5">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 深化乡村精神文明建设</w:t>
          </w:r>
          <w:r>
            <w:rPr>
              <w:sz w:val="28"/>
              <w:szCs w:val="28"/>
            </w:rPr>
            <w:tab/>
          </w:r>
          <w:r>
            <w:rPr>
              <w:sz w:val="28"/>
              <w:szCs w:val="28"/>
            </w:rPr>
            <w:t>- 45 -</w:t>
          </w:r>
        </w:p>
        <w:p w14:paraId="32C2F4F8">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rPr>
            <w:t>第五</w:t>
          </w:r>
          <w:r>
            <w:rPr>
              <w:rFonts w:hint="default" w:ascii="Times New Roman" w:hAnsi="Times New Roman" w:eastAsia="楷体" w:cs="Times New Roman"/>
              <w:sz w:val="28"/>
              <w:szCs w:val="28"/>
              <w:highlight w:val="none"/>
              <w:lang w:eastAsia="zh"/>
              <w:woUserID w:val="0"/>
            </w:rPr>
            <w:t>章</w:t>
          </w:r>
          <w:r>
            <w:rPr>
              <w:rFonts w:hint="default" w:ascii="Times New Roman" w:hAnsi="Times New Roman" w:eastAsia="楷体" w:cs="Times New Roman"/>
              <w:sz w:val="28"/>
              <w:szCs w:val="28"/>
              <w:highlight w:val="none"/>
            </w:rPr>
            <w:t xml:space="preserve"> 提高强农惠农富农政策效能</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- 46 -</w:t>
          </w:r>
        </w:p>
        <w:p w14:paraId="73BE71A5">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 增强农民增收致富能力</w:t>
          </w:r>
          <w:r>
            <w:rPr>
              <w:sz w:val="28"/>
              <w:szCs w:val="28"/>
            </w:rPr>
            <w:tab/>
          </w:r>
          <w:r>
            <w:rPr>
              <w:sz w:val="28"/>
              <w:szCs w:val="28"/>
            </w:rPr>
            <w:t>- 46 -</w:t>
          </w:r>
        </w:p>
        <w:p w14:paraId="4D77B770">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 支持发展新型农村集体经济</w:t>
          </w:r>
          <w:r>
            <w:rPr>
              <w:sz w:val="28"/>
              <w:szCs w:val="28"/>
            </w:rPr>
            <w:tab/>
          </w:r>
          <w:r>
            <w:rPr>
              <w:sz w:val="28"/>
              <w:szCs w:val="28"/>
            </w:rPr>
            <w:t>- 47 -</w:t>
          </w:r>
        </w:p>
        <w:p w14:paraId="6F0223EF">
          <w:pPr>
            <w:pStyle w:val="13"/>
            <w:tabs>
              <w:tab w:val="right" w:leader="dot" w:pos="8306"/>
            </w:tabs>
            <w:rPr>
              <w:rFonts w:hint="default" w:ascii="Times New Roman" w:hAnsi="Times New Roman" w:cs="Times New Roman"/>
              <w:sz w:val="28"/>
              <w:szCs w:val="28"/>
            </w:rPr>
          </w:pPr>
          <w:r>
            <w:rPr>
              <w:rFonts w:hint="default" w:ascii="Times New Roman" w:hAnsi="Times New Roman" w:eastAsia="仿宋_GB2312" w:cs="Times New Roman"/>
              <w:bCs/>
              <w:sz w:val="28"/>
              <w:szCs w:val="28"/>
              <w:highlight w:val="none"/>
              <w:lang w:eastAsia="zh" w:bidi="ar"/>
              <w:woUserID w:val="0"/>
            </w:rPr>
            <w:t>第三节 持续巩固拓展脱贫攻坚成果</w:t>
          </w:r>
          <w:r>
            <w:rPr>
              <w:sz w:val="28"/>
              <w:szCs w:val="28"/>
            </w:rPr>
            <w:tab/>
          </w:r>
          <w:r>
            <w:rPr>
              <w:sz w:val="28"/>
              <w:szCs w:val="28"/>
            </w:rPr>
            <w:t>- 48 -</w:t>
          </w:r>
        </w:p>
        <w:p w14:paraId="04F1BE98">
          <w:pPr>
            <w:pStyle w:val="18"/>
            <w:tabs>
              <w:tab w:val="right" w:leader="dot" w:pos="8306"/>
              <w:tab w:val="clear" w:pos="8296"/>
            </w:tabs>
            <w:rPr>
              <w:sz w:val="28"/>
              <w:szCs w:val="28"/>
            </w:rPr>
          </w:pPr>
          <w:r>
            <w:rPr>
              <w:rFonts w:hint="default" w:ascii="Times New Roman" w:hAnsi="Times New Roman" w:eastAsia="黑体" w:cs="Times New Roman"/>
              <w:w w:val="97"/>
              <w:sz w:val="28"/>
              <w:szCs w:val="28"/>
              <w:highlight w:val="none"/>
              <w:lang w:bidi="ar"/>
              <w14:ligatures w14:val="standardContextual"/>
            </w:rPr>
            <w:t>第四</w:t>
          </w:r>
          <w:r>
            <w:rPr>
              <w:rFonts w:hint="default" w:ascii="Times New Roman" w:hAnsi="Times New Roman" w:eastAsia="黑体" w:cs="Times New Roman"/>
              <w:w w:val="97"/>
              <w:sz w:val="28"/>
              <w:szCs w:val="28"/>
              <w:highlight w:val="none"/>
              <w:lang w:eastAsia="zh" w:bidi="ar"/>
              <w14:ligatures w14:val="standardContextual"/>
              <w:woUserID w:val="0"/>
            </w:rPr>
            <w:t>篇</w:t>
          </w:r>
          <w:r>
            <w:rPr>
              <w:rFonts w:hint="default" w:ascii="Times New Roman" w:hAnsi="Times New Roman" w:eastAsia="黑体" w:cs="Times New Roman"/>
              <w:w w:val="97"/>
              <w:sz w:val="28"/>
              <w:szCs w:val="28"/>
              <w:highlight w:val="none"/>
              <w:lang w:bidi="ar"/>
              <w14:ligatures w14:val="standardContextual"/>
            </w:rPr>
            <w:t xml:space="preserve"> </w:t>
          </w:r>
          <w:r>
            <w:rPr>
              <w:rFonts w:hint="default" w:ascii="Times New Roman" w:hAnsi="Times New Roman" w:eastAsia="黑体" w:cs="Times New Roman"/>
              <w:w w:val="97"/>
              <w:sz w:val="28"/>
              <w:szCs w:val="28"/>
              <w:highlight w:val="none"/>
              <w:lang w:val="en-US" w:eastAsia="zh-CN" w:bidi="ar"/>
              <w14:ligatures w14:val="standardContextual"/>
            </w:rPr>
            <w:t>巩固</w:t>
          </w:r>
          <w:r>
            <w:rPr>
              <w:rFonts w:hint="default" w:ascii="Times New Roman" w:hAnsi="Times New Roman" w:eastAsia="黑体" w:cs="Times New Roman"/>
              <w:w w:val="97"/>
              <w:sz w:val="28"/>
              <w:szCs w:val="28"/>
              <w:highlight w:val="none"/>
              <w:lang w:bidi="ar"/>
              <w14:ligatures w14:val="standardContextual"/>
            </w:rPr>
            <w:t>壮大实体经济 构建</w:t>
          </w:r>
          <w:r>
            <w:rPr>
              <w:rFonts w:hint="default" w:ascii="Times New Roman" w:hAnsi="Times New Roman" w:eastAsia="黑体" w:cs="Times New Roman"/>
              <w:w w:val="97"/>
              <w:sz w:val="28"/>
              <w:szCs w:val="28"/>
              <w:highlight w:val="none"/>
              <w:lang w:val="en-US" w:eastAsia="zh-CN" w:bidi="ar"/>
              <w14:ligatures w14:val="standardContextual"/>
            </w:rPr>
            <w:t>具有特色优势的</w:t>
          </w:r>
          <w:r>
            <w:rPr>
              <w:rFonts w:hint="default" w:ascii="Times New Roman" w:hAnsi="Times New Roman" w:eastAsia="黑体" w:cs="Times New Roman"/>
              <w:w w:val="97"/>
              <w:sz w:val="28"/>
              <w:szCs w:val="28"/>
              <w:highlight w:val="none"/>
              <w:lang w:bidi="ar"/>
              <w14:ligatures w14:val="standardContextual"/>
            </w:rPr>
            <w:t>现代化产业体系</w:t>
          </w:r>
          <w:r>
            <w:rPr>
              <w:w w:val="97"/>
              <w:sz w:val="28"/>
              <w:szCs w:val="28"/>
            </w:rPr>
            <w:tab/>
          </w:r>
          <w:r>
            <w:rPr>
              <w:w w:val="97"/>
              <w:sz w:val="28"/>
              <w:szCs w:val="28"/>
            </w:rPr>
            <w:t>- 48 -</w:t>
          </w:r>
        </w:p>
        <w:p w14:paraId="1CE22BB1">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rPr>
            <w:t>第一</w:t>
          </w:r>
          <w:r>
            <w:rPr>
              <w:rFonts w:hint="default" w:ascii="Times New Roman" w:hAnsi="Times New Roman" w:eastAsia="楷体" w:cs="Times New Roman"/>
              <w:sz w:val="28"/>
              <w:szCs w:val="28"/>
              <w:highlight w:val="none"/>
              <w:lang w:eastAsia="zh"/>
              <w:woUserID w:val="0"/>
            </w:rPr>
            <w:t>章</w:t>
          </w:r>
          <w:r>
            <w:rPr>
              <w:rFonts w:hint="default" w:ascii="Times New Roman" w:hAnsi="Times New Roman" w:eastAsia="楷体" w:cs="Times New Roman"/>
              <w:sz w:val="28"/>
              <w:szCs w:val="28"/>
              <w:highlight w:val="none"/>
            </w:rPr>
            <w:t xml:space="preserve"> 优化提升传统优势产业</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- 49 -</w:t>
          </w:r>
        </w:p>
        <w:p w14:paraId="58B0C319">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 xml:space="preserve">第一节 </w:t>
          </w:r>
          <w:r>
            <w:rPr>
              <w:rFonts w:hint="default" w:ascii="Times New Roman" w:hAnsi="Times New Roman" w:eastAsia="仿宋_GB2312" w:cs="Times New Roman"/>
              <w:bCs/>
              <w:sz w:val="28"/>
              <w:szCs w:val="28"/>
              <w:highlight w:val="none"/>
              <w:lang w:val="en-US" w:eastAsia="zh-CN" w:bidi="ar"/>
              <w:woUserID w:val="0"/>
            </w:rPr>
            <w:t>打造农产品产业集群</w:t>
          </w:r>
          <w:r>
            <w:rPr>
              <w:sz w:val="28"/>
              <w:szCs w:val="28"/>
            </w:rPr>
            <w:tab/>
          </w:r>
          <w:r>
            <w:rPr>
              <w:sz w:val="28"/>
              <w:szCs w:val="28"/>
            </w:rPr>
            <w:t>- 49 -</w:t>
          </w:r>
        </w:p>
        <w:p w14:paraId="0BA2DB7B">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 壮大提升农机装备产业集群</w:t>
          </w:r>
          <w:r>
            <w:rPr>
              <w:sz w:val="28"/>
              <w:szCs w:val="28"/>
            </w:rPr>
            <w:tab/>
          </w:r>
          <w:r>
            <w:rPr>
              <w:sz w:val="28"/>
              <w:szCs w:val="28"/>
            </w:rPr>
            <w:t>- 51 -</w:t>
          </w:r>
        </w:p>
        <w:p w14:paraId="650D8462">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rPr>
            <w:t>第二</w:t>
          </w:r>
          <w:r>
            <w:rPr>
              <w:rFonts w:hint="default" w:ascii="Times New Roman" w:hAnsi="Times New Roman" w:eastAsia="楷体" w:cs="Times New Roman"/>
              <w:sz w:val="28"/>
              <w:szCs w:val="28"/>
              <w:highlight w:val="none"/>
              <w:lang w:eastAsia="zh"/>
              <w:woUserID w:val="0"/>
            </w:rPr>
            <w:t>章</w:t>
          </w:r>
          <w:r>
            <w:rPr>
              <w:rFonts w:hint="default" w:ascii="Times New Roman" w:hAnsi="Times New Roman" w:eastAsia="楷体" w:cs="Times New Roman"/>
              <w:sz w:val="28"/>
              <w:szCs w:val="28"/>
              <w:highlight w:val="none"/>
            </w:rPr>
            <w:t xml:space="preserve"> 布局培育壮大新兴产业</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- 53 -</w:t>
          </w:r>
        </w:p>
        <w:p w14:paraId="0396C02B">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 加快发展生物制造产业</w:t>
          </w:r>
          <w:r>
            <w:rPr>
              <w:sz w:val="28"/>
              <w:szCs w:val="28"/>
            </w:rPr>
            <w:tab/>
          </w:r>
          <w:r>
            <w:rPr>
              <w:sz w:val="28"/>
              <w:szCs w:val="28"/>
            </w:rPr>
            <w:t>- 53 -</w:t>
          </w:r>
        </w:p>
        <w:p w14:paraId="2FC60ABA">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 积极打造新型化工产业</w:t>
          </w:r>
          <w:r>
            <w:rPr>
              <w:sz w:val="28"/>
              <w:szCs w:val="28"/>
            </w:rPr>
            <w:tab/>
          </w:r>
          <w:r>
            <w:rPr>
              <w:sz w:val="28"/>
              <w:szCs w:val="28"/>
            </w:rPr>
            <w:t>- 54 -</w:t>
          </w:r>
        </w:p>
        <w:p w14:paraId="2FDC49A1">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 谋划布局绿色循环产业</w:t>
          </w:r>
          <w:r>
            <w:rPr>
              <w:sz w:val="28"/>
              <w:szCs w:val="28"/>
            </w:rPr>
            <w:tab/>
          </w:r>
          <w:r>
            <w:rPr>
              <w:sz w:val="28"/>
              <w:szCs w:val="28"/>
            </w:rPr>
            <w:t>- 54 -</w:t>
          </w:r>
        </w:p>
        <w:p w14:paraId="3087DA3D">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第四节 聚力打造新能源产业</w:t>
          </w:r>
          <w:r>
            <w:rPr>
              <w:sz w:val="28"/>
              <w:szCs w:val="28"/>
            </w:rPr>
            <w:tab/>
          </w:r>
          <w:r>
            <w:rPr>
              <w:sz w:val="28"/>
              <w:szCs w:val="28"/>
            </w:rPr>
            <w:t>- 55 -</w:t>
          </w:r>
        </w:p>
        <w:p w14:paraId="77172D64">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第五节 超前谋划战新与未来产业</w:t>
          </w:r>
          <w:r>
            <w:rPr>
              <w:sz w:val="28"/>
              <w:szCs w:val="28"/>
            </w:rPr>
            <w:tab/>
          </w:r>
          <w:r>
            <w:rPr>
              <w:sz w:val="28"/>
              <w:szCs w:val="28"/>
            </w:rPr>
            <w:t>- 55 -</w:t>
          </w:r>
        </w:p>
        <w:p w14:paraId="214C5B20">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第六节 融合赋能数字经济</w:t>
          </w:r>
          <w:r>
            <w:rPr>
              <w:sz w:val="28"/>
              <w:szCs w:val="28"/>
            </w:rPr>
            <w:tab/>
          </w:r>
          <w:r>
            <w:rPr>
              <w:sz w:val="28"/>
              <w:szCs w:val="28"/>
            </w:rPr>
            <w:t>- 56 -</w:t>
          </w:r>
        </w:p>
        <w:p w14:paraId="4292D32A">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第七节 因地制宜布局</w:t>
          </w:r>
          <w:r>
            <w:rPr>
              <w:rFonts w:hint="default" w:ascii="Times New Roman" w:hAnsi="Times New Roman" w:eastAsia="仿宋_GB2312" w:cs="Times New Roman"/>
              <w:bCs/>
              <w:sz w:val="28"/>
              <w:szCs w:val="28"/>
              <w:highlight w:val="none"/>
              <w:lang w:val="en-US" w:eastAsia="zh-CN" w:bidi="ar"/>
              <w:woUserID w:val="0"/>
            </w:rPr>
            <w:t>低空和</w:t>
          </w:r>
          <w:r>
            <w:rPr>
              <w:rFonts w:hint="default" w:ascii="Times New Roman" w:hAnsi="Times New Roman" w:eastAsia="仿宋_GB2312" w:cs="Times New Roman"/>
              <w:bCs/>
              <w:sz w:val="28"/>
              <w:szCs w:val="28"/>
              <w:highlight w:val="none"/>
              <w:lang w:eastAsia="zh" w:bidi="ar"/>
              <w:woUserID w:val="0"/>
            </w:rPr>
            <w:t>临空经济</w:t>
          </w:r>
          <w:r>
            <w:rPr>
              <w:sz w:val="28"/>
              <w:szCs w:val="28"/>
            </w:rPr>
            <w:tab/>
          </w:r>
          <w:r>
            <w:rPr>
              <w:sz w:val="28"/>
              <w:szCs w:val="28"/>
            </w:rPr>
            <w:t>- 56 -</w:t>
          </w:r>
        </w:p>
        <w:p w14:paraId="7DD93124">
          <w:pPr>
            <w:pStyle w:val="21"/>
            <w:tabs>
              <w:tab w:val="right" w:leader="dot" w:pos="8306"/>
              <w:tab w:val="clear" w:pos="8296"/>
            </w:tabs>
            <w:rPr>
              <w:sz w:val="28"/>
              <w:szCs w:val="28"/>
            </w:rPr>
          </w:pPr>
          <w:r>
            <w:rPr>
              <w:rFonts w:hint="default" w:ascii="Times New Roman" w:hAnsi="Times New Roman" w:eastAsia="楷体" w:cs="Times New Roman"/>
              <w:kern w:val="2"/>
              <w:sz w:val="28"/>
              <w:szCs w:val="28"/>
              <w:highlight w:val="none"/>
              <w:lang w:val="en-US" w:eastAsia="zh-CN" w:bidi="ar-SA"/>
              <w14:ligatures w14:val="standardContextual"/>
            </w:rPr>
            <w:t>第三</w:t>
          </w:r>
          <w:r>
            <w:rPr>
              <w:rFonts w:hint="default" w:ascii="Times New Roman" w:hAnsi="Times New Roman" w:eastAsia="楷体" w:cs="Times New Roman"/>
              <w:kern w:val="2"/>
              <w:sz w:val="28"/>
              <w:szCs w:val="28"/>
              <w:highlight w:val="none"/>
              <w:lang w:val="en-US" w:eastAsia="zh" w:bidi="ar-SA"/>
              <w14:ligatures w14:val="standardContextual"/>
              <w:woUserID w:val="0"/>
            </w:rPr>
            <w:t>章</w:t>
          </w:r>
          <w:r>
            <w:rPr>
              <w:rFonts w:hint="default" w:ascii="Times New Roman" w:hAnsi="Times New Roman" w:eastAsia="楷体" w:cs="Times New Roman"/>
              <w:sz w:val="28"/>
              <w:szCs w:val="28"/>
              <w:highlight w:val="none"/>
            </w:rPr>
            <w:t xml:space="preserve"> 统筹布局建设新型产业基础设施</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- 57 -</w:t>
          </w:r>
        </w:p>
        <w:p w14:paraId="2D989BAE">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 筑牢桦川“北通南联空地一体”坚强电网</w:t>
          </w:r>
          <w:r>
            <w:rPr>
              <w:sz w:val="28"/>
              <w:szCs w:val="28"/>
            </w:rPr>
            <w:tab/>
          </w:r>
          <w:r>
            <w:rPr>
              <w:sz w:val="28"/>
              <w:szCs w:val="28"/>
            </w:rPr>
            <w:t>- 57 -</w:t>
          </w:r>
        </w:p>
        <w:p w14:paraId="223DFE06">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 统筹推进储能基础设施建设</w:t>
          </w:r>
          <w:r>
            <w:rPr>
              <w:sz w:val="28"/>
              <w:szCs w:val="28"/>
            </w:rPr>
            <w:tab/>
          </w:r>
          <w:r>
            <w:rPr>
              <w:sz w:val="28"/>
              <w:szCs w:val="28"/>
            </w:rPr>
            <w:t>- 58 -</w:t>
          </w:r>
        </w:p>
        <w:p w14:paraId="08F50B42">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 夯实数字经济基础设施底座</w:t>
          </w:r>
          <w:r>
            <w:rPr>
              <w:sz w:val="28"/>
              <w:szCs w:val="28"/>
            </w:rPr>
            <w:tab/>
          </w:r>
          <w:r>
            <w:rPr>
              <w:sz w:val="28"/>
              <w:szCs w:val="28"/>
            </w:rPr>
            <w:t>- 58 -</w:t>
          </w:r>
        </w:p>
        <w:p w14:paraId="266720D3">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第四节 统筹布局低空经济基础设施</w:t>
          </w:r>
          <w:r>
            <w:rPr>
              <w:sz w:val="28"/>
              <w:szCs w:val="28"/>
            </w:rPr>
            <w:tab/>
          </w:r>
          <w:r>
            <w:rPr>
              <w:sz w:val="28"/>
              <w:szCs w:val="28"/>
            </w:rPr>
            <w:t>- 59 -</w:t>
          </w:r>
        </w:p>
        <w:p w14:paraId="2EBCA64B">
          <w:pPr>
            <w:pStyle w:val="21"/>
            <w:tabs>
              <w:tab w:val="right" w:leader="dot" w:pos="8306"/>
              <w:tab w:val="clear" w:pos="8296"/>
            </w:tabs>
            <w:rPr>
              <w:rFonts w:hint="eastAsia" w:eastAsia="楷体_GB2312"/>
              <w:sz w:val="28"/>
              <w:szCs w:val="28"/>
              <w:lang w:val="en-US" w:eastAsia="zh-CN"/>
            </w:rPr>
          </w:pPr>
          <w:r>
            <w:rPr>
              <w:rFonts w:hint="default" w:ascii="Times New Roman" w:hAnsi="Times New Roman" w:eastAsia="楷体" w:cs="Times New Roman"/>
              <w:sz w:val="28"/>
              <w:szCs w:val="28"/>
              <w:highlight w:val="none"/>
            </w:rPr>
            <w:t>第四</w:t>
          </w:r>
          <w:r>
            <w:rPr>
              <w:rFonts w:hint="default" w:ascii="Times New Roman" w:hAnsi="Times New Roman" w:eastAsia="楷体" w:cs="Times New Roman"/>
              <w:sz w:val="28"/>
              <w:szCs w:val="28"/>
              <w:highlight w:val="none"/>
              <w:lang w:eastAsia="zh"/>
              <w:woUserID w:val="0"/>
            </w:rPr>
            <w:t>章</w:t>
          </w:r>
          <w:r>
            <w:rPr>
              <w:rFonts w:hint="default" w:ascii="Times New Roman" w:hAnsi="Times New Roman" w:eastAsia="楷体" w:cs="Times New Roman"/>
              <w:sz w:val="28"/>
              <w:szCs w:val="28"/>
              <w:highlight w:val="none"/>
            </w:rPr>
            <w:t xml:space="preserve"> 实施桦川产业倍增行动计划</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- 60 -</w:t>
          </w:r>
        </w:p>
        <w:p w14:paraId="145B557F">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 加快承接产业转移与强化招商引资力度</w:t>
          </w:r>
          <w:r>
            <w:rPr>
              <w:sz w:val="28"/>
              <w:szCs w:val="28"/>
            </w:rPr>
            <w:tab/>
          </w:r>
          <w:r>
            <w:rPr>
              <w:sz w:val="28"/>
              <w:szCs w:val="28"/>
            </w:rPr>
            <w:t>- 60 -</w:t>
          </w:r>
        </w:p>
        <w:p w14:paraId="748C1876">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 着力推动大中小企业梯度培育和融通发展</w:t>
          </w:r>
          <w:r>
            <w:rPr>
              <w:sz w:val="28"/>
              <w:szCs w:val="28"/>
            </w:rPr>
            <w:tab/>
          </w:r>
          <w:r>
            <w:rPr>
              <w:sz w:val="28"/>
              <w:szCs w:val="28"/>
            </w:rPr>
            <w:t>- 62 -</w:t>
          </w:r>
        </w:p>
        <w:p w14:paraId="2DBF37A3">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 联动佳木斯打造“双城双地”产业备份基地</w:t>
          </w:r>
          <w:r>
            <w:rPr>
              <w:sz w:val="28"/>
              <w:szCs w:val="28"/>
            </w:rPr>
            <w:tab/>
          </w:r>
          <w:r>
            <w:rPr>
              <w:sz w:val="28"/>
              <w:szCs w:val="28"/>
            </w:rPr>
            <w:t>- 64 -</w:t>
          </w:r>
        </w:p>
        <w:p w14:paraId="551A400B">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第四节 强化产业园区载体建设与运营模式创新</w:t>
          </w:r>
          <w:r>
            <w:rPr>
              <w:sz w:val="28"/>
              <w:szCs w:val="28"/>
            </w:rPr>
            <w:tab/>
          </w:r>
          <w:r>
            <w:rPr>
              <w:sz w:val="28"/>
              <w:szCs w:val="28"/>
            </w:rPr>
            <w:t>- 64 -</w:t>
          </w:r>
        </w:p>
        <w:p w14:paraId="642523EB">
          <w:pPr>
            <w:pStyle w:val="18"/>
            <w:tabs>
              <w:tab w:val="right" w:leader="dot" w:pos="8306"/>
              <w:tab w:val="clear" w:pos="8296"/>
            </w:tabs>
            <w:rPr>
              <w:sz w:val="28"/>
              <w:szCs w:val="28"/>
            </w:rPr>
          </w:pPr>
          <w:r>
            <w:rPr>
              <w:rFonts w:hint="default" w:ascii="Times New Roman" w:hAnsi="Times New Roman" w:eastAsia="黑体" w:cs="Times New Roman"/>
              <w:sz w:val="28"/>
              <w:szCs w:val="28"/>
              <w:highlight w:val="none"/>
              <w14:ligatures w14:val="standardContextual"/>
            </w:rPr>
            <w:t>第五</w:t>
          </w:r>
          <w:r>
            <w:rPr>
              <w:rFonts w:hint="default" w:ascii="Times New Roman" w:hAnsi="Times New Roman" w:eastAsia="黑体" w:cs="Times New Roman"/>
              <w:sz w:val="28"/>
              <w:szCs w:val="28"/>
              <w:highlight w:val="none"/>
              <w:lang w:eastAsia="zh"/>
              <w14:ligatures w14:val="standardContextual"/>
              <w:woUserID w:val="0"/>
            </w:rPr>
            <w:t>篇</w:t>
          </w:r>
          <w:r>
            <w:rPr>
              <w:rFonts w:hint="default" w:ascii="Times New Roman" w:hAnsi="Times New Roman" w:eastAsia="黑体" w:cs="Times New Roman"/>
              <w:sz w:val="28"/>
              <w:szCs w:val="28"/>
              <w:highlight w:val="none"/>
              <w14:ligatures w14:val="standardContextual"/>
            </w:rPr>
            <w:t xml:space="preserve"> </w:t>
          </w:r>
          <w:r>
            <w:rPr>
              <w:rFonts w:hint="default" w:ascii="Times New Roman" w:hAnsi="Times New Roman" w:eastAsia="黑体" w:cs="Times New Roman"/>
              <w:sz w:val="28"/>
              <w:szCs w:val="28"/>
              <w:highlight w:val="none"/>
              <w:lang w:eastAsia="zh"/>
              <w14:ligatures w14:val="standardContextual"/>
            </w:rPr>
            <w:t>推动三产融合升级</w:t>
          </w:r>
          <w:r>
            <w:rPr>
              <w:rFonts w:hint="default" w:ascii="Times New Roman" w:hAnsi="Times New Roman" w:eastAsia="黑体" w:cs="Times New Roman"/>
              <w:sz w:val="28"/>
              <w:szCs w:val="28"/>
              <w:highlight w:val="none"/>
              <w14:ligatures w14:val="standardContextual"/>
            </w:rPr>
            <w:t xml:space="preserve">  </w:t>
          </w:r>
          <w:r>
            <w:rPr>
              <w:rFonts w:hint="default" w:ascii="Times New Roman" w:hAnsi="Times New Roman" w:eastAsia="黑体" w:cs="Times New Roman"/>
              <w:sz w:val="28"/>
              <w:szCs w:val="28"/>
              <w:highlight w:val="none"/>
              <w:lang w:eastAsia="zh"/>
              <w14:ligatures w14:val="standardContextual"/>
            </w:rPr>
            <w:t>筑牢</w:t>
          </w:r>
          <w:r>
            <w:rPr>
              <w:rFonts w:hint="default" w:ascii="Times New Roman" w:hAnsi="Times New Roman" w:eastAsia="黑体" w:cs="Times New Roman"/>
              <w:sz w:val="28"/>
              <w:szCs w:val="28"/>
              <w:highlight w:val="none"/>
              <w:lang w:val="en-US" w:eastAsia="zh-CN"/>
              <w14:ligatures w14:val="standardContextual"/>
            </w:rPr>
            <w:t>县域经济</w:t>
          </w:r>
          <w:r>
            <w:rPr>
              <w:rFonts w:hint="default" w:ascii="Times New Roman" w:hAnsi="Times New Roman" w:eastAsia="黑体" w:cs="Times New Roman"/>
              <w:sz w:val="28"/>
              <w:szCs w:val="28"/>
              <w:highlight w:val="none"/>
              <w:lang w:eastAsia="zh"/>
              <w14:ligatures w14:val="standardContextual"/>
            </w:rPr>
            <w:t>发展新高地</w:t>
          </w:r>
          <w:r>
            <w:rPr>
              <w:sz w:val="28"/>
              <w:szCs w:val="28"/>
            </w:rPr>
            <w:tab/>
          </w:r>
          <w:r>
            <w:rPr>
              <w:sz w:val="28"/>
              <w:szCs w:val="28"/>
            </w:rPr>
            <w:t>- 65 -</w:t>
          </w:r>
        </w:p>
        <w:p w14:paraId="7310208B">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rPr>
            <w:t>第一</w:t>
          </w:r>
          <w:r>
            <w:rPr>
              <w:rFonts w:hint="default" w:ascii="Times New Roman" w:hAnsi="Times New Roman" w:eastAsia="楷体" w:cs="Times New Roman"/>
              <w:sz w:val="28"/>
              <w:szCs w:val="28"/>
              <w:highlight w:val="none"/>
              <w:lang w:eastAsia="zh"/>
              <w:woUserID w:val="0"/>
            </w:rPr>
            <w:t>章</w:t>
          </w:r>
          <w:r>
            <w:rPr>
              <w:rFonts w:hint="default" w:ascii="Times New Roman" w:hAnsi="Times New Roman" w:eastAsia="楷体" w:cs="Times New Roman"/>
              <w:sz w:val="28"/>
              <w:szCs w:val="28"/>
              <w:highlight w:val="none"/>
            </w:rPr>
            <w:t xml:space="preserve"> </w:t>
          </w:r>
          <w:r>
            <w:rPr>
              <w:rFonts w:hint="default" w:ascii="Times New Roman" w:hAnsi="Times New Roman" w:eastAsia="楷体" w:cs="Times New Roman"/>
              <w:bCs w:val="0"/>
              <w:kern w:val="2"/>
              <w:sz w:val="28"/>
              <w:szCs w:val="28"/>
              <w:highlight w:val="none"/>
            </w:rPr>
            <w:t>夯实全域旅游发展根基</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- 65 -</w:t>
          </w:r>
        </w:p>
        <w:p w14:paraId="2E132065">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rPr>
            <w:t>第二</w:t>
          </w:r>
          <w:r>
            <w:rPr>
              <w:rFonts w:hint="default" w:ascii="Times New Roman" w:hAnsi="Times New Roman" w:eastAsia="楷体" w:cs="Times New Roman"/>
              <w:sz w:val="28"/>
              <w:szCs w:val="28"/>
              <w:highlight w:val="none"/>
              <w:lang w:eastAsia="zh"/>
              <w:woUserID w:val="0"/>
            </w:rPr>
            <w:t>章</w:t>
          </w:r>
          <w:r>
            <w:rPr>
              <w:rFonts w:hint="default" w:ascii="Times New Roman" w:hAnsi="Times New Roman" w:eastAsia="楷体" w:cs="Times New Roman"/>
              <w:sz w:val="28"/>
              <w:szCs w:val="28"/>
              <w:highlight w:val="none"/>
            </w:rPr>
            <w:t xml:space="preserve"> </w:t>
          </w:r>
          <w:r>
            <w:rPr>
              <w:rFonts w:hint="default" w:ascii="Times New Roman" w:hAnsi="Times New Roman" w:eastAsia="楷体" w:cs="Times New Roman"/>
              <w:bCs w:val="0"/>
              <w:kern w:val="2"/>
              <w:sz w:val="28"/>
              <w:szCs w:val="28"/>
              <w:highlight w:val="none"/>
            </w:rPr>
            <w:t>建设农文体旅产业集群</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- 67 -</w:t>
          </w:r>
        </w:p>
        <w:p w14:paraId="04191E51">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 树立红色旅游新标杆</w:t>
          </w:r>
          <w:r>
            <w:rPr>
              <w:sz w:val="28"/>
              <w:szCs w:val="28"/>
            </w:rPr>
            <w:tab/>
          </w:r>
          <w:r>
            <w:rPr>
              <w:sz w:val="28"/>
              <w:szCs w:val="28"/>
            </w:rPr>
            <w:t>- 67 -</w:t>
          </w:r>
        </w:p>
        <w:p w14:paraId="5555800B">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 构建民俗旅游新业态</w:t>
          </w:r>
          <w:r>
            <w:rPr>
              <w:sz w:val="28"/>
              <w:szCs w:val="28"/>
            </w:rPr>
            <w:tab/>
          </w:r>
          <w:r>
            <w:rPr>
              <w:sz w:val="28"/>
              <w:szCs w:val="28"/>
            </w:rPr>
            <w:t>- 67 -</w:t>
          </w:r>
        </w:p>
        <w:p w14:paraId="3E70824C">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 打造生态旅游新景观</w:t>
          </w:r>
          <w:r>
            <w:rPr>
              <w:sz w:val="28"/>
              <w:szCs w:val="28"/>
            </w:rPr>
            <w:tab/>
          </w:r>
          <w:r>
            <w:rPr>
              <w:sz w:val="28"/>
              <w:szCs w:val="28"/>
            </w:rPr>
            <w:t>- 69 -</w:t>
          </w:r>
        </w:p>
        <w:p w14:paraId="58AA9C89">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第四节 建设冰雪旅游新格局</w:t>
          </w:r>
          <w:r>
            <w:rPr>
              <w:sz w:val="28"/>
              <w:szCs w:val="28"/>
            </w:rPr>
            <w:tab/>
          </w:r>
          <w:r>
            <w:rPr>
              <w:sz w:val="28"/>
              <w:szCs w:val="28"/>
            </w:rPr>
            <w:t>- 69 -</w:t>
          </w:r>
        </w:p>
        <w:p w14:paraId="56B8940C">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第五节 开辟乡村旅游新路径</w:t>
          </w:r>
          <w:r>
            <w:rPr>
              <w:sz w:val="28"/>
              <w:szCs w:val="28"/>
            </w:rPr>
            <w:tab/>
          </w:r>
          <w:r>
            <w:rPr>
              <w:sz w:val="28"/>
              <w:szCs w:val="28"/>
            </w:rPr>
            <w:t>- 69 -</w:t>
          </w:r>
        </w:p>
        <w:p w14:paraId="6DBBBFCD">
          <w:pPr>
            <w:pStyle w:val="13"/>
            <w:tabs>
              <w:tab w:val="right" w:leader="dot" w:pos="8306"/>
            </w:tabs>
            <w:rPr>
              <w:rFonts w:hint="eastAsia" w:eastAsia="仿宋_GB2312"/>
              <w:sz w:val="28"/>
              <w:szCs w:val="28"/>
              <w:lang w:val="en-US" w:eastAsia="zh-CN"/>
            </w:rPr>
          </w:pPr>
          <w:r>
            <w:rPr>
              <w:rFonts w:hint="default" w:ascii="Times New Roman" w:hAnsi="Times New Roman" w:eastAsia="仿宋_GB2312" w:cs="Times New Roman"/>
              <w:bCs/>
              <w:sz w:val="28"/>
              <w:szCs w:val="28"/>
              <w:highlight w:val="none"/>
              <w:lang w:eastAsia="zh" w:bidi="ar"/>
              <w:woUserID w:val="0"/>
            </w:rPr>
            <w:t>第六节 拓展非遗旅游新载体</w:t>
          </w:r>
          <w:r>
            <w:rPr>
              <w:sz w:val="28"/>
              <w:szCs w:val="28"/>
            </w:rPr>
            <w:tab/>
          </w:r>
          <w:r>
            <w:rPr>
              <w:sz w:val="28"/>
              <w:szCs w:val="28"/>
            </w:rPr>
            <w:t>- 70 -</w:t>
          </w:r>
        </w:p>
        <w:p w14:paraId="314DC432">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第七节 做强体育旅游新链条</w:t>
          </w:r>
          <w:r>
            <w:rPr>
              <w:sz w:val="28"/>
              <w:szCs w:val="28"/>
            </w:rPr>
            <w:tab/>
          </w:r>
          <w:r>
            <w:rPr>
              <w:sz w:val="28"/>
              <w:szCs w:val="28"/>
            </w:rPr>
            <w:t>- 70 -</w:t>
          </w:r>
        </w:p>
        <w:p w14:paraId="55C71CBF">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lang w:eastAsia="zh-CN"/>
            </w:rPr>
            <w:t>第</w:t>
          </w:r>
          <w:r>
            <w:rPr>
              <w:rFonts w:hint="default" w:ascii="Times New Roman" w:hAnsi="Times New Roman" w:eastAsia="楷体" w:cs="Times New Roman"/>
              <w:sz w:val="28"/>
              <w:szCs w:val="28"/>
              <w:highlight w:val="none"/>
              <w:lang w:val="en-US" w:eastAsia="zh-CN"/>
            </w:rPr>
            <w:t>三</w:t>
          </w:r>
          <w:r>
            <w:rPr>
              <w:rFonts w:hint="default" w:ascii="Times New Roman" w:hAnsi="Times New Roman" w:eastAsia="楷体" w:cs="Times New Roman"/>
              <w:sz w:val="28"/>
              <w:szCs w:val="28"/>
              <w:highlight w:val="none"/>
              <w:lang w:val="en-US" w:eastAsia="zh"/>
              <w:woUserID w:val="0"/>
            </w:rPr>
            <w:t>章</w:t>
          </w:r>
          <w:r>
            <w:rPr>
              <w:rFonts w:hint="default" w:ascii="Times New Roman" w:hAnsi="Times New Roman" w:eastAsia="楷体" w:cs="Times New Roman"/>
              <w:sz w:val="28"/>
              <w:szCs w:val="28"/>
              <w:highlight w:val="none"/>
              <w:lang w:eastAsia="zh-CN"/>
            </w:rPr>
            <w:t xml:space="preserve"> 推动仓储物流产业转型升级</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- 72 -</w:t>
          </w:r>
        </w:p>
        <w:p w14:paraId="1DC5306A">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 高标准打造桦川物流仓储基地</w:t>
          </w:r>
          <w:r>
            <w:rPr>
              <w:sz w:val="28"/>
              <w:szCs w:val="28"/>
            </w:rPr>
            <w:tab/>
          </w:r>
          <w:r>
            <w:rPr>
              <w:sz w:val="28"/>
              <w:szCs w:val="28"/>
            </w:rPr>
            <w:t>- 72 -</w:t>
          </w:r>
        </w:p>
        <w:p w14:paraId="65C91899">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 推动“物流+”产业融合发展</w:t>
          </w:r>
          <w:r>
            <w:rPr>
              <w:sz w:val="28"/>
              <w:szCs w:val="28"/>
            </w:rPr>
            <w:tab/>
          </w:r>
          <w:r>
            <w:rPr>
              <w:sz w:val="28"/>
              <w:szCs w:val="28"/>
            </w:rPr>
            <w:t>- 73 -</w:t>
          </w:r>
        </w:p>
        <w:p w14:paraId="4A9480EF">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 全面构建县乡村三级物流体系</w:t>
          </w:r>
          <w:r>
            <w:rPr>
              <w:sz w:val="28"/>
              <w:szCs w:val="28"/>
            </w:rPr>
            <w:tab/>
          </w:r>
          <w:r>
            <w:rPr>
              <w:sz w:val="28"/>
              <w:szCs w:val="28"/>
            </w:rPr>
            <w:t>- 74 -</w:t>
          </w:r>
        </w:p>
        <w:p w14:paraId="47BD9F28">
          <w:pPr>
            <w:pStyle w:val="21"/>
            <w:tabs>
              <w:tab w:val="right" w:leader="dot" w:pos="8306"/>
              <w:tab w:val="clear" w:pos="8296"/>
            </w:tabs>
            <w:rPr>
              <w:sz w:val="28"/>
              <w:szCs w:val="28"/>
            </w:rPr>
          </w:pPr>
          <w:r>
            <w:rPr>
              <w:rFonts w:hint="default" w:ascii="Times New Roman" w:hAnsi="Times New Roman" w:eastAsia="楷体" w:cs="Times New Roman"/>
              <w:bCs w:val="0"/>
              <w:sz w:val="28"/>
              <w:szCs w:val="28"/>
              <w:highlight w:val="none"/>
              <w:lang w:eastAsia="zh"/>
              <w:woUserID w:val="0"/>
            </w:rPr>
            <w:t>第四</w:t>
          </w:r>
          <w:r>
            <w:rPr>
              <w:rFonts w:hint="default" w:ascii="Times New Roman" w:hAnsi="Times New Roman" w:eastAsia="楷体" w:cs="Times New Roman"/>
              <w:sz w:val="28"/>
              <w:szCs w:val="28"/>
              <w:highlight w:val="none"/>
              <w:lang w:eastAsia="zh"/>
              <w:woUserID w:val="0"/>
            </w:rPr>
            <w:t>章</w:t>
          </w:r>
          <w:r>
            <w:rPr>
              <w:rFonts w:hint="default" w:ascii="Times New Roman" w:hAnsi="Times New Roman" w:eastAsia="楷体" w:cs="Times New Roman"/>
              <w:sz w:val="28"/>
              <w:szCs w:val="28"/>
              <w:highlight w:val="none"/>
            </w:rPr>
            <w:t xml:space="preserve"> 打造现代服务业新增长极</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- 74 -</w:t>
          </w:r>
        </w:p>
        <w:p w14:paraId="50B8E320">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 优化提升创意设计产业</w:t>
          </w:r>
          <w:r>
            <w:rPr>
              <w:sz w:val="28"/>
              <w:szCs w:val="28"/>
            </w:rPr>
            <w:tab/>
          </w:r>
          <w:r>
            <w:rPr>
              <w:sz w:val="28"/>
              <w:szCs w:val="28"/>
            </w:rPr>
            <w:t>- 74 -</w:t>
          </w:r>
        </w:p>
        <w:p w14:paraId="1D442E15">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 加快</w:t>
          </w:r>
          <w:r>
            <w:rPr>
              <w:rFonts w:hint="default" w:ascii="Times New Roman" w:hAnsi="Times New Roman" w:eastAsia="仿宋_GB2312" w:cs="Times New Roman"/>
              <w:bCs/>
              <w:sz w:val="28"/>
              <w:szCs w:val="28"/>
              <w:highlight w:val="none"/>
              <w:lang w:eastAsia="zh-CN" w:bidi="ar"/>
              <w:woUserID w:val="0"/>
            </w:rPr>
            <w:t>发展健康养老产业</w:t>
          </w:r>
          <w:r>
            <w:rPr>
              <w:sz w:val="28"/>
              <w:szCs w:val="28"/>
            </w:rPr>
            <w:tab/>
          </w:r>
          <w:r>
            <w:rPr>
              <w:sz w:val="28"/>
              <w:szCs w:val="28"/>
            </w:rPr>
            <w:t>- 75 -</w:t>
          </w:r>
        </w:p>
        <w:p w14:paraId="6176F07C">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 积极发展现代金融</w:t>
          </w:r>
          <w:r>
            <w:rPr>
              <w:sz w:val="28"/>
              <w:szCs w:val="28"/>
            </w:rPr>
            <w:tab/>
          </w:r>
          <w:r>
            <w:rPr>
              <w:sz w:val="28"/>
              <w:szCs w:val="28"/>
            </w:rPr>
            <w:t>- 75 -</w:t>
          </w:r>
        </w:p>
        <w:p w14:paraId="1428915A">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第四节 发展定制农业新业态</w:t>
          </w:r>
          <w:r>
            <w:rPr>
              <w:sz w:val="28"/>
              <w:szCs w:val="28"/>
            </w:rPr>
            <w:tab/>
          </w:r>
          <w:r>
            <w:rPr>
              <w:sz w:val="28"/>
              <w:szCs w:val="28"/>
            </w:rPr>
            <w:t>- 76 -</w:t>
          </w:r>
        </w:p>
        <w:p w14:paraId="515AF6C2">
          <w:pPr>
            <w:pStyle w:val="18"/>
            <w:tabs>
              <w:tab w:val="right" w:leader="dot" w:pos="8306"/>
              <w:tab w:val="clear" w:pos="8296"/>
            </w:tabs>
            <w:rPr>
              <w:rFonts w:hint="eastAsia" w:eastAsia="黑体"/>
              <w:sz w:val="28"/>
              <w:szCs w:val="28"/>
              <w:lang w:val="en-US" w:eastAsia="zh-CN"/>
            </w:rPr>
          </w:pPr>
          <w:r>
            <w:rPr>
              <w:rFonts w:hint="default" w:ascii="Times New Roman" w:hAnsi="Times New Roman" w:eastAsia="黑体" w:cs="Times New Roman"/>
              <w:sz w:val="28"/>
              <w:szCs w:val="28"/>
              <w:highlight w:val="none"/>
              <w14:ligatures w14:val="standardContextual"/>
            </w:rPr>
            <w:t>第六</w:t>
          </w:r>
          <w:r>
            <w:rPr>
              <w:rFonts w:hint="default" w:ascii="Times New Roman" w:hAnsi="Times New Roman" w:eastAsia="黑体" w:cs="Times New Roman"/>
              <w:sz w:val="28"/>
              <w:szCs w:val="28"/>
              <w:highlight w:val="none"/>
              <w:lang w:eastAsia="zh"/>
              <w14:ligatures w14:val="standardContextual"/>
              <w:woUserID w:val="0"/>
            </w:rPr>
            <w:t>篇</w:t>
          </w:r>
          <w:r>
            <w:rPr>
              <w:rFonts w:hint="default" w:ascii="Times New Roman" w:hAnsi="Times New Roman" w:eastAsia="黑体" w:cs="Times New Roman"/>
              <w:sz w:val="28"/>
              <w:szCs w:val="28"/>
              <w:highlight w:val="none"/>
              <w14:ligatures w14:val="standardContextual"/>
            </w:rPr>
            <w:t xml:space="preserve"> </w:t>
          </w:r>
          <w:r>
            <w:rPr>
              <w:rFonts w:hint="default" w:ascii="Times New Roman" w:hAnsi="Times New Roman" w:eastAsia="黑体" w:cs="Times New Roman"/>
              <w:sz w:val="28"/>
              <w:szCs w:val="28"/>
              <w:highlight w:val="none"/>
              <w:lang w:val="en-US" w:eastAsia="zh-CN"/>
              <w14:ligatures w14:val="standardContextual"/>
            </w:rPr>
            <w:t>城乡协同联动</w:t>
          </w:r>
          <w:r>
            <w:rPr>
              <w:rFonts w:hint="default" w:ascii="Times New Roman" w:hAnsi="Times New Roman" w:eastAsia="黑体" w:cs="Times New Roman"/>
              <w:sz w:val="28"/>
              <w:szCs w:val="28"/>
              <w:highlight w:val="none"/>
              <w14:ligatures w14:val="standardContextual"/>
            </w:rPr>
            <w:t>发展  加快建设秀美</w:t>
          </w:r>
          <w:r>
            <w:rPr>
              <w:rFonts w:hint="default" w:ascii="Times New Roman" w:hAnsi="Times New Roman" w:eastAsia="黑体" w:cs="Times New Roman"/>
              <w:sz w:val="28"/>
              <w:szCs w:val="28"/>
              <w:highlight w:val="none"/>
              <w:lang w:eastAsia="zh"/>
              <w14:ligatures w14:val="standardContextual"/>
            </w:rPr>
            <w:t>通达</w:t>
          </w:r>
          <w:r>
            <w:rPr>
              <w:rFonts w:hint="default" w:ascii="Times New Roman" w:hAnsi="Times New Roman" w:eastAsia="黑体" w:cs="Times New Roman"/>
              <w:sz w:val="28"/>
              <w:szCs w:val="28"/>
              <w:highlight w:val="none"/>
              <w14:ligatures w14:val="standardContextual"/>
            </w:rPr>
            <w:t>宜居之城</w:t>
          </w:r>
          <w:r>
            <w:rPr>
              <w:sz w:val="28"/>
              <w:szCs w:val="28"/>
            </w:rPr>
            <w:tab/>
          </w:r>
          <w:r>
            <w:rPr>
              <w:sz w:val="28"/>
              <w:szCs w:val="28"/>
            </w:rPr>
            <w:t>- 77 -</w:t>
          </w:r>
        </w:p>
        <w:p w14:paraId="1AE9A17B">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rPr>
            <w:t>第</w:t>
          </w:r>
          <w:r>
            <w:rPr>
              <w:rFonts w:hint="default" w:ascii="Times New Roman" w:hAnsi="Times New Roman" w:eastAsia="楷体" w:cs="Times New Roman"/>
              <w:sz w:val="28"/>
              <w:szCs w:val="28"/>
              <w:highlight w:val="none"/>
              <w:lang w:eastAsia="zh"/>
            </w:rPr>
            <w:t>一</w:t>
          </w:r>
          <w:r>
            <w:rPr>
              <w:rFonts w:hint="default" w:ascii="Times New Roman" w:hAnsi="Times New Roman" w:eastAsia="楷体" w:cs="Times New Roman"/>
              <w:sz w:val="28"/>
              <w:szCs w:val="28"/>
              <w:highlight w:val="none"/>
              <w:lang w:eastAsia="zh"/>
              <w:woUserID w:val="0"/>
            </w:rPr>
            <w:t>章</w:t>
          </w:r>
          <w:r>
            <w:rPr>
              <w:rFonts w:hint="default" w:ascii="Times New Roman" w:hAnsi="Times New Roman" w:eastAsia="楷体" w:cs="Times New Roman"/>
              <w:sz w:val="28"/>
              <w:szCs w:val="28"/>
              <w:highlight w:val="none"/>
              <w:lang w:eastAsia="zh"/>
            </w:rPr>
            <w:t xml:space="preserve"> </w:t>
          </w:r>
          <w:r>
            <w:rPr>
              <w:rFonts w:hint="default" w:ascii="Times New Roman" w:hAnsi="Times New Roman" w:eastAsia="楷体" w:cs="Times New Roman"/>
              <w:sz w:val="28"/>
              <w:szCs w:val="28"/>
              <w:highlight w:val="none"/>
            </w:rPr>
            <w:t>扎实推进“秀美”新城区建设</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- 77 -</w:t>
          </w:r>
        </w:p>
        <w:p w14:paraId="2B6A51EE">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扎实推进城市更新行动</w:t>
          </w:r>
          <w:r>
            <w:rPr>
              <w:sz w:val="28"/>
              <w:szCs w:val="28"/>
            </w:rPr>
            <w:tab/>
          </w:r>
          <w:r>
            <w:rPr>
              <w:sz w:val="28"/>
              <w:szCs w:val="28"/>
            </w:rPr>
            <w:t>- 77 -</w:t>
          </w:r>
        </w:p>
        <w:p w14:paraId="707BE37E">
          <w:pPr>
            <w:pStyle w:val="13"/>
            <w:tabs>
              <w:tab w:val="right" w:leader="dot" w:pos="8306"/>
            </w:tabs>
            <w:rPr>
              <w:rFonts w:hint="eastAsia" w:eastAsia="仿宋_GB2312"/>
              <w:sz w:val="28"/>
              <w:szCs w:val="28"/>
              <w:lang w:val="en-US" w:eastAsia="zh-CN"/>
            </w:rPr>
          </w:pPr>
          <w:r>
            <w:rPr>
              <w:rFonts w:hint="default" w:ascii="Times New Roman" w:hAnsi="Times New Roman" w:eastAsia="仿宋_GB2312" w:cs="Times New Roman"/>
              <w:bCs/>
              <w:sz w:val="28"/>
              <w:szCs w:val="28"/>
              <w:highlight w:val="none"/>
              <w:lang w:eastAsia="zh" w:bidi="ar"/>
              <w:woUserID w:val="0"/>
            </w:rPr>
            <w:t>第二节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加快推进城市地下管网建设改造</w:t>
          </w:r>
          <w:r>
            <w:rPr>
              <w:sz w:val="28"/>
              <w:szCs w:val="28"/>
            </w:rPr>
            <w:tab/>
          </w:r>
          <w:r>
            <w:rPr>
              <w:sz w:val="28"/>
              <w:szCs w:val="28"/>
            </w:rPr>
            <w:t>- 7</w:t>
          </w:r>
          <w:r>
            <w:rPr>
              <w:rFonts w:hint="eastAsia"/>
              <w:sz w:val="28"/>
              <w:szCs w:val="28"/>
              <w:lang w:val="en-US" w:eastAsia="zh-CN"/>
            </w:rPr>
            <w:t>9</w:t>
          </w:r>
          <w:r>
            <w:rPr>
              <w:sz w:val="28"/>
              <w:szCs w:val="28"/>
            </w:rPr>
            <w:t xml:space="preserve"> -</w:t>
          </w:r>
        </w:p>
        <w:p w14:paraId="2227B928">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加强城区绿色生态空间建设</w:t>
          </w:r>
          <w:r>
            <w:rPr>
              <w:sz w:val="28"/>
              <w:szCs w:val="28"/>
            </w:rPr>
            <w:tab/>
          </w:r>
          <w:r>
            <w:rPr>
              <w:sz w:val="28"/>
              <w:szCs w:val="28"/>
            </w:rPr>
            <w:t>- 80 -</w:t>
          </w:r>
        </w:p>
        <w:p w14:paraId="20B59F22">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第四节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构建县域现代水网体系</w:t>
          </w:r>
          <w:r>
            <w:rPr>
              <w:sz w:val="28"/>
              <w:szCs w:val="28"/>
            </w:rPr>
            <w:tab/>
          </w:r>
          <w:r>
            <w:rPr>
              <w:sz w:val="28"/>
              <w:szCs w:val="28"/>
            </w:rPr>
            <w:t>- 81 -</w:t>
          </w:r>
        </w:p>
        <w:p w14:paraId="56B301CF">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rPr>
            <w:t>第</w:t>
          </w:r>
          <w:r>
            <w:rPr>
              <w:rFonts w:hint="default" w:ascii="Times New Roman" w:hAnsi="Times New Roman" w:eastAsia="楷体" w:cs="Times New Roman"/>
              <w:sz w:val="28"/>
              <w:szCs w:val="28"/>
              <w:highlight w:val="none"/>
              <w:lang w:eastAsia="zh"/>
            </w:rPr>
            <w:t>二</w:t>
          </w:r>
          <w:r>
            <w:rPr>
              <w:rFonts w:hint="default" w:ascii="Times New Roman" w:hAnsi="Times New Roman" w:eastAsia="楷体" w:cs="Times New Roman"/>
              <w:sz w:val="28"/>
              <w:szCs w:val="28"/>
              <w:highlight w:val="none"/>
              <w:lang w:eastAsia="zh"/>
              <w:woUserID w:val="0"/>
            </w:rPr>
            <w:t>章</w:t>
          </w:r>
          <w:r>
            <w:rPr>
              <w:rFonts w:hint="default" w:ascii="Times New Roman" w:hAnsi="Times New Roman" w:eastAsia="楷体" w:cs="Times New Roman"/>
              <w:sz w:val="28"/>
              <w:szCs w:val="28"/>
              <w:highlight w:val="none"/>
              <w:lang w:eastAsia="zh"/>
            </w:rPr>
            <w:t xml:space="preserve"> </w:t>
          </w:r>
          <w:r>
            <w:rPr>
              <w:rFonts w:hint="default" w:ascii="Times New Roman" w:hAnsi="Times New Roman" w:eastAsia="楷体" w:cs="Times New Roman"/>
              <w:sz w:val="28"/>
              <w:szCs w:val="28"/>
              <w:highlight w:val="none"/>
            </w:rPr>
            <w:t>立体打造“通达”综合交通网络</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- 82 -</w:t>
          </w:r>
        </w:p>
        <w:p w14:paraId="10511187">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建强公路交通网络</w:t>
          </w:r>
          <w:r>
            <w:rPr>
              <w:sz w:val="28"/>
              <w:szCs w:val="28"/>
            </w:rPr>
            <w:tab/>
          </w:r>
          <w:r>
            <w:rPr>
              <w:sz w:val="28"/>
              <w:szCs w:val="28"/>
            </w:rPr>
            <w:t>- 82 -</w:t>
          </w:r>
        </w:p>
        <w:p w14:paraId="751789E3">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畅通铁路轨道与内河水运交通网</w:t>
          </w:r>
          <w:r>
            <w:rPr>
              <w:sz w:val="28"/>
              <w:szCs w:val="28"/>
            </w:rPr>
            <w:tab/>
          </w:r>
          <w:r>
            <w:rPr>
              <w:sz w:val="28"/>
              <w:szCs w:val="28"/>
            </w:rPr>
            <w:t>- 83 -</w:t>
          </w:r>
        </w:p>
        <w:p w14:paraId="6E76DF28">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强化航空枢纽高效衔接</w:t>
          </w:r>
          <w:r>
            <w:rPr>
              <w:sz w:val="28"/>
              <w:szCs w:val="28"/>
            </w:rPr>
            <w:tab/>
          </w:r>
          <w:r>
            <w:rPr>
              <w:sz w:val="28"/>
              <w:szCs w:val="28"/>
            </w:rPr>
            <w:t>- 83 -</w:t>
          </w:r>
        </w:p>
        <w:p w14:paraId="635FE009">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第四节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完善智慧交通基础设施</w:t>
          </w:r>
          <w:r>
            <w:rPr>
              <w:sz w:val="28"/>
              <w:szCs w:val="28"/>
            </w:rPr>
            <w:tab/>
          </w:r>
          <w:r>
            <w:rPr>
              <w:sz w:val="28"/>
              <w:szCs w:val="28"/>
            </w:rPr>
            <w:t>- 84 -</w:t>
          </w:r>
        </w:p>
        <w:p w14:paraId="6566005C">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rPr>
            <w:t>第</w:t>
          </w:r>
          <w:r>
            <w:rPr>
              <w:rFonts w:hint="default" w:ascii="Times New Roman" w:hAnsi="Times New Roman" w:eastAsia="楷体" w:cs="Times New Roman"/>
              <w:sz w:val="28"/>
              <w:szCs w:val="28"/>
              <w:highlight w:val="none"/>
              <w:lang w:eastAsia="zh"/>
            </w:rPr>
            <w:t>三</w:t>
          </w:r>
          <w:r>
            <w:rPr>
              <w:rFonts w:hint="default" w:ascii="Times New Roman" w:hAnsi="Times New Roman" w:eastAsia="楷体" w:cs="Times New Roman"/>
              <w:sz w:val="28"/>
              <w:szCs w:val="28"/>
              <w:highlight w:val="none"/>
              <w:lang w:eastAsia="zh"/>
              <w:woUserID w:val="0"/>
            </w:rPr>
            <w:t>章</w:t>
          </w:r>
          <w:r>
            <w:rPr>
              <w:rFonts w:hint="default" w:ascii="Times New Roman" w:hAnsi="Times New Roman" w:eastAsia="楷体" w:cs="Times New Roman"/>
              <w:sz w:val="28"/>
              <w:szCs w:val="28"/>
              <w:highlight w:val="none"/>
            </w:rPr>
            <w:t xml:space="preserve"> 全面打造“宜居”城乡融合共同体</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- 85 -</w:t>
          </w:r>
        </w:p>
        <w:p w14:paraId="06EF77A9">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促进城乡基础设施互联互通</w:t>
          </w:r>
          <w:r>
            <w:rPr>
              <w:sz w:val="28"/>
              <w:szCs w:val="28"/>
            </w:rPr>
            <w:tab/>
          </w:r>
          <w:r>
            <w:rPr>
              <w:sz w:val="28"/>
              <w:szCs w:val="28"/>
            </w:rPr>
            <w:t>- 85 -</w:t>
          </w:r>
        </w:p>
        <w:p w14:paraId="33F8B33C">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构建城乡产业协同发展体系</w:t>
          </w:r>
          <w:r>
            <w:rPr>
              <w:sz w:val="28"/>
              <w:szCs w:val="28"/>
            </w:rPr>
            <w:tab/>
          </w:r>
          <w:r>
            <w:rPr>
              <w:sz w:val="28"/>
              <w:szCs w:val="28"/>
            </w:rPr>
            <w:t>- 86 -</w:t>
          </w:r>
        </w:p>
        <w:p w14:paraId="79D73ECB">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推进城乡公共服务共建共享</w:t>
          </w:r>
          <w:r>
            <w:rPr>
              <w:sz w:val="28"/>
              <w:szCs w:val="28"/>
            </w:rPr>
            <w:tab/>
          </w:r>
          <w:r>
            <w:rPr>
              <w:sz w:val="28"/>
              <w:szCs w:val="28"/>
            </w:rPr>
            <w:t>- 86 -</w:t>
          </w:r>
        </w:p>
        <w:p w14:paraId="0EB8015E">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14:ligatures w14:val="standardContextual"/>
            </w:rPr>
            <w:t>第</w:t>
          </w:r>
          <w:r>
            <w:rPr>
              <w:rFonts w:hint="default" w:ascii="Times New Roman" w:hAnsi="Times New Roman" w:eastAsia="楷体" w:cs="Times New Roman"/>
              <w:sz w:val="28"/>
              <w:szCs w:val="28"/>
              <w:highlight w:val="none"/>
              <w:lang w:eastAsia="zh-CN"/>
              <w14:ligatures w14:val="standardContextual"/>
            </w:rPr>
            <w:t>四</w:t>
          </w:r>
          <w:r>
            <w:rPr>
              <w:rFonts w:hint="default" w:ascii="Times New Roman" w:hAnsi="Times New Roman" w:eastAsia="楷体" w:cs="Times New Roman"/>
              <w:sz w:val="28"/>
              <w:szCs w:val="28"/>
              <w:highlight w:val="none"/>
              <w:lang w:eastAsia="zh"/>
              <w14:ligatures w14:val="standardContextual"/>
              <w:woUserID w:val="0"/>
            </w:rPr>
            <w:t>章</w:t>
          </w:r>
          <w:r>
            <w:rPr>
              <w:rFonts w:hint="default" w:ascii="Times New Roman" w:hAnsi="Times New Roman" w:eastAsia="楷体" w:cs="Times New Roman"/>
              <w:sz w:val="28"/>
              <w:szCs w:val="28"/>
              <w:highlight w:val="none"/>
              <w14:ligatures w14:val="standardContextual"/>
            </w:rPr>
            <w:t xml:space="preserve"> 构建“一主三带”的国土空间开发格局</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- 87 -</w:t>
          </w:r>
        </w:p>
        <w:p w14:paraId="0DE19CA2">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高质量打造悦来建设城区主中心</w:t>
          </w:r>
          <w:r>
            <w:rPr>
              <w:sz w:val="28"/>
              <w:szCs w:val="28"/>
            </w:rPr>
            <w:tab/>
          </w:r>
          <w:r>
            <w:rPr>
              <w:sz w:val="28"/>
              <w:szCs w:val="28"/>
            </w:rPr>
            <w:t>- 87 -</w:t>
          </w:r>
        </w:p>
        <w:p w14:paraId="0836E078">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拓展建设三个发展带</w:t>
          </w:r>
          <w:r>
            <w:rPr>
              <w:sz w:val="28"/>
              <w:szCs w:val="28"/>
            </w:rPr>
            <w:tab/>
          </w:r>
          <w:r>
            <w:rPr>
              <w:sz w:val="28"/>
              <w:szCs w:val="28"/>
            </w:rPr>
            <w:t>- 88 -</w:t>
          </w:r>
        </w:p>
        <w:p w14:paraId="625F243D">
          <w:pPr>
            <w:pStyle w:val="21"/>
            <w:tabs>
              <w:tab w:val="right" w:leader="dot" w:pos="8306"/>
              <w:tab w:val="clear" w:pos="8296"/>
            </w:tabs>
            <w:rPr>
              <w:rFonts w:hint="eastAsia" w:eastAsia="楷体_GB2312"/>
              <w:sz w:val="28"/>
              <w:szCs w:val="28"/>
              <w:lang w:val="en-US" w:eastAsia="zh-CN"/>
            </w:rPr>
          </w:pPr>
          <w:r>
            <w:rPr>
              <w:rFonts w:hint="default" w:ascii="Times New Roman" w:hAnsi="Times New Roman" w:eastAsia="楷体" w:cs="Times New Roman"/>
              <w:sz w:val="28"/>
              <w:szCs w:val="28"/>
              <w:highlight w:val="none"/>
              <w14:ligatures w14:val="standardContextual"/>
            </w:rPr>
            <w:t>第</w:t>
          </w:r>
          <w:r>
            <w:rPr>
              <w:rFonts w:hint="default" w:ascii="Times New Roman" w:hAnsi="Times New Roman" w:eastAsia="楷体" w:cs="Times New Roman"/>
              <w:sz w:val="28"/>
              <w:szCs w:val="28"/>
              <w:highlight w:val="none"/>
              <w:lang w:eastAsia="zh"/>
              <w14:ligatures w14:val="standardContextual"/>
            </w:rPr>
            <w:t>五</w:t>
          </w:r>
          <w:r>
            <w:rPr>
              <w:rFonts w:hint="default" w:ascii="Times New Roman" w:hAnsi="Times New Roman" w:eastAsia="楷体" w:cs="Times New Roman"/>
              <w:sz w:val="28"/>
              <w:szCs w:val="28"/>
              <w:highlight w:val="none"/>
              <w:lang w:eastAsia="zh"/>
              <w14:ligatures w14:val="standardContextual"/>
              <w:woUserID w:val="0"/>
            </w:rPr>
            <w:t>章</w:t>
          </w:r>
          <w:r>
            <w:rPr>
              <w:rFonts w:hint="default" w:ascii="Times New Roman" w:hAnsi="Times New Roman" w:eastAsia="楷体" w:cs="Times New Roman"/>
              <w:sz w:val="28"/>
              <w:szCs w:val="28"/>
              <w:highlight w:val="none"/>
              <w14:ligatures w14:val="standardContextual"/>
            </w:rPr>
            <w:t xml:space="preserve"> 实施“</w:t>
          </w:r>
          <w:r>
            <w:rPr>
              <w:rFonts w:hint="default" w:ascii="Times New Roman" w:hAnsi="Times New Roman" w:eastAsia="楷体" w:cs="Times New Roman"/>
              <w:sz w:val="28"/>
              <w:szCs w:val="28"/>
              <w:highlight w:val="none"/>
              <w:lang w:eastAsia="zh"/>
              <w14:ligatures w14:val="standardContextual"/>
            </w:rPr>
            <w:t>两</w:t>
          </w:r>
          <w:r>
            <w:rPr>
              <w:rFonts w:hint="default" w:ascii="Times New Roman" w:hAnsi="Times New Roman" w:eastAsia="楷体" w:cs="Times New Roman"/>
              <w:sz w:val="28"/>
              <w:szCs w:val="28"/>
              <w:highlight w:val="none"/>
              <w14:ligatures w14:val="standardContextual"/>
            </w:rPr>
            <w:t>个联动”的空间优化策略</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- 8</w:t>
          </w:r>
          <w:r>
            <w:rPr>
              <w:rFonts w:hint="eastAsia" w:ascii="Times New Roman" w:hAnsi="Times New Roman" w:eastAsia="仿宋_GB2312" w:cs="Times New Roman"/>
              <w:kern w:val="2"/>
              <w:sz w:val="28"/>
              <w:szCs w:val="28"/>
              <w:lang w:val="en-US" w:eastAsia="zh-CN" w:bidi="ar-SA"/>
            </w:rPr>
            <w:t>9</w:t>
          </w:r>
          <w:r>
            <w:rPr>
              <w:rFonts w:ascii="Times New Roman" w:hAnsi="Times New Roman" w:eastAsia="仿宋_GB2312" w:cs="Times New Roman"/>
              <w:kern w:val="2"/>
              <w:sz w:val="28"/>
              <w:szCs w:val="28"/>
              <w:lang w:val="en-US" w:eastAsia="zh-CN" w:bidi="ar-SA"/>
            </w:rPr>
            <w:t xml:space="preserve"> -</w:t>
          </w:r>
        </w:p>
        <w:p w14:paraId="45329762">
          <w:pPr>
            <w:pStyle w:val="13"/>
            <w:tabs>
              <w:tab w:val="right" w:leader="dot" w:pos="8306"/>
            </w:tabs>
            <w:rPr>
              <w:rFonts w:hint="eastAsia" w:eastAsia="仿宋_GB2312"/>
              <w:sz w:val="28"/>
              <w:szCs w:val="28"/>
              <w:lang w:val="en-US" w:eastAsia="zh-CN"/>
            </w:rPr>
          </w:pPr>
          <w:r>
            <w:rPr>
              <w:rFonts w:hint="default" w:ascii="Times New Roman" w:hAnsi="Times New Roman" w:eastAsia="仿宋_GB2312" w:cs="Times New Roman"/>
              <w:bCs/>
              <w:sz w:val="28"/>
              <w:szCs w:val="28"/>
              <w:highlight w:val="none"/>
              <w:lang w:eastAsia="zh" w:bidi="ar"/>
              <w:woUserID w:val="0"/>
            </w:rPr>
            <w:t>第一节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联动粮食主产区</w:t>
          </w:r>
          <w:r>
            <w:rPr>
              <w:sz w:val="28"/>
              <w:szCs w:val="28"/>
            </w:rPr>
            <w:tab/>
          </w:r>
          <w:r>
            <w:rPr>
              <w:sz w:val="28"/>
              <w:szCs w:val="28"/>
              <w:lang w:val="en-US" w:eastAsia="zh-CN"/>
            </w:rPr>
            <w:t>- 8</w:t>
          </w:r>
          <w:r>
            <w:rPr>
              <w:rFonts w:hint="eastAsia"/>
              <w:sz w:val="28"/>
              <w:szCs w:val="28"/>
              <w:lang w:val="en-US" w:eastAsia="zh-CN"/>
            </w:rPr>
            <w:t>9</w:t>
          </w:r>
          <w:r>
            <w:rPr>
              <w:sz w:val="28"/>
              <w:szCs w:val="28"/>
              <w:lang w:val="en-US" w:eastAsia="zh-CN"/>
            </w:rPr>
            <w:t xml:space="preserve"> -</w:t>
          </w:r>
        </w:p>
        <w:p w14:paraId="607C4BA2">
          <w:pPr>
            <w:pStyle w:val="13"/>
            <w:tabs>
              <w:tab w:val="right" w:leader="dot" w:pos="8306"/>
            </w:tabs>
            <w:rPr>
              <w:rFonts w:hint="eastAsia" w:eastAsia="仿宋_GB2312"/>
              <w:sz w:val="28"/>
              <w:szCs w:val="28"/>
              <w:lang w:val="en-US" w:eastAsia="zh-CN"/>
            </w:rPr>
          </w:pPr>
          <w:r>
            <w:rPr>
              <w:rFonts w:hint="default" w:ascii="Times New Roman" w:hAnsi="Times New Roman" w:eastAsia="仿宋_GB2312" w:cs="Times New Roman"/>
              <w:bCs/>
              <w:sz w:val="28"/>
              <w:szCs w:val="28"/>
              <w:highlight w:val="none"/>
              <w:lang w:eastAsia="zh" w:bidi="ar"/>
              <w:woUserID w:val="0"/>
            </w:rPr>
            <w:t>第二节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联动佳木斯城市群</w:t>
          </w:r>
          <w:r>
            <w:rPr>
              <w:sz w:val="28"/>
              <w:szCs w:val="28"/>
            </w:rPr>
            <w:tab/>
          </w:r>
          <w:r>
            <w:rPr>
              <w:sz w:val="28"/>
              <w:szCs w:val="28"/>
              <w:lang w:val="en-US" w:eastAsia="zh-CN"/>
            </w:rPr>
            <w:t>- 8</w:t>
          </w:r>
          <w:r>
            <w:rPr>
              <w:rFonts w:hint="eastAsia"/>
              <w:sz w:val="28"/>
              <w:szCs w:val="28"/>
              <w:lang w:val="en-US" w:eastAsia="zh-CN"/>
            </w:rPr>
            <w:t>9</w:t>
          </w:r>
          <w:r>
            <w:rPr>
              <w:sz w:val="28"/>
              <w:szCs w:val="28"/>
              <w:lang w:val="en-US" w:eastAsia="zh-CN"/>
            </w:rPr>
            <w:t xml:space="preserve"> -</w:t>
          </w:r>
        </w:p>
        <w:p w14:paraId="6B4052F0">
          <w:pPr>
            <w:pStyle w:val="18"/>
            <w:tabs>
              <w:tab w:val="right" w:leader="dot" w:pos="8306"/>
              <w:tab w:val="clear" w:pos="8296"/>
            </w:tabs>
            <w:rPr>
              <w:rFonts w:hint="eastAsia" w:eastAsia="黑体"/>
              <w:sz w:val="28"/>
              <w:szCs w:val="28"/>
              <w:lang w:val="en-US" w:eastAsia="zh-CN"/>
            </w:rPr>
          </w:pPr>
          <w:r>
            <w:rPr>
              <w:rFonts w:hint="default" w:ascii="Times New Roman" w:hAnsi="Times New Roman" w:eastAsia="黑体" w:cs="Times New Roman"/>
              <w:sz w:val="28"/>
              <w:szCs w:val="28"/>
              <w:highlight w:val="none"/>
              <w14:ligatures w14:val="standardContextual"/>
            </w:rPr>
            <w:t>第七</w:t>
          </w:r>
          <w:r>
            <w:rPr>
              <w:rFonts w:hint="default" w:ascii="Times New Roman" w:hAnsi="Times New Roman" w:eastAsia="黑体" w:cs="Times New Roman"/>
              <w:sz w:val="28"/>
              <w:szCs w:val="28"/>
              <w:highlight w:val="none"/>
              <w:lang w:eastAsia="zh"/>
              <w14:ligatures w14:val="standardContextual"/>
              <w:woUserID w:val="0"/>
            </w:rPr>
            <w:t>篇</w:t>
          </w:r>
          <w:r>
            <w:rPr>
              <w:rFonts w:hint="default" w:ascii="Times New Roman" w:hAnsi="Times New Roman" w:eastAsia="黑体" w:cs="Times New Roman"/>
              <w:sz w:val="28"/>
              <w:szCs w:val="28"/>
              <w:highlight w:val="none"/>
              <w:lang w:val="en-US" w:eastAsia="zh-CN"/>
              <w14:ligatures w14:val="standardContextual"/>
              <w:woUserID w:val="0"/>
            </w:rPr>
            <w:t xml:space="preserve"> </w:t>
          </w:r>
          <w:r>
            <w:rPr>
              <w:rFonts w:hint="default" w:ascii="Times New Roman" w:hAnsi="Times New Roman" w:eastAsia="黑体" w:cs="Times New Roman"/>
              <w:sz w:val="28"/>
              <w:szCs w:val="28"/>
              <w:highlight w:val="none"/>
              <w:lang w:val="en-US" w:eastAsia="zh-CN"/>
              <w14:ligatures w14:val="standardContextual"/>
            </w:rPr>
            <w:t>加大民生保障力度</w:t>
          </w:r>
          <w:r>
            <w:rPr>
              <w:rFonts w:hint="default" w:ascii="Times New Roman" w:hAnsi="Times New Roman" w:eastAsia="黑体" w:cs="Times New Roman"/>
              <w:sz w:val="28"/>
              <w:szCs w:val="28"/>
              <w:highlight w:val="none"/>
              <w14:ligatures w14:val="standardContextual"/>
            </w:rPr>
            <w:t xml:space="preserve">  打造高品质和谐幸福桦川</w:t>
          </w:r>
          <w:r>
            <w:rPr>
              <w:sz w:val="28"/>
              <w:szCs w:val="28"/>
            </w:rPr>
            <w:tab/>
          </w:r>
          <w:r>
            <w:rPr>
              <w:sz w:val="28"/>
              <w:szCs w:val="28"/>
            </w:rPr>
            <w:t>- 9</w:t>
          </w:r>
          <w:r>
            <w:rPr>
              <w:rFonts w:hint="eastAsia"/>
              <w:sz w:val="28"/>
              <w:szCs w:val="28"/>
              <w:lang w:val="en-US" w:eastAsia="zh-CN"/>
            </w:rPr>
            <w:t>0</w:t>
          </w:r>
          <w:r>
            <w:rPr>
              <w:sz w:val="28"/>
              <w:szCs w:val="28"/>
            </w:rPr>
            <w:t xml:space="preserve"> -</w:t>
          </w:r>
        </w:p>
        <w:p w14:paraId="368E1FE3">
          <w:pPr>
            <w:pStyle w:val="21"/>
            <w:tabs>
              <w:tab w:val="right" w:leader="dot" w:pos="8306"/>
              <w:tab w:val="clear" w:pos="8296"/>
            </w:tabs>
            <w:rPr>
              <w:rFonts w:hint="eastAsia" w:eastAsia="楷体_GB2312"/>
              <w:sz w:val="28"/>
              <w:szCs w:val="28"/>
              <w:lang w:val="en-US" w:eastAsia="zh-CN"/>
            </w:rPr>
          </w:pPr>
          <w:r>
            <w:rPr>
              <w:rFonts w:hint="default" w:ascii="Times New Roman" w:hAnsi="Times New Roman" w:eastAsia="楷体" w:cs="Times New Roman"/>
              <w:sz w:val="28"/>
              <w:szCs w:val="28"/>
              <w:highlight w:val="none"/>
              <w14:ligatures w14:val="standardContextual"/>
            </w:rPr>
            <w:t>第一</w:t>
          </w:r>
          <w:r>
            <w:rPr>
              <w:rFonts w:hint="default" w:ascii="Times New Roman" w:hAnsi="Times New Roman" w:eastAsia="楷体" w:cs="Times New Roman"/>
              <w:sz w:val="28"/>
              <w:szCs w:val="28"/>
              <w:highlight w:val="none"/>
              <w:lang w:eastAsia="zh"/>
              <w14:ligatures w14:val="standardContextual"/>
              <w:woUserID w:val="0"/>
            </w:rPr>
            <w:t>章</w:t>
          </w:r>
          <w:r>
            <w:rPr>
              <w:rFonts w:hint="default" w:ascii="Times New Roman" w:hAnsi="Times New Roman" w:eastAsia="楷体" w:cs="Times New Roman"/>
              <w:sz w:val="28"/>
              <w:szCs w:val="28"/>
              <w:highlight w:val="none"/>
              <w14:ligatures w14:val="standardContextual"/>
            </w:rPr>
            <w:t xml:space="preserve"> 建设高质量教育体系</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- 9</w:t>
          </w:r>
          <w:r>
            <w:rPr>
              <w:rFonts w:hint="eastAsia" w:ascii="Times New Roman" w:hAnsi="Times New Roman" w:eastAsia="仿宋_GB2312" w:cs="Times New Roman"/>
              <w:kern w:val="2"/>
              <w:sz w:val="28"/>
              <w:szCs w:val="28"/>
              <w:lang w:val="en-US" w:eastAsia="zh-CN" w:bidi="ar-SA"/>
            </w:rPr>
            <w:t>0</w:t>
          </w:r>
          <w:r>
            <w:rPr>
              <w:rFonts w:ascii="Times New Roman" w:hAnsi="Times New Roman" w:eastAsia="仿宋_GB2312" w:cs="Times New Roman"/>
              <w:kern w:val="2"/>
              <w:sz w:val="28"/>
              <w:szCs w:val="28"/>
              <w:lang w:val="en-US" w:eastAsia="zh-CN" w:bidi="ar-SA"/>
            </w:rPr>
            <w:t xml:space="preserve"> -</w:t>
          </w:r>
        </w:p>
        <w:p w14:paraId="25B78869">
          <w:pPr>
            <w:pStyle w:val="13"/>
            <w:tabs>
              <w:tab w:val="right" w:leader="dot" w:pos="8306"/>
            </w:tabs>
            <w:rPr>
              <w:rFonts w:hint="eastAsia" w:eastAsia="仿宋_GB2312"/>
              <w:sz w:val="28"/>
              <w:szCs w:val="28"/>
              <w:lang w:val="en-US" w:eastAsia="zh-CN"/>
            </w:rPr>
          </w:pPr>
          <w:r>
            <w:rPr>
              <w:rFonts w:hint="default" w:ascii="Times New Roman" w:hAnsi="Times New Roman" w:eastAsia="仿宋_GB2312" w:cs="Times New Roman"/>
              <w:bCs/>
              <w:sz w:val="28"/>
              <w:szCs w:val="28"/>
              <w:highlight w:val="none"/>
              <w:lang w:eastAsia="zh" w:bidi="ar"/>
              <w:woUserID w:val="0"/>
            </w:rPr>
            <w:t>第一节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夯实教育优质均衡根基</w:t>
          </w:r>
          <w:r>
            <w:rPr>
              <w:sz w:val="28"/>
              <w:szCs w:val="28"/>
            </w:rPr>
            <w:tab/>
          </w:r>
          <w:r>
            <w:rPr>
              <w:sz w:val="28"/>
              <w:szCs w:val="28"/>
            </w:rPr>
            <w:t>- 9</w:t>
          </w:r>
          <w:r>
            <w:rPr>
              <w:rFonts w:hint="eastAsia"/>
              <w:sz w:val="28"/>
              <w:szCs w:val="28"/>
              <w:lang w:val="en-US" w:eastAsia="zh-CN"/>
            </w:rPr>
            <w:t>0</w:t>
          </w:r>
          <w:r>
            <w:rPr>
              <w:sz w:val="28"/>
              <w:szCs w:val="28"/>
            </w:rPr>
            <w:t xml:space="preserve"> -</w:t>
          </w:r>
        </w:p>
        <w:p w14:paraId="6D8A45AC">
          <w:pPr>
            <w:pStyle w:val="13"/>
            <w:tabs>
              <w:tab w:val="right" w:leader="dot" w:pos="8306"/>
            </w:tabs>
            <w:rPr>
              <w:rFonts w:hint="eastAsia" w:eastAsia="仿宋_GB2312"/>
              <w:sz w:val="28"/>
              <w:szCs w:val="28"/>
              <w:lang w:val="en-US" w:eastAsia="zh-CN"/>
            </w:rPr>
          </w:pPr>
          <w:r>
            <w:rPr>
              <w:rFonts w:hint="default" w:ascii="Times New Roman" w:hAnsi="Times New Roman" w:eastAsia="仿宋_GB2312" w:cs="Times New Roman"/>
              <w:bCs/>
              <w:sz w:val="28"/>
              <w:szCs w:val="28"/>
              <w:highlight w:val="none"/>
              <w:lang w:eastAsia="zh" w:bidi="ar"/>
              <w:woUserID w:val="0"/>
            </w:rPr>
            <w:t>第二节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优化高中教育资源配置</w:t>
          </w:r>
          <w:r>
            <w:rPr>
              <w:sz w:val="28"/>
              <w:szCs w:val="28"/>
            </w:rPr>
            <w:tab/>
          </w:r>
          <w:r>
            <w:rPr>
              <w:sz w:val="28"/>
              <w:szCs w:val="28"/>
            </w:rPr>
            <w:t>- 91 -</w:t>
          </w:r>
        </w:p>
        <w:p w14:paraId="776F8FDD">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发展现代职业教育</w:t>
          </w:r>
          <w:r>
            <w:rPr>
              <w:sz w:val="28"/>
              <w:szCs w:val="28"/>
            </w:rPr>
            <w:tab/>
          </w:r>
          <w:r>
            <w:rPr>
              <w:sz w:val="28"/>
              <w:szCs w:val="28"/>
            </w:rPr>
            <w:t>- 91 -</w:t>
          </w:r>
        </w:p>
        <w:p w14:paraId="0BC5902C">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14:ligatures w14:val="standardContextual"/>
            </w:rPr>
            <w:t>第二</w:t>
          </w:r>
          <w:r>
            <w:rPr>
              <w:rFonts w:hint="default" w:ascii="Times New Roman" w:hAnsi="Times New Roman" w:eastAsia="楷体" w:cs="Times New Roman"/>
              <w:sz w:val="28"/>
              <w:szCs w:val="28"/>
              <w:highlight w:val="none"/>
              <w:lang w:eastAsia="zh"/>
              <w14:ligatures w14:val="standardContextual"/>
              <w:woUserID w:val="0"/>
            </w:rPr>
            <w:t>章</w:t>
          </w:r>
          <w:r>
            <w:rPr>
              <w:rFonts w:hint="default" w:ascii="Times New Roman" w:hAnsi="Times New Roman" w:eastAsia="楷体" w:cs="Times New Roman"/>
              <w:sz w:val="28"/>
              <w:szCs w:val="28"/>
              <w:highlight w:val="none"/>
              <w14:ligatures w14:val="standardContextual"/>
            </w:rPr>
            <w:t xml:space="preserve"> 打造优质高效医疗卫生服务体系</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- 92 -</w:t>
          </w:r>
        </w:p>
        <w:p w14:paraId="08407B04">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推动区域医疗资源均衡布局</w:t>
          </w:r>
          <w:r>
            <w:rPr>
              <w:sz w:val="28"/>
              <w:szCs w:val="28"/>
            </w:rPr>
            <w:tab/>
          </w:r>
          <w:r>
            <w:rPr>
              <w:sz w:val="28"/>
              <w:szCs w:val="28"/>
            </w:rPr>
            <w:t>- 92 -</w:t>
          </w:r>
        </w:p>
        <w:p w14:paraId="2C238666">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强化公共卫生服务能力</w:t>
          </w:r>
          <w:r>
            <w:rPr>
              <w:sz w:val="28"/>
              <w:szCs w:val="28"/>
            </w:rPr>
            <w:tab/>
          </w:r>
          <w:r>
            <w:rPr>
              <w:sz w:val="28"/>
              <w:szCs w:val="28"/>
            </w:rPr>
            <w:t>- 93 -</w:t>
          </w:r>
        </w:p>
        <w:p w14:paraId="64F3CBB2">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推进全面健康数智化建设</w:t>
          </w:r>
          <w:r>
            <w:rPr>
              <w:sz w:val="28"/>
              <w:szCs w:val="28"/>
            </w:rPr>
            <w:tab/>
          </w:r>
          <w:r>
            <w:rPr>
              <w:sz w:val="28"/>
              <w:szCs w:val="28"/>
            </w:rPr>
            <w:t>- 94 -</w:t>
          </w:r>
        </w:p>
        <w:p w14:paraId="78D95CFE">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第四节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推进中医药传承创新</w:t>
          </w:r>
          <w:r>
            <w:rPr>
              <w:sz w:val="28"/>
              <w:szCs w:val="28"/>
            </w:rPr>
            <w:tab/>
          </w:r>
          <w:r>
            <w:rPr>
              <w:sz w:val="28"/>
              <w:szCs w:val="28"/>
            </w:rPr>
            <w:t>- 94 -</w:t>
          </w:r>
        </w:p>
        <w:p w14:paraId="46F39DEC">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14:ligatures w14:val="standardContextual"/>
            </w:rPr>
            <w:t>第三</w:t>
          </w:r>
          <w:r>
            <w:rPr>
              <w:rFonts w:hint="default" w:ascii="Times New Roman" w:hAnsi="Times New Roman" w:eastAsia="楷体" w:cs="Times New Roman"/>
              <w:sz w:val="28"/>
              <w:szCs w:val="28"/>
              <w:highlight w:val="none"/>
              <w:lang w:eastAsia="zh"/>
              <w14:ligatures w14:val="standardContextual"/>
              <w:woUserID w:val="0"/>
            </w:rPr>
            <w:t>章</w:t>
          </w:r>
          <w:r>
            <w:rPr>
              <w:rFonts w:hint="default" w:ascii="Times New Roman" w:hAnsi="Times New Roman" w:eastAsia="楷体" w:cs="Times New Roman"/>
              <w:sz w:val="28"/>
              <w:szCs w:val="28"/>
              <w:highlight w:val="none"/>
              <w14:ligatures w14:val="standardContextual"/>
            </w:rPr>
            <w:t xml:space="preserve"> 完善人口全生命周期服务体系</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- 95 -</w:t>
          </w:r>
        </w:p>
        <w:p w14:paraId="3F44E958">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完善生育托育服务体系</w:t>
          </w:r>
          <w:r>
            <w:rPr>
              <w:sz w:val="28"/>
              <w:szCs w:val="28"/>
            </w:rPr>
            <w:tab/>
          </w:r>
          <w:r>
            <w:rPr>
              <w:sz w:val="28"/>
              <w:szCs w:val="28"/>
            </w:rPr>
            <w:t>- 95 -</w:t>
          </w:r>
        </w:p>
        <w:p w14:paraId="12E2D06A">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提高养老服务水平</w:t>
          </w:r>
          <w:r>
            <w:rPr>
              <w:sz w:val="28"/>
              <w:szCs w:val="28"/>
            </w:rPr>
            <w:tab/>
          </w:r>
          <w:r>
            <w:rPr>
              <w:sz w:val="28"/>
              <w:szCs w:val="28"/>
            </w:rPr>
            <w:t>- 95 -</w:t>
          </w:r>
        </w:p>
        <w:p w14:paraId="0EBE214B">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提升殡葬公益服务质效</w:t>
          </w:r>
          <w:r>
            <w:rPr>
              <w:sz w:val="28"/>
              <w:szCs w:val="28"/>
            </w:rPr>
            <w:tab/>
          </w:r>
          <w:r>
            <w:rPr>
              <w:sz w:val="28"/>
              <w:szCs w:val="28"/>
            </w:rPr>
            <w:t>- 96 -</w:t>
          </w:r>
        </w:p>
        <w:p w14:paraId="21B10234">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第四节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巩固深化青年发展型城市建设</w:t>
          </w:r>
          <w:r>
            <w:rPr>
              <w:sz w:val="28"/>
              <w:szCs w:val="28"/>
            </w:rPr>
            <w:tab/>
          </w:r>
          <w:r>
            <w:rPr>
              <w:sz w:val="28"/>
              <w:szCs w:val="28"/>
            </w:rPr>
            <w:t>- 97 -</w:t>
          </w:r>
        </w:p>
        <w:p w14:paraId="50AC948B">
          <w:pPr>
            <w:pStyle w:val="21"/>
            <w:tabs>
              <w:tab w:val="right" w:leader="dot" w:pos="8306"/>
              <w:tab w:val="clear" w:pos="8296"/>
            </w:tabs>
            <w:rPr>
              <w:rFonts w:hint="eastAsia" w:eastAsia="楷体_GB2312"/>
              <w:sz w:val="28"/>
              <w:szCs w:val="28"/>
              <w:lang w:val="en-US" w:eastAsia="zh-CN"/>
            </w:rPr>
          </w:pPr>
          <w:r>
            <w:rPr>
              <w:rFonts w:hint="default" w:ascii="Times New Roman" w:hAnsi="Times New Roman" w:eastAsia="楷体" w:cs="Times New Roman"/>
              <w:sz w:val="28"/>
              <w:szCs w:val="28"/>
              <w:highlight w:val="none"/>
              <w14:ligatures w14:val="standardContextual"/>
            </w:rPr>
            <w:t>第四</w:t>
          </w:r>
          <w:r>
            <w:rPr>
              <w:rFonts w:hint="default" w:ascii="Times New Roman" w:hAnsi="Times New Roman" w:eastAsia="楷体" w:cs="Times New Roman"/>
              <w:sz w:val="28"/>
              <w:szCs w:val="28"/>
              <w:highlight w:val="none"/>
              <w:lang w:eastAsia="zh"/>
              <w14:ligatures w14:val="standardContextual"/>
              <w:woUserID w:val="0"/>
            </w:rPr>
            <w:t>章</w:t>
          </w:r>
          <w:r>
            <w:rPr>
              <w:rFonts w:hint="default" w:ascii="Times New Roman" w:hAnsi="Times New Roman" w:eastAsia="楷体" w:cs="Times New Roman"/>
              <w:sz w:val="28"/>
              <w:szCs w:val="28"/>
              <w:highlight w:val="none"/>
              <w14:ligatures w14:val="standardContextual"/>
            </w:rPr>
            <w:t xml:space="preserve"> 促进高质量充分就业</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- 97 -</w:t>
          </w:r>
        </w:p>
        <w:p w14:paraId="3E675F00">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强化应用职业技能培训</w:t>
          </w:r>
          <w:r>
            <w:rPr>
              <w:sz w:val="28"/>
              <w:szCs w:val="28"/>
            </w:rPr>
            <w:tab/>
          </w:r>
          <w:r>
            <w:rPr>
              <w:sz w:val="28"/>
              <w:szCs w:val="28"/>
            </w:rPr>
            <w:t>- 97 -</w:t>
          </w:r>
        </w:p>
        <w:p w14:paraId="614BCEBF">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健全就业创业服务体系</w:t>
          </w:r>
          <w:r>
            <w:rPr>
              <w:sz w:val="28"/>
              <w:szCs w:val="28"/>
            </w:rPr>
            <w:tab/>
          </w:r>
          <w:r>
            <w:rPr>
              <w:sz w:val="28"/>
              <w:szCs w:val="28"/>
            </w:rPr>
            <w:t>- 98 -</w:t>
          </w:r>
        </w:p>
        <w:p w14:paraId="62D65BEB">
          <w:pPr>
            <w:pStyle w:val="13"/>
            <w:tabs>
              <w:tab w:val="right" w:leader="dot" w:pos="8306"/>
            </w:tabs>
            <w:rPr>
              <w:rFonts w:hint="eastAsia" w:eastAsia="仿宋_GB2312"/>
              <w:sz w:val="28"/>
              <w:szCs w:val="28"/>
              <w:lang w:val="en-US" w:eastAsia="zh-CN"/>
            </w:rPr>
          </w:pPr>
          <w:r>
            <w:rPr>
              <w:rFonts w:hint="default" w:ascii="Times New Roman" w:hAnsi="Times New Roman" w:eastAsia="仿宋_GB2312" w:cs="Times New Roman"/>
              <w:bCs/>
              <w:sz w:val="28"/>
              <w:szCs w:val="28"/>
              <w:highlight w:val="none"/>
              <w:lang w:eastAsia="zh" w:bidi="ar"/>
              <w:woUserID w:val="0"/>
            </w:rPr>
            <w:t>第三节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加强劳动关系治理与劳动者权益保障</w:t>
          </w:r>
          <w:r>
            <w:rPr>
              <w:sz w:val="28"/>
              <w:szCs w:val="28"/>
            </w:rPr>
            <w:tab/>
          </w:r>
          <w:r>
            <w:rPr>
              <w:sz w:val="28"/>
              <w:szCs w:val="28"/>
            </w:rPr>
            <w:t>- 9</w:t>
          </w:r>
          <w:r>
            <w:rPr>
              <w:rFonts w:hint="eastAsia"/>
              <w:sz w:val="28"/>
              <w:szCs w:val="28"/>
              <w:lang w:val="en-US" w:eastAsia="zh-CN"/>
            </w:rPr>
            <w:t>9</w:t>
          </w:r>
          <w:r>
            <w:rPr>
              <w:sz w:val="28"/>
              <w:szCs w:val="28"/>
            </w:rPr>
            <w:t xml:space="preserve"> -</w:t>
          </w:r>
        </w:p>
        <w:p w14:paraId="3CE1CADF">
          <w:pPr>
            <w:pStyle w:val="21"/>
            <w:tabs>
              <w:tab w:val="right" w:leader="dot" w:pos="8306"/>
              <w:tab w:val="clear" w:pos="8296"/>
            </w:tabs>
            <w:rPr>
              <w:rFonts w:hint="eastAsia" w:eastAsia="楷体_GB2312"/>
              <w:sz w:val="28"/>
              <w:szCs w:val="28"/>
              <w:lang w:val="en-US" w:eastAsia="zh-CN"/>
            </w:rPr>
          </w:pPr>
          <w:r>
            <w:rPr>
              <w:rFonts w:hint="default" w:ascii="Times New Roman" w:hAnsi="Times New Roman" w:eastAsia="楷体" w:cs="Times New Roman"/>
              <w:sz w:val="28"/>
              <w:szCs w:val="28"/>
              <w:highlight w:val="none"/>
              <w14:ligatures w14:val="standardContextual"/>
            </w:rPr>
            <w:t>第五</w:t>
          </w:r>
          <w:r>
            <w:rPr>
              <w:rFonts w:hint="default" w:ascii="Times New Roman" w:hAnsi="Times New Roman" w:eastAsia="楷体" w:cs="Times New Roman"/>
              <w:sz w:val="28"/>
              <w:szCs w:val="28"/>
              <w:highlight w:val="none"/>
              <w:lang w:eastAsia="zh"/>
              <w14:ligatures w14:val="standardContextual"/>
              <w:woUserID w:val="0"/>
            </w:rPr>
            <w:t>章</w:t>
          </w:r>
          <w:r>
            <w:rPr>
              <w:rFonts w:hint="default" w:ascii="Times New Roman" w:hAnsi="Times New Roman" w:eastAsia="楷体" w:cs="Times New Roman"/>
              <w:sz w:val="28"/>
              <w:szCs w:val="28"/>
              <w:highlight w:val="none"/>
              <w14:ligatures w14:val="standardContextual"/>
            </w:rPr>
            <w:t xml:space="preserve"> 筑牢织密社会保障网</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xml:space="preserve">- </w:t>
          </w:r>
          <w:r>
            <w:rPr>
              <w:rFonts w:hint="eastAsia" w:ascii="Times New Roman" w:hAnsi="Times New Roman" w:eastAsia="仿宋_GB2312" w:cs="Times New Roman"/>
              <w:kern w:val="2"/>
              <w:sz w:val="28"/>
              <w:szCs w:val="28"/>
              <w:lang w:val="en-US" w:eastAsia="zh-CN" w:bidi="ar-SA"/>
            </w:rPr>
            <w:t>100</w:t>
          </w:r>
          <w:r>
            <w:rPr>
              <w:rFonts w:ascii="Times New Roman" w:hAnsi="Times New Roman" w:eastAsia="仿宋_GB2312" w:cs="Times New Roman"/>
              <w:kern w:val="2"/>
              <w:sz w:val="28"/>
              <w:szCs w:val="28"/>
              <w:lang w:val="en-US" w:eastAsia="zh-CN" w:bidi="ar-SA"/>
            </w:rPr>
            <w:t xml:space="preserve"> -</w:t>
          </w:r>
        </w:p>
        <w:p w14:paraId="2BEE917F">
          <w:pPr>
            <w:pStyle w:val="13"/>
            <w:tabs>
              <w:tab w:val="right" w:leader="dot" w:pos="8306"/>
            </w:tabs>
            <w:rPr>
              <w:rFonts w:hint="eastAsia" w:eastAsia="仿宋_GB2312"/>
              <w:sz w:val="28"/>
              <w:szCs w:val="28"/>
              <w:lang w:val="en-US" w:eastAsia="zh-CN"/>
            </w:rPr>
          </w:pPr>
          <w:r>
            <w:rPr>
              <w:rFonts w:hint="default" w:ascii="Times New Roman" w:hAnsi="Times New Roman" w:eastAsia="仿宋_GB2312" w:cs="Times New Roman"/>
              <w:bCs/>
              <w:sz w:val="28"/>
              <w:szCs w:val="28"/>
              <w:highlight w:val="none"/>
              <w:lang w:eastAsia="zh" w:bidi="ar"/>
              <w:woUserID w:val="0"/>
            </w:rPr>
            <w:t>第一节</w:t>
          </w:r>
          <w:r>
            <w:rPr>
              <w:rFonts w:hint="default" w:ascii="Times New Roman" w:hAnsi="Times New Roman" w:eastAsia="仿宋_GB2312" w:cs="Times New Roman"/>
              <w:bCs/>
              <w:sz w:val="28"/>
              <w:szCs w:val="28"/>
              <w:highlight w:val="none"/>
              <w:lang w:val="en-US"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强化社会保险兜底保障能力建设</w:t>
          </w:r>
          <w:r>
            <w:rPr>
              <w:sz w:val="28"/>
              <w:szCs w:val="28"/>
            </w:rPr>
            <w:tab/>
          </w:r>
          <w:r>
            <w:rPr>
              <w:sz w:val="28"/>
              <w:szCs w:val="28"/>
              <w:lang w:val="en-US" w:eastAsia="zh-CN"/>
            </w:rPr>
            <w:t xml:space="preserve">- </w:t>
          </w:r>
          <w:r>
            <w:rPr>
              <w:rFonts w:hint="eastAsia"/>
              <w:sz w:val="28"/>
              <w:szCs w:val="28"/>
              <w:lang w:val="en-US" w:eastAsia="zh-CN"/>
            </w:rPr>
            <w:t>100</w:t>
          </w:r>
          <w:r>
            <w:rPr>
              <w:sz w:val="28"/>
              <w:szCs w:val="28"/>
              <w:lang w:val="en-US" w:eastAsia="zh-CN"/>
            </w:rPr>
            <w:t xml:space="preserve"> -</w:t>
          </w:r>
        </w:p>
        <w:p w14:paraId="79CC50F1">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健全社会救助和社会福利体系</w:t>
          </w:r>
          <w:r>
            <w:rPr>
              <w:sz w:val="28"/>
              <w:szCs w:val="28"/>
            </w:rPr>
            <w:tab/>
          </w:r>
          <w:r>
            <w:rPr>
              <w:sz w:val="28"/>
              <w:szCs w:val="28"/>
            </w:rPr>
            <w:t>- 100 -</w:t>
          </w:r>
        </w:p>
        <w:p w14:paraId="0FE80527">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完善住房保障体系</w:t>
          </w:r>
          <w:r>
            <w:rPr>
              <w:sz w:val="28"/>
              <w:szCs w:val="28"/>
            </w:rPr>
            <w:tab/>
          </w:r>
          <w:r>
            <w:rPr>
              <w:sz w:val="28"/>
              <w:szCs w:val="28"/>
            </w:rPr>
            <w:t>- 101 -</w:t>
          </w:r>
        </w:p>
        <w:p w14:paraId="1928C5DC">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14:ligatures w14:val="standardContextual"/>
            </w:rPr>
            <w:t>第六</w:t>
          </w:r>
          <w:r>
            <w:rPr>
              <w:rFonts w:hint="default" w:ascii="Times New Roman" w:hAnsi="Times New Roman" w:eastAsia="楷体" w:cs="Times New Roman"/>
              <w:sz w:val="28"/>
              <w:szCs w:val="28"/>
              <w:highlight w:val="none"/>
              <w:lang w:eastAsia="zh"/>
              <w14:ligatures w14:val="standardContextual"/>
              <w:woUserID w:val="0"/>
            </w:rPr>
            <w:t>章</w:t>
          </w:r>
          <w:r>
            <w:rPr>
              <w:rFonts w:hint="default" w:ascii="Times New Roman" w:hAnsi="Times New Roman" w:eastAsia="楷体" w:cs="Times New Roman"/>
              <w:sz w:val="28"/>
              <w:szCs w:val="28"/>
              <w:highlight w:val="none"/>
              <w14:ligatures w14:val="standardContextual"/>
            </w:rPr>
            <w:t xml:space="preserve"> 提升公共文化服务水平</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- 101 -</w:t>
          </w:r>
        </w:p>
        <w:p w14:paraId="3287A8C1">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完善全域文化设施网络</w:t>
          </w:r>
          <w:r>
            <w:rPr>
              <w:sz w:val="28"/>
              <w:szCs w:val="28"/>
            </w:rPr>
            <w:tab/>
          </w:r>
          <w:r>
            <w:rPr>
              <w:sz w:val="28"/>
              <w:szCs w:val="28"/>
            </w:rPr>
            <w:t>- 101 -</w:t>
          </w:r>
        </w:p>
        <w:p w14:paraId="5DE25686">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加强文化遗产保护与传承</w:t>
          </w:r>
          <w:r>
            <w:rPr>
              <w:sz w:val="28"/>
              <w:szCs w:val="28"/>
            </w:rPr>
            <w:tab/>
          </w:r>
          <w:r>
            <w:rPr>
              <w:sz w:val="28"/>
              <w:szCs w:val="28"/>
            </w:rPr>
            <w:t>- 102 -</w:t>
          </w:r>
        </w:p>
        <w:p w14:paraId="0DE6AA4E">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发展公共体育事业</w:t>
          </w:r>
          <w:r>
            <w:rPr>
              <w:sz w:val="28"/>
              <w:szCs w:val="28"/>
            </w:rPr>
            <w:tab/>
          </w:r>
          <w:r>
            <w:rPr>
              <w:sz w:val="28"/>
              <w:szCs w:val="28"/>
            </w:rPr>
            <w:t>- 103 -</w:t>
          </w:r>
        </w:p>
        <w:p w14:paraId="04AB1D18">
          <w:pPr>
            <w:pStyle w:val="18"/>
            <w:tabs>
              <w:tab w:val="right" w:leader="dot" w:pos="8306"/>
              <w:tab w:val="clear" w:pos="8296"/>
            </w:tabs>
            <w:rPr>
              <w:sz w:val="28"/>
              <w:szCs w:val="28"/>
            </w:rPr>
          </w:pPr>
          <w:r>
            <w:rPr>
              <w:rFonts w:hint="default" w:ascii="Times New Roman" w:hAnsi="Times New Roman" w:eastAsia="黑体" w:cs="Times New Roman"/>
              <w:sz w:val="28"/>
              <w:szCs w:val="28"/>
              <w:highlight w:val="none"/>
              <w14:ligatures w14:val="standardContextual"/>
            </w:rPr>
            <w:t>第八</w:t>
          </w:r>
          <w:r>
            <w:rPr>
              <w:rFonts w:hint="default" w:ascii="Times New Roman" w:hAnsi="Times New Roman" w:eastAsia="黑体" w:cs="Times New Roman"/>
              <w:sz w:val="28"/>
              <w:szCs w:val="28"/>
              <w:highlight w:val="none"/>
              <w:lang w:eastAsia="zh"/>
              <w14:ligatures w14:val="standardContextual"/>
              <w:woUserID w:val="0"/>
            </w:rPr>
            <w:t>篇</w:t>
          </w:r>
          <w:r>
            <w:rPr>
              <w:rFonts w:hint="default" w:ascii="Times New Roman" w:hAnsi="Times New Roman" w:eastAsia="黑体" w:cs="Times New Roman"/>
              <w:sz w:val="28"/>
              <w:szCs w:val="28"/>
              <w:highlight w:val="none"/>
              <w14:ligatures w14:val="standardContextual"/>
            </w:rPr>
            <w:t xml:space="preserve"> </w:t>
          </w:r>
          <w:r>
            <w:rPr>
              <w:rFonts w:hint="default" w:ascii="Times New Roman" w:hAnsi="Times New Roman" w:eastAsia="黑体" w:cs="Times New Roman"/>
              <w:sz w:val="28"/>
              <w:szCs w:val="28"/>
              <w:highlight w:val="none"/>
              <w:lang w:val="en-US" w:eastAsia="zh-CN"/>
              <w14:ligatures w14:val="standardContextual"/>
            </w:rPr>
            <w:t>加快绿色转型升级</w:t>
          </w:r>
          <w:r>
            <w:rPr>
              <w:rFonts w:hint="default" w:ascii="Times New Roman" w:hAnsi="Times New Roman" w:eastAsia="黑体" w:cs="Times New Roman"/>
              <w:sz w:val="28"/>
              <w:szCs w:val="28"/>
              <w:highlight w:val="none"/>
              <w14:ligatures w14:val="standardContextual"/>
            </w:rPr>
            <w:t xml:space="preserve">  争创生态文明建设示范区</w:t>
          </w:r>
          <w:r>
            <w:rPr>
              <w:sz w:val="28"/>
              <w:szCs w:val="28"/>
            </w:rPr>
            <w:tab/>
          </w:r>
          <w:r>
            <w:rPr>
              <w:sz w:val="28"/>
              <w:szCs w:val="28"/>
            </w:rPr>
            <w:t>- 105 -</w:t>
          </w:r>
        </w:p>
        <w:p w14:paraId="203747A7">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14:ligatures w14:val="standardContextual"/>
            </w:rPr>
            <w:t>第</w:t>
          </w:r>
          <w:r>
            <w:rPr>
              <w:rFonts w:hint="default" w:ascii="Times New Roman" w:hAnsi="Times New Roman" w:eastAsia="楷体" w:cs="Times New Roman"/>
              <w:sz w:val="28"/>
              <w:szCs w:val="28"/>
              <w:highlight w:val="none"/>
              <w:lang w:eastAsia="zh"/>
              <w14:ligatures w14:val="standardContextual"/>
            </w:rPr>
            <w:t>一</w:t>
          </w:r>
          <w:r>
            <w:rPr>
              <w:rFonts w:hint="default" w:ascii="Times New Roman" w:hAnsi="Times New Roman" w:eastAsia="楷体" w:cs="Times New Roman"/>
              <w:sz w:val="28"/>
              <w:szCs w:val="28"/>
              <w:highlight w:val="none"/>
              <w:lang w:eastAsia="zh"/>
              <w14:ligatures w14:val="standardContextual"/>
              <w:woUserID w:val="0"/>
            </w:rPr>
            <w:t>章</w:t>
          </w:r>
          <w:r>
            <w:rPr>
              <w:rFonts w:hint="default" w:ascii="Times New Roman" w:hAnsi="Times New Roman" w:eastAsia="楷体" w:cs="Times New Roman"/>
              <w:sz w:val="28"/>
              <w:szCs w:val="28"/>
              <w:highlight w:val="none"/>
              <w14:ligatures w14:val="standardContextual"/>
            </w:rPr>
            <w:t xml:space="preserve"> 打造生态宜居新样板</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- 105 -</w:t>
          </w:r>
        </w:p>
        <w:p w14:paraId="0CA03758">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深入打好蓝天保卫战</w:t>
          </w:r>
          <w:r>
            <w:rPr>
              <w:sz w:val="28"/>
              <w:szCs w:val="28"/>
            </w:rPr>
            <w:tab/>
          </w:r>
          <w:r>
            <w:rPr>
              <w:sz w:val="28"/>
              <w:szCs w:val="28"/>
            </w:rPr>
            <w:t>- 105 -</w:t>
          </w:r>
        </w:p>
        <w:p w14:paraId="49B95E67">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深入打好碧水保卫战</w:t>
          </w:r>
          <w:r>
            <w:rPr>
              <w:sz w:val="28"/>
              <w:szCs w:val="28"/>
            </w:rPr>
            <w:tab/>
          </w:r>
          <w:r>
            <w:rPr>
              <w:sz w:val="28"/>
              <w:szCs w:val="28"/>
            </w:rPr>
            <w:t>- 106 -</w:t>
          </w:r>
        </w:p>
        <w:p w14:paraId="47264632">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深入打好净土保卫战</w:t>
          </w:r>
          <w:r>
            <w:rPr>
              <w:sz w:val="28"/>
              <w:szCs w:val="28"/>
            </w:rPr>
            <w:tab/>
          </w:r>
          <w:r>
            <w:rPr>
              <w:sz w:val="28"/>
              <w:szCs w:val="28"/>
            </w:rPr>
            <w:t>- 107 -</w:t>
          </w:r>
        </w:p>
        <w:p w14:paraId="3382403B">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lang w:eastAsia="zh"/>
              <w14:ligatures w14:val="standardContextual"/>
            </w:rPr>
            <w:t>第二章</w:t>
          </w:r>
          <w:r>
            <w:rPr>
              <w:rFonts w:hint="default" w:ascii="Times New Roman" w:hAnsi="Times New Roman" w:eastAsia="楷体" w:cs="Times New Roman"/>
              <w:sz w:val="28"/>
              <w:szCs w:val="28"/>
              <w:highlight w:val="none"/>
              <w14:ligatures w14:val="standardContextual"/>
            </w:rPr>
            <w:t xml:space="preserve"> 提升重点流域水系生态质量</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- 108 -</w:t>
          </w:r>
        </w:p>
        <w:p w14:paraId="2AC82BF6">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加强重点流域生态环境保护</w:t>
          </w:r>
          <w:r>
            <w:rPr>
              <w:sz w:val="28"/>
              <w:szCs w:val="28"/>
            </w:rPr>
            <w:tab/>
          </w:r>
          <w:r>
            <w:rPr>
              <w:sz w:val="28"/>
              <w:szCs w:val="28"/>
            </w:rPr>
            <w:t>- 108 -</w:t>
          </w:r>
        </w:p>
        <w:p w14:paraId="4715CDF1">
          <w:pPr>
            <w:pStyle w:val="13"/>
            <w:tabs>
              <w:tab w:val="right" w:leader="dot" w:pos="8306"/>
            </w:tabs>
            <w:rPr>
              <w:rFonts w:hint="eastAsia" w:eastAsia="仿宋_GB2312"/>
              <w:sz w:val="28"/>
              <w:szCs w:val="28"/>
              <w:lang w:val="en-US" w:eastAsia="zh-CN"/>
            </w:rPr>
          </w:pPr>
          <w:r>
            <w:rPr>
              <w:rFonts w:hint="default" w:ascii="Times New Roman" w:hAnsi="Times New Roman" w:eastAsia="仿宋_GB2312" w:cs="Times New Roman"/>
              <w:bCs/>
              <w:sz w:val="28"/>
              <w:szCs w:val="28"/>
              <w:highlight w:val="none"/>
              <w:lang w:eastAsia="zh" w:bidi="ar"/>
              <w:woUserID w:val="0"/>
            </w:rPr>
            <w:t>第二节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深入推进重点流域水系综合治理</w:t>
          </w:r>
          <w:r>
            <w:rPr>
              <w:sz w:val="28"/>
              <w:szCs w:val="28"/>
            </w:rPr>
            <w:tab/>
          </w:r>
          <w:r>
            <w:rPr>
              <w:sz w:val="28"/>
              <w:szCs w:val="28"/>
            </w:rPr>
            <w:t>- 108 -</w:t>
          </w:r>
        </w:p>
        <w:p w14:paraId="08775402">
          <w:pPr>
            <w:pStyle w:val="13"/>
            <w:tabs>
              <w:tab w:val="right" w:leader="dot" w:pos="8306"/>
            </w:tabs>
            <w:rPr>
              <w:rFonts w:hint="eastAsia" w:eastAsia="仿宋_GB2312"/>
              <w:sz w:val="28"/>
              <w:szCs w:val="28"/>
              <w:lang w:val="en-US" w:eastAsia="zh-CN"/>
            </w:rPr>
          </w:pPr>
          <w:r>
            <w:rPr>
              <w:rFonts w:hint="default" w:ascii="Times New Roman" w:hAnsi="Times New Roman" w:eastAsia="仿宋_GB2312" w:cs="Times New Roman"/>
              <w:bCs/>
              <w:sz w:val="28"/>
              <w:szCs w:val="28"/>
              <w:highlight w:val="none"/>
              <w:lang w:eastAsia="zh" w:bidi="ar"/>
              <w:woUserID w:val="0"/>
            </w:rPr>
            <w:t>第三节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加强重点河湖流域生物多样性保护</w:t>
          </w:r>
          <w:r>
            <w:rPr>
              <w:sz w:val="28"/>
              <w:szCs w:val="28"/>
            </w:rPr>
            <w:tab/>
          </w:r>
          <w:r>
            <w:rPr>
              <w:sz w:val="28"/>
              <w:szCs w:val="28"/>
            </w:rPr>
            <w:t>- 109 -</w:t>
          </w:r>
        </w:p>
        <w:p w14:paraId="75B3E690">
          <w:pPr>
            <w:pStyle w:val="21"/>
            <w:tabs>
              <w:tab w:val="right" w:leader="dot" w:pos="8306"/>
              <w:tab w:val="clear" w:pos="8296"/>
            </w:tabs>
            <w:rPr>
              <w:rFonts w:hint="eastAsia" w:eastAsia="楷体_GB2312"/>
              <w:sz w:val="28"/>
              <w:szCs w:val="28"/>
              <w:lang w:val="en-US" w:eastAsia="zh-CN"/>
            </w:rPr>
          </w:pPr>
          <w:r>
            <w:rPr>
              <w:rFonts w:hint="default" w:ascii="Times New Roman" w:hAnsi="Times New Roman" w:eastAsia="楷体" w:cs="Times New Roman"/>
              <w:sz w:val="28"/>
              <w:szCs w:val="28"/>
              <w:highlight w:val="none"/>
              <w:lang w:eastAsia="zh"/>
              <w14:ligatures w14:val="standardContextual"/>
            </w:rPr>
            <w:t>第三章</w:t>
          </w:r>
          <w:r>
            <w:rPr>
              <w:rFonts w:hint="default" w:ascii="Times New Roman" w:hAnsi="Times New Roman" w:eastAsia="楷体" w:cs="Times New Roman"/>
              <w:sz w:val="28"/>
              <w:szCs w:val="28"/>
              <w:highlight w:val="none"/>
              <w14:ligatures w14:val="standardContextual"/>
            </w:rPr>
            <w:t xml:space="preserve"> 探索生态价值转化新路径</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- 110 -</w:t>
          </w:r>
        </w:p>
        <w:p w14:paraId="30FB27C3">
          <w:pPr>
            <w:pStyle w:val="13"/>
            <w:tabs>
              <w:tab w:val="right" w:leader="dot" w:pos="8306"/>
            </w:tabs>
            <w:rPr>
              <w:rFonts w:hint="eastAsia" w:eastAsia="仿宋_GB2312"/>
              <w:sz w:val="28"/>
              <w:szCs w:val="28"/>
              <w:lang w:val="en-US" w:eastAsia="zh-CN"/>
            </w:rPr>
          </w:pPr>
          <w:r>
            <w:rPr>
              <w:rFonts w:hint="default" w:ascii="Times New Roman" w:hAnsi="Times New Roman" w:eastAsia="仿宋_GB2312" w:cs="Times New Roman"/>
              <w:bCs/>
              <w:sz w:val="28"/>
              <w:szCs w:val="28"/>
              <w:highlight w:val="none"/>
              <w:lang w:val="en-US" w:eastAsia="zh" w:bidi="ar"/>
              <w:woUserID w:val="0"/>
            </w:rPr>
            <w:t xml:space="preserve">第一节 </w:t>
          </w:r>
          <w:r>
            <w:rPr>
              <w:rFonts w:hint="default" w:ascii="Times New Roman" w:hAnsi="Times New Roman" w:eastAsia="仿宋_GB2312" w:cs="Times New Roman"/>
              <w:bCs/>
              <w:sz w:val="28"/>
              <w:szCs w:val="28"/>
              <w:highlight w:val="none"/>
              <w:lang w:eastAsia="zh" w:bidi="ar"/>
              <w:woUserID w:val="0"/>
            </w:rPr>
            <w:t>建立健全生态产品价值实现机制</w:t>
          </w:r>
          <w:r>
            <w:rPr>
              <w:sz w:val="28"/>
              <w:szCs w:val="28"/>
            </w:rPr>
            <w:tab/>
          </w:r>
          <w:r>
            <w:rPr>
              <w:sz w:val="28"/>
              <w:szCs w:val="28"/>
            </w:rPr>
            <w:t>- 110 -</w:t>
          </w:r>
        </w:p>
        <w:p w14:paraId="2C0ADF89">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14:ligatures w14:val="standardContextual"/>
            </w:rPr>
            <w:t>第四</w:t>
          </w:r>
          <w:r>
            <w:rPr>
              <w:rFonts w:hint="default" w:ascii="Times New Roman" w:hAnsi="Times New Roman" w:eastAsia="楷体" w:cs="Times New Roman"/>
              <w:sz w:val="28"/>
              <w:szCs w:val="28"/>
              <w:highlight w:val="none"/>
              <w:lang w:eastAsia="zh"/>
              <w14:ligatures w14:val="standardContextual"/>
              <w:woUserID w:val="0"/>
            </w:rPr>
            <w:t>章</w:t>
          </w:r>
          <w:r>
            <w:rPr>
              <w:rFonts w:hint="default" w:ascii="Times New Roman" w:hAnsi="Times New Roman" w:eastAsia="楷体" w:cs="Times New Roman"/>
              <w:sz w:val="28"/>
              <w:szCs w:val="28"/>
              <w:highlight w:val="none"/>
              <w14:ligatures w14:val="standardContextual"/>
            </w:rPr>
            <w:t xml:space="preserve"> 加快经济社会发展全面绿色转型</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- 110 -</w:t>
          </w:r>
        </w:p>
        <w:p w14:paraId="4EC7E31A">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提升产业绿色低碳发展水平</w:t>
          </w:r>
          <w:r>
            <w:rPr>
              <w:sz w:val="28"/>
              <w:szCs w:val="28"/>
            </w:rPr>
            <w:tab/>
          </w:r>
          <w:r>
            <w:rPr>
              <w:sz w:val="28"/>
              <w:szCs w:val="28"/>
            </w:rPr>
            <w:t>- 110 -</w:t>
          </w:r>
        </w:p>
        <w:p w14:paraId="175C9321">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倡导绿色生活方式</w:t>
          </w:r>
          <w:r>
            <w:rPr>
              <w:sz w:val="28"/>
              <w:szCs w:val="28"/>
            </w:rPr>
            <w:tab/>
          </w:r>
          <w:r>
            <w:rPr>
              <w:sz w:val="28"/>
              <w:szCs w:val="28"/>
            </w:rPr>
            <w:t>- 111 -</w:t>
          </w:r>
        </w:p>
        <w:p w14:paraId="0E46A92D">
          <w:pPr>
            <w:pStyle w:val="18"/>
            <w:tabs>
              <w:tab w:val="right" w:leader="dot" w:pos="8306"/>
              <w:tab w:val="clear" w:pos="8296"/>
            </w:tabs>
            <w:rPr>
              <w:sz w:val="28"/>
              <w:szCs w:val="28"/>
            </w:rPr>
          </w:pPr>
          <w:r>
            <w:rPr>
              <w:rFonts w:hint="default" w:ascii="Times New Roman" w:hAnsi="Times New Roman" w:eastAsia="黑体" w:cs="Times New Roman"/>
              <w:sz w:val="28"/>
              <w:szCs w:val="28"/>
              <w:highlight w:val="none"/>
              <w14:ligatures w14:val="standardContextual"/>
            </w:rPr>
            <w:t>第九</w:t>
          </w:r>
          <w:r>
            <w:rPr>
              <w:rFonts w:hint="default" w:ascii="Times New Roman" w:hAnsi="Times New Roman" w:eastAsia="黑体" w:cs="Times New Roman"/>
              <w:sz w:val="28"/>
              <w:szCs w:val="28"/>
              <w:highlight w:val="none"/>
              <w:lang w:eastAsia="zh"/>
              <w14:ligatures w14:val="standardContextual"/>
              <w:woUserID w:val="0"/>
            </w:rPr>
            <w:t>篇</w:t>
          </w:r>
          <w:r>
            <w:rPr>
              <w:rFonts w:hint="default" w:ascii="Times New Roman" w:hAnsi="Times New Roman" w:eastAsia="黑体" w:cs="Times New Roman"/>
              <w:sz w:val="28"/>
              <w:szCs w:val="28"/>
              <w:highlight w:val="none"/>
              <w14:ligatures w14:val="standardContextual"/>
            </w:rPr>
            <w:t xml:space="preserve"> </w:t>
          </w:r>
          <w:r>
            <w:rPr>
              <w:rFonts w:hint="default" w:ascii="Times New Roman" w:hAnsi="Times New Roman" w:eastAsia="黑体" w:cs="Times New Roman"/>
              <w:sz w:val="28"/>
              <w:szCs w:val="28"/>
              <w:highlight w:val="none"/>
              <w:lang w:val="en-US" w:eastAsia="zh-CN"/>
              <w14:ligatures w14:val="standardContextual"/>
            </w:rPr>
            <w:t>服务建设国内市场</w:t>
          </w:r>
          <w:r>
            <w:rPr>
              <w:rFonts w:hint="default" w:ascii="Times New Roman" w:hAnsi="Times New Roman" w:eastAsia="黑体" w:cs="Times New Roman"/>
              <w:sz w:val="28"/>
              <w:szCs w:val="28"/>
              <w:highlight w:val="none"/>
              <w14:ligatures w14:val="standardContextual"/>
            </w:rPr>
            <w:t xml:space="preserve">  </w:t>
          </w:r>
          <w:r>
            <w:rPr>
              <w:rFonts w:hint="default" w:ascii="Times New Roman" w:hAnsi="Times New Roman" w:eastAsia="黑体" w:cs="Times New Roman"/>
              <w:sz w:val="28"/>
              <w:szCs w:val="28"/>
              <w:highlight w:val="none"/>
              <w:lang w:val="en-US" w:eastAsia="zh-CN"/>
              <w14:ligatures w14:val="standardContextual"/>
            </w:rPr>
            <w:t>积极融入新发展格局</w:t>
          </w:r>
          <w:r>
            <w:rPr>
              <w:sz w:val="28"/>
              <w:szCs w:val="28"/>
            </w:rPr>
            <w:tab/>
          </w:r>
          <w:r>
            <w:rPr>
              <w:sz w:val="28"/>
              <w:szCs w:val="28"/>
            </w:rPr>
            <w:t>- 112 -</w:t>
          </w:r>
        </w:p>
        <w:p w14:paraId="10626166">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14:ligatures w14:val="standardContextual"/>
            </w:rPr>
            <w:t>第一</w:t>
          </w:r>
          <w:r>
            <w:rPr>
              <w:rFonts w:hint="default" w:ascii="Times New Roman" w:hAnsi="Times New Roman" w:eastAsia="楷体" w:cs="Times New Roman"/>
              <w:sz w:val="28"/>
              <w:szCs w:val="28"/>
              <w:highlight w:val="none"/>
              <w:lang w:eastAsia="zh"/>
              <w14:ligatures w14:val="standardContextual"/>
              <w:woUserID w:val="0"/>
            </w:rPr>
            <w:t>章</w:t>
          </w:r>
          <w:r>
            <w:rPr>
              <w:rFonts w:hint="default" w:ascii="Times New Roman" w:hAnsi="Times New Roman" w:eastAsia="楷体" w:cs="Times New Roman"/>
              <w:sz w:val="28"/>
              <w:szCs w:val="28"/>
              <w:highlight w:val="none"/>
              <w14:ligatures w14:val="standardContextual"/>
            </w:rPr>
            <w:t xml:space="preserve"> 着力扩大有效投资</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- 112 -</w:t>
          </w:r>
        </w:p>
        <w:p w14:paraId="110EE282">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切实加大政府投资力度</w:t>
          </w:r>
          <w:r>
            <w:rPr>
              <w:sz w:val="28"/>
              <w:szCs w:val="28"/>
            </w:rPr>
            <w:tab/>
          </w:r>
          <w:r>
            <w:rPr>
              <w:sz w:val="28"/>
              <w:szCs w:val="28"/>
            </w:rPr>
            <w:t>- 112 -</w:t>
          </w:r>
        </w:p>
        <w:p w14:paraId="5D3A97E2">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激发社会投资活力和潜力</w:t>
          </w:r>
          <w:r>
            <w:rPr>
              <w:sz w:val="28"/>
              <w:szCs w:val="28"/>
            </w:rPr>
            <w:tab/>
          </w:r>
          <w:r>
            <w:rPr>
              <w:sz w:val="28"/>
              <w:szCs w:val="28"/>
            </w:rPr>
            <w:t>- 113 -</w:t>
          </w:r>
        </w:p>
        <w:p w14:paraId="09FA3BE2">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扎实推动重大项目建设</w:t>
          </w:r>
          <w:r>
            <w:rPr>
              <w:sz w:val="28"/>
              <w:szCs w:val="28"/>
            </w:rPr>
            <w:tab/>
          </w:r>
          <w:r>
            <w:rPr>
              <w:sz w:val="28"/>
              <w:szCs w:val="28"/>
            </w:rPr>
            <w:t>- 114 -</w:t>
          </w:r>
        </w:p>
        <w:p w14:paraId="17859D4D">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14:ligatures w14:val="standardContextual"/>
            </w:rPr>
            <w:t>第二</w:t>
          </w:r>
          <w:r>
            <w:rPr>
              <w:rFonts w:hint="default" w:ascii="Times New Roman" w:hAnsi="Times New Roman" w:eastAsia="楷体" w:cs="Times New Roman"/>
              <w:sz w:val="28"/>
              <w:szCs w:val="28"/>
              <w:highlight w:val="none"/>
              <w:lang w:eastAsia="zh"/>
              <w14:ligatures w14:val="standardContextual"/>
              <w:woUserID w:val="2"/>
            </w:rPr>
            <w:t>章</w:t>
          </w:r>
          <w:r>
            <w:rPr>
              <w:rFonts w:hint="default" w:ascii="Times New Roman" w:hAnsi="Times New Roman" w:eastAsia="楷体" w:cs="Times New Roman"/>
              <w:sz w:val="28"/>
              <w:szCs w:val="28"/>
              <w:highlight w:val="none"/>
              <w14:ligatures w14:val="standardContextual"/>
            </w:rPr>
            <w:t xml:space="preserve"> 全面促进消费升级</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- 114 -</w:t>
          </w:r>
        </w:p>
        <w:p w14:paraId="79A653D8">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持续提升传统消费</w:t>
          </w:r>
          <w:r>
            <w:rPr>
              <w:sz w:val="28"/>
              <w:szCs w:val="28"/>
            </w:rPr>
            <w:tab/>
          </w:r>
          <w:r>
            <w:rPr>
              <w:sz w:val="28"/>
              <w:szCs w:val="28"/>
            </w:rPr>
            <w:t>- 114 -</w:t>
          </w:r>
        </w:p>
        <w:p w14:paraId="2524F96D">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扎实培育新型消费场景</w:t>
          </w:r>
          <w:r>
            <w:rPr>
              <w:sz w:val="28"/>
              <w:szCs w:val="28"/>
            </w:rPr>
            <w:tab/>
          </w:r>
          <w:r>
            <w:rPr>
              <w:sz w:val="28"/>
              <w:szCs w:val="28"/>
            </w:rPr>
            <w:t>- 115 -</w:t>
          </w:r>
        </w:p>
        <w:p w14:paraId="2EB79643">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切实优化消费环境</w:t>
          </w:r>
          <w:r>
            <w:rPr>
              <w:sz w:val="28"/>
              <w:szCs w:val="28"/>
            </w:rPr>
            <w:tab/>
          </w:r>
          <w:r>
            <w:rPr>
              <w:sz w:val="28"/>
              <w:szCs w:val="28"/>
            </w:rPr>
            <w:t>- 117 -</w:t>
          </w:r>
        </w:p>
        <w:p w14:paraId="60A6BDD5">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lang w:eastAsia="zh"/>
              <w14:ligatures w14:val="standardContextual"/>
            </w:rPr>
            <w:t>第三章</w:t>
          </w:r>
          <w:r>
            <w:rPr>
              <w:rFonts w:hint="default" w:ascii="Times New Roman" w:hAnsi="Times New Roman" w:eastAsia="楷体" w:cs="Times New Roman"/>
              <w:sz w:val="28"/>
              <w:szCs w:val="28"/>
              <w:highlight w:val="none"/>
              <w14:ligatures w14:val="standardContextual"/>
            </w:rPr>
            <w:t xml:space="preserve"> 奋力推进高水平开放合作</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- 117 -</w:t>
          </w:r>
        </w:p>
        <w:p w14:paraId="0F1CF8CE">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创新开展国际服务贸易</w:t>
          </w:r>
          <w:r>
            <w:rPr>
              <w:sz w:val="28"/>
              <w:szCs w:val="28"/>
            </w:rPr>
            <w:tab/>
          </w:r>
          <w:r>
            <w:rPr>
              <w:sz w:val="28"/>
              <w:szCs w:val="28"/>
            </w:rPr>
            <w:t>- 11</w:t>
          </w:r>
          <w:r>
            <w:rPr>
              <w:rFonts w:hint="eastAsia"/>
              <w:sz w:val="28"/>
              <w:szCs w:val="28"/>
              <w:lang w:val="en-US" w:eastAsia="zh-CN"/>
            </w:rPr>
            <w:t>7</w:t>
          </w:r>
          <w:r>
            <w:rPr>
              <w:sz w:val="28"/>
              <w:szCs w:val="28"/>
            </w:rPr>
            <w:t xml:space="preserve"> -</w:t>
          </w:r>
        </w:p>
        <w:p w14:paraId="3C8939B0">
          <w:pPr>
            <w:pStyle w:val="13"/>
            <w:tabs>
              <w:tab w:val="right" w:leader="dot" w:pos="8306"/>
            </w:tabs>
            <w:rPr>
              <w:rFonts w:hint="default" w:eastAsia="仿宋_GB2312"/>
              <w:sz w:val="28"/>
              <w:szCs w:val="28"/>
              <w:lang w:val="en-US" w:eastAsia="zh-CN"/>
            </w:rPr>
          </w:pPr>
          <w:r>
            <w:rPr>
              <w:rFonts w:hint="default" w:ascii="Times New Roman" w:hAnsi="Times New Roman" w:eastAsia="仿宋_GB2312" w:cs="Times New Roman"/>
              <w:bCs/>
              <w:sz w:val="28"/>
              <w:szCs w:val="28"/>
              <w:highlight w:val="none"/>
              <w:lang w:eastAsia="zh" w:bidi="ar"/>
              <w:woUserID w:val="0"/>
            </w:rPr>
            <w:t>第二节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融入中蒙俄经济走廊</w:t>
          </w:r>
          <w:r>
            <w:rPr>
              <w:sz w:val="28"/>
              <w:szCs w:val="28"/>
            </w:rPr>
            <w:tab/>
          </w:r>
          <w:r>
            <w:rPr>
              <w:sz w:val="28"/>
              <w:szCs w:val="28"/>
            </w:rPr>
            <w:t>- 11</w:t>
          </w:r>
          <w:r>
            <w:rPr>
              <w:rFonts w:hint="eastAsia"/>
              <w:sz w:val="28"/>
              <w:szCs w:val="28"/>
              <w:lang w:val="en-US" w:eastAsia="zh-CN"/>
            </w:rPr>
            <w:t>8</w:t>
          </w:r>
          <w:r>
            <w:rPr>
              <w:sz w:val="28"/>
              <w:szCs w:val="28"/>
            </w:rPr>
            <w:t xml:space="preserve"> -</w:t>
          </w:r>
        </w:p>
        <w:p w14:paraId="2C19621D">
          <w:pPr>
            <w:pStyle w:val="13"/>
            <w:tabs>
              <w:tab w:val="right" w:leader="dot" w:pos="8306"/>
            </w:tabs>
            <w:rPr>
              <w:rFonts w:hint="eastAsia" w:eastAsia="仿宋_GB2312"/>
              <w:sz w:val="28"/>
              <w:szCs w:val="28"/>
              <w:lang w:val="en-US" w:eastAsia="zh-CN"/>
            </w:rPr>
          </w:pPr>
          <w:r>
            <w:rPr>
              <w:rFonts w:hint="default" w:ascii="Times New Roman" w:hAnsi="Times New Roman" w:eastAsia="仿宋_GB2312" w:cs="Times New Roman"/>
              <w:bCs/>
              <w:sz w:val="28"/>
              <w:szCs w:val="28"/>
              <w:highlight w:val="none"/>
              <w:lang w:eastAsia="zh" w:bidi="ar"/>
              <w:woUserID w:val="0"/>
            </w:rPr>
            <w:t>第三节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形成对外贸易产业集群</w:t>
          </w:r>
          <w:r>
            <w:rPr>
              <w:sz w:val="28"/>
              <w:szCs w:val="28"/>
            </w:rPr>
            <w:tab/>
          </w:r>
          <w:r>
            <w:rPr>
              <w:sz w:val="28"/>
              <w:szCs w:val="28"/>
            </w:rPr>
            <w:t>- 119 -</w:t>
          </w:r>
        </w:p>
        <w:p w14:paraId="0788DF99">
          <w:pPr>
            <w:pStyle w:val="13"/>
            <w:tabs>
              <w:tab w:val="right" w:leader="dot" w:pos="8306"/>
            </w:tabs>
            <w:rPr>
              <w:rFonts w:hint="eastAsia" w:eastAsia="仿宋_GB2312"/>
              <w:sz w:val="28"/>
              <w:szCs w:val="28"/>
              <w:lang w:val="en-US" w:eastAsia="zh-CN"/>
            </w:rPr>
          </w:pPr>
          <w:r>
            <w:rPr>
              <w:rFonts w:hint="default" w:ascii="Times New Roman" w:hAnsi="Times New Roman" w:eastAsia="仿宋_GB2312" w:cs="Times New Roman"/>
              <w:bCs/>
              <w:sz w:val="28"/>
              <w:szCs w:val="28"/>
              <w:highlight w:val="none"/>
              <w:lang w:eastAsia="zh" w:bidi="ar"/>
              <w:woUserID w:val="0"/>
            </w:rPr>
            <w:t>第四节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深化区域协作合作</w:t>
          </w:r>
          <w:r>
            <w:rPr>
              <w:sz w:val="28"/>
              <w:szCs w:val="28"/>
            </w:rPr>
            <w:tab/>
          </w:r>
          <w:r>
            <w:rPr>
              <w:sz w:val="28"/>
              <w:szCs w:val="28"/>
            </w:rPr>
            <w:t>- 120 -</w:t>
          </w:r>
        </w:p>
        <w:p w14:paraId="264C135F">
          <w:pPr>
            <w:pStyle w:val="18"/>
            <w:tabs>
              <w:tab w:val="right" w:leader="dot" w:pos="8306"/>
              <w:tab w:val="clear" w:pos="8296"/>
            </w:tabs>
            <w:rPr>
              <w:rFonts w:hint="eastAsia" w:eastAsia="黑体"/>
              <w:sz w:val="28"/>
              <w:szCs w:val="28"/>
              <w:lang w:val="en-US" w:eastAsia="zh-CN"/>
            </w:rPr>
          </w:pPr>
          <w:r>
            <w:rPr>
              <w:rFonts w:hint="default" w:ascii="Times New Roman" w:hAnsi="Times New Roman" w:eastAsia="黑体" w:cs="Times New Roman"/>
              <w:sz w:val="28"/>
              <w:szCs w:val="28"/>
              <w:highlight w:val="none"/>
              <w14:ligatures w14:val="standardContextual"/>
            </w:rPr>
            <w:t>第十</w:t>
          </w:r>
          <w:r>
            <w:rPr>
              <w:rFonts w:hint="default" w:ascii="Times New Roman" w:hAnsi="Times New Roman" w:eastAsia="黑体" w:cs="Times New Roman"/>
              <w:sz w:val="28"/>
              <w:szCs w:val="28"/>
              <w:highlight w:val="none"/>
              <w:lang w:eastAsia="zh"/>
              <w14:ligatures w14:val="standardContextual"/>
              <w:woUserID w:val="0"/>
            </w:rPr>
            <w:t>篇</w:t>
          </w:r>
          <w:r>
            <w:rPr>
              <w:rFonts w:hint="default" w:ascii="Times New Roman" w:hAnsi="Times New Roman" w:eastAsia="黑体" w:cs="Times New Roman"/>
              <w:sz w:val="28"/>
              <w:szCs w:val="28"/>
              <w:highlight w:val="none"/>
              <w14:ligatures w14:val="standardContextual"/>
            </w:rPr>
            <w:t xml:space="preserve"> </w:t>
          </w:r>
          <w:r>
            <w:rPr>
              <w:rFonts w:hint="default" w:ascii="Times New Roman" w:hAnsi="Times New Roman" w:eastAsia="黑体" w:cs="Times New Roman"/>
              <w:sz w:val="28"/>
              <w:szCs w:val="28"/>
              <w:highlight w:val="none"/>
              <w:lang w:val="en-US" w:eastAsia="zh-CN"/>
              <w14:ligatures w14:val="standardContextual"/>
            </w:rPr>
            <w:t>持续</w:t>
          </w:r>
          <w:r>
            <w:rPr>
              <w:rFonts w:hint="default" w:ascii="Times New Roman" w:hAnsi="Times New Roman" w:eastAsia="黑体" w:cs="Times New Roman"/>
              <w:sz w:val="28"/>
              <w:szCs w:val="28"/>
              <w:highlight w:val="none"/>
              <w14:ligatures w14:val="standardContextual"/>
            </w:rPr>
            <w:t>深化改革  激发活力桦川发展新动能</w:t>
          </w:r>
          <w:r>
            <w:rPr>
              <w:sz w:val="28"/>
              <w:szCs w:val="28"/>
            </w:rPr>
            <w:tab/>
          </w:r>
          <w:r>
            <w:rPr>
              <w:sz w:val="28"/>
              <w:szCs w:val="28"/>
            </w:rPr>
            <w:t>- 120 -</w:t>
          </w:r>
        </w:p>
        <w:p w14:paraId="5E3165ED">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14:ligatures w14:val="standardContextual"/>
            </w:rPr>
            <w:t>第一</w:t>
          </w:r>
          <w:r>
            <w:rPr>
              <w:rFonts w:hint="default" w:ascii="Times New Roman" w:hAnsi="Times New Roman" w:eastAsia="楷体" w:cs="Times New Roman"/>
              <w:sz w:val="28"/>
              <w:szCs w:val="28"/>
              <w:highlight w:val="none"/>
              <w:lang w:eastAsia="zh"/>
              <w14:ligatures w14:val="standardContextual"/>
              <w:woUserID w:val="0"/>
            </w:rPr>
            <w:t>章</w:t>
          </w:r>
          <w:r>
            <w:rPr>
              <w:rFonts w:hint="default" w:ascii="Times New Roman" w:hAnsi="Times New Roman" w:eastAsia="楷体" w:cs="Times New Roman"/>
              <w:sz w:val="28"/>
              <w:szCs w:val="28"/>
              <w:highlight w:val="none"/>
              <w:lang w:eastAsia="zh-CN"/>
              <w14:ligatures w14:val="standardContextual"/>
            </w:rPr>
            <w:t xml:space="preserve"> </w:t>
          </w:r>
          <w:r>
            <w:rPr>
              <w:rFonts w:hint="default" w:ascii="Times New Roman" w:hAnsi="Times New Roman" w:eastAsia="楷体" w:cs="Times New Roman"/>
              <w:sz w:val="28"/>
              <w:szCs w:val="28"/>
              <w:highlight w:val="none"/>
              <w14:ligatures w14:val="standardContextual"/>
            </w:rPr>
            <w:t>支持市场主体发展壮大</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- 120 -</w:t>
          </w:r>
        </w:p>
        <w:p w14:paraId="310AC623">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联动促进辖区国资国企改革</w:t>
          </w:r>
          <w:r>
            <w:rPr>
              <w:sz w:val="28"/>
              <w:szCs w:val="28"/>
            </w:rPr>
            <w:tab/>
          </w:r>
          <w:r>
            <w:rPr>
              <w:sz w:val="28"/>
              <w:szCs w:val="28"/>
            </w:rPr>
            <w:t>- 120 -</w:t>
          </w:r>
        </w:p>
        <w:p w14:paraId="16F799F0">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促进民营经济发展壮大</w:t>
          </w:r>
          <w:r>
            <w:rPr>
              <w:sz w:val="28"/>
              <w:szCs w:val="28"/>
            </w:rPr>
            <w:tab/>
          </w:r>
          <w:r>
            <w:rPr>
              <w:sz w:val="28"/>
              <w:szCs w:val="28"/>
            </w:rPr>
            <w:t>- 121 -</w:t>
          </w:r>
        </w:p>
        <w:p w14:paraId="33BA6AD7">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纵深推进全国统一大市场建设</w:t>
          </w:r>
          <w:r>
            <w:rPr>
              <w:sz w:val="28"/>
              <w:szCs w:val="28"/>
            </w:rPr>
            <w:tab/>
          </w:r>
          <w:r>
            <w:rPr>
              <w:sz w:val="28"/>
              <w:szCs w:val="28"/>
            </w:rPr>
            <w:t>- 122 -</w:t>
          </w:r>
        </w:p>
        <w:p w14:paraId="04D348AC">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lang w:eastAsia="zh"/>
              <w14:ligatures w14:val="standardContextual"/>
            </w:rPr>
            <w:t>第二章</w:t>
          </w:r>
          <w:r>
            <w:rPr>
              <w:rFonts w:hint="default" w:ascii="Times New Roman" w:hAnsi="Times New Roman" w:eastAsia="楷体" w:cs="Times New Roman"/>
              <w:sz w:val="28"/>
              <w:szCs w:val="28"/>
              <w:highlight w:val="none"/>
              <w:lang w:eastAsia="zh-CN"/>
              <w14:ligatures w14:val="standardContextual"/>
            </w:rPr>
            <w:t xml:space="preserve"> </w:t>
          </w:r>
          <w:r>
            <w:rPr>
              <w:rFonts w:hint="default" w:ascii="Times New Roman" w:hAnsi="Times New Roman" w:eastAsia="楷体" w:cs="Times New Roman"/>
              <w:sz w:val="28"/>
              <w:szCs w:val="28"/>
              <w:highlight w:val="none"/>
            </w:rPr>
            <w:t>扎实开展营商环境建设</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- 122 -</w:t>
          </w:r>
        </w:p>
        <w:p w14:paraId="3B4AED9F">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构建公平自由市场秩序</w:t>
          </w:r>
          <w:r>
            <w:rPr>
              <w:sz w:val="28"/>
              <w:szCs w:val="28"/>
            </w:rPr>
            <w:tab/>
          </w:r>
          <w:r>
            <w:rPr>
              <w:sz w:val="28"/>
              <w:szCs w:val="28"/>
            </w:rPr>
            <w:t>- 122 -</w:t>
          </w:r>
        </w:p>
        <w:p w14:paraId="59754972">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持续提升政务服务效能</w:t>
          </w:r>
          <w:r>
            <w:rPr>
              <w:sz w:val="28"/>
              <w:szCs w:val="28"/>
            </w:rPr>
            <w:tab/>
          </w:r>
          <w:r>
            <w:rPr>
              <w:sz w:val="28"/>
              <w:szCs w:val="28"/>
            </w:rPr>
            <w:t>- 123 -</w:t>
          </w:r>
        </w:p>
        <w:p w14:paraId="01281329">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加快完善精进助企服务</w:t>
          </w:r>
          <w:r>
            <w:rPr>
              <w:sz w:val="28"/>
              <w:szCs w:val="28"/>
            </w:rPr>
            <w:tab/>
          </w:r>
          <w:r>
            <w:rPr>
              <w:sz w:val="28"/>
              <w:szCs w:val="28"/>
            </w:rPr>
            <w:t>- 124 -</w:t>
          </w:r>
        </w:p>
        <w:p w14:paraId="282F063F">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第四节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深入实施信用</w:t>
          </w:r>
          <w:r>
            <w:rPr>
              <w:rFonts w:hint="default" w:ascii="Times New Roman" w:hAnsi="Times New Roman" w:eastAsia="仿宋_GB2312" w:cs="Times New Roman"/>
              <w:bCs/>
              <w:sz w:val="28"/>
              <w:szCs w:val="28"/>
              <w:highlight w:val="none"/>
              <w:lang w:val="en-US" w:eastAsia="zh-CN" w:bidi="ar"/>
              <w:woUserID w:val="0"/>
            </w:rPr>
            <w:t>桦川</w:t>
          </w:r>
          <w:r>
            <w:rPr>
              <w:rFonts w:hint="default" w:ascii="Times New Roman" w:hAnsi="Times New Roman" w:eastAsia="仿宋_GB2312" w:cs="Times New Roman"/>
              <w:bCs/>
              <w:sz w:val="28"/>
              <w:szCs w:val="28"/>
              <w:highlight w:val="none"/>
              <w:lang w:eastAsia="zh" w:bidi="ar"/>
              <w:woUserID w:val="0"/>
            </w:rPr>
            <w:t>建设</w:t>
          </w:r>
          <w:r>
            <w:rPr>
              <w:sz w:val="28"/>
              <w:szCs w:val="28"/>
            </w:rPr>
            <w:tab/>
          </w:r>
          <w:r>
            <w:rPr>
              <w:sz w:val="28"/>
              <w:szCs w:val="28"/>
            </w:rPr>
            <w:t>- 125 -</w:t>
          </w:r>
        </w:p>
        <w:p w14:paraId="44F3F05E">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lang w:eastAsia="zh"/>
              <w14:ligatures w14:val="standardContextual"/>
            </w:rPr>
            <w:t>第三章</w:t>
          </w:r>
          <w:r>
            <w:rPr>
              <w:rFonts w:hint="default" w:ascii="Times New Roman" w:hAnsi="Times New Roman" w:eastAsia="楷体" w:cs="Times New Roman"/>
              <w:sz w:val="28"/>
              <w:szCs w:val="28"/>
              <w:highlight w:val="none"/>
              <w:lang w:eastAsia="zh-CN"/>
              <w14:ligatures w14:val="standardContextual"/>
            </w:rPr>
            <w:t xml:space="preserve"> </w:t>
          </w:r>
          <w:r>
            <w:rPr>
              <w:rFonts w:hint="default" w:ascii="Times New Roman" w:hAnsi="Times New Roman" w:eastAsia="楷体" w:cs="Times New Roman"/>
              <w:sz w:val="28"/>
              <w:szCs w:val="28"/>
              <w:highlight w:val="none"/>
              <w14:ligatures w14:val="standardContextual"/>
            </w:rPr>
            <w:t>推动重点领域改革</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- 126 -</w:t>
          </w:r>
        </w:p>
        <w:p w14:paraId="54344CA0">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推进公共事业价格改革</w:t>
          </w:r>
          <w:r>
            <w:rPr>
              <w:sz w:val="28"/>
              <w:szCs w:val="28"/>
            </w:rPr>
            <w:tab/>
          </w:r>
          <w:r>
            <w:rPr>
              <w:sz w:val="28"/>
              <w:szCs w:val="28"/>
            </w:rPr>
            <w:t>- 126 -</w:t>
          </w:r>
        </w:p>
        <w:p w14:paraId="626194A6">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推动财政体制改革</w:t>
          </w:r>
          <w:r>
            <w:rPr>
              <w:sz w:val="28"/>
              <w:szCs w:val="28"/>
            </w:rPr>
            <w:tab/>
          </w:r>
          <w:r>
            <w:rPr>
              <w:sz w:val="28"/>
              <w:szCs w:val="28"/>
            </w:rPr>
            <w:t>- 127 -</w:t>
          </w:r>
        </w:p>
        <w:p w14:paraId="5C668421">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深化地方金融体制改革</w:t>
          </w:r>
          <w:r>
            <w:rPr>
              <w:sz w:val="28"/>
              <w:szCs w:val="28"/>
            </w:rPr>
            <w:tab/>
          </w:r>
          <w:r>
            <w:rPr>
              <w:sz w:val="28"/>
              <w:szCs w:val="28"/>
            </w:rPr>
            <w:t>- 127 -</w:t>
          </w:r>
        </w:p>
        <w:p w14:paraId="6B2F1D02">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第四节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深化要素市场化配置改革</w:t>
          </w:r>
          <w:r>
            <w:rPr>
              <w:sz w:val="28"/>
              <w:szCs w:val="28"/>
            </w:rPr>
            <w:tab/>
          </w:r>
          <w:r>
            <w:rPr>
              <w:sz w:val="28"/>
              <w:szCs w:val="28"/>
            </w:rPr>
            <w:t>- 128 -</w:t>
          </w:r>
        </w:p>
        <w:p w14:paraId="28EFA916">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第五节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推动开发区体制机制改革</w:t>
          </w:r>
          <w:r>
            <w:rPr>
              <w:sz w:val="28"/>
              <w:szCs w:val="28"/>
            </w:rPr>
            <w:tab/>
          </w:r>
          <w:r>
            <w:rPr>
              <w:sz w:val="28"/>
              <w:szCs w:val="28"/>
            </w:rPr>
            <w:t>- 129 -</w:t>
          </w:r>
        </w:p>
        <w:p w14:paraId="010CBF5A">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第六节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加快农业农村综合改革</w:t>
          </w:r>
          <w:r>
            <w:rPr>
              <w:sz w:val="28"/>
              <w:szCs w:val="28"/>
            </w:rPr>
            <w:tab/>
          </w:r>
          <w:r>
            <w:rPr>
              <w:sz w:val="28"/>
              <w:szCs w:val="28"/>
            </w:rPr>
            <w:t>- 129 -</w:t>
          </w:r>
        </w:p>
        <w:p w14:paraId="2BD3D547">
          <w:pPr>
            <w:pStyle w:val="18"/>
            <w:tabs>
              <w:tab w:val="right" w:leader="dot" w:pos="8306"/>
              <w:tab w:val="clear" w:pos="8296"/>
            </w:tabs>
            <w:rPr>
              <w:rFonts w:hint="eastAsia" w:eastAsia="黑体"/>
              <w:sz w:val="28"/>
              <w:szCs w:val="28"/>
              <w:lang w:val="en-US" w:eastAsia="zh-CN"/>
            </w:rPr>
          </w:pPr>
          <w:r>
            <w:rPr>
              <w:rFonts w:hint="default" w:ascii="Times New Roman" w:hAnsi="Times New Roman" w:eastAsia="黑体" w:cs="Times New Roman"/>
              <w:sz w:val="28"/>
              <w:szCs w:val="28"/>
              <w:highlight w:val="none"/>
              <w14:ligatures w14:val="standardContextual"/>
            </w:rPr>
            <w:t>第十一</w:t>
          </w:r>
          <w:r>
            <w:rPr>
              <w:rFonts w:hint="default" w:ascii="Times New Roman" w:hAnsi="Times New Roman" w:eastAsia="黑体" w:cs="Times New Roman"/>
              <w:sz w:val="28"/>
              <w:szCs w:val="28"/>
              <w:highlight w:val="none"/>
              <w:lang w:eastAsia="zh"/>
              <w14:ligatures w14:val="standardContextual"/>
            </w:rPr>
            <w:t>篇</w:t>
          </w:r>
          <w:r>
            <w:rPr>
              <w:rFonts w:hint="default" w:ascii="Times New Roman" w:hAnsi="Times New Roman" w:eastAsia="黑体" w:cs="Times New Roman"/>
              <w:sz w:val="28"/>
              <w:szCs w:val="28"/>
              <w:highlight w:val="none"/>
              <w:lang w:eastAsia="zh-CN"/>
              <w14:ligatures w14:val="standardContextual"/>
            </w:rPr>
            <w:t xml:space="preserve"> </w:t>
          </w:r>
          <w:r>
            <w:rPr>
              <w:rFonts w:hint="default" w:ascii="Times New Roman" w:hAnsi="Times New Roman" w:eastAsia="黑体" w:cs="Times New Roman"/>
              <w:sz w:val="28"/>
              <w:szCs w:val="28"/>
              <w:highlight w:val="none"/>
              <w:lang w:val="en-US" w:eastAsia="zh-CN"/>
              <w14:ligatures w14:val="standardContextual"/>
            </w:rPr>
            <w:t>注重</w:t>
          </w:r>
          <w:r>
            <w:rPr>
              <w:rFonts w:hint="default" w:ascii="Times New Roman" w:hAnsi="Times New Roman" w:eastAsia="黑体" w:cs="Times New Roman"/>
              <w:sz w:val="28"/>
              <w:szCs w:val="28"/>
              <w:highlight w:val="none"/>
              <w14:ligatures w14:val="standardContextual"/>
            </w:rPr>
            <w:t>发展和安全  建设更高水平平安桦川</w:t>
          </w:r>
          <w:r>
            <w:rPr>
              <w:sz w:val="28"/>
              <w:szCs w:val="28"/>
            </w:rPr>
            <w:tab/>
          </w:r>
          <w:r>
            <w:rPr>
              <w:sz w:val="28"/>
              <w:szCs w:val="28"/>
            </w:rPr>
            <w:t>- 130 -</w:t>
          </w:r>
        </w:p>
        <w:p w14:paraId="08F7DD02">
          <w:pPr>
            <w:pStyle w:val="21"/>
            <w:tabs>
              <w:tab w:val="right" w:leader="dot" w:pos="8306"/>
              <w:tab w:val="clear" w:pos="8296"/>
            </w:tabs>
            <w:rPr>
              <w:rFonts w:hint="eastAsia" w:eastAsia="楷体_GB2312"/>
              <w:sz w:val="28"/>
              <w:szCs w:val="28"/>
              <w:lang w:val="en-US" w:eastAsia="zh-CN"/>
            </w:rPr>
          </w:pPr>
          <w:r>
            <w:rPr>
              <w:rFonts w:hint="default" w:ascii="Times New Roman" w:hAnsi="Times New Roman" w:eastAsia="楷体" w:cs="Times New Roman"/>
              <w:sz w:val="28"/>
              <w:szCs w:val="28"/>
              <w:highlight w:val="none"/>
              <w:lang w:val="en-US" w:eastAsia="zh-CN"/>
            </w:rPr>
            <w:t>第一</w:t>
          </w:r>
          <w:r>
            <w:rPr>
              <w:rFonts w:hint="default" w:ascii="Times New Roman" w:hAnsi="Times New Roman" w:eastAsia="楷体" w:cs="Times New Roman"/>
              <w:sz w:val="28"/>
              <w:szCs w:val="28"/>
              <w:highlight w:val="none"/>
              <w:lang w:val="en-US" w:eastAsia="zh"/>
            </w:rPr>
            <w:t>章</w:t>
          </w:r>
          <w:r>
            <w:rPr>
              <w:rFonts w:hint="default" w:ascii="Times New Roman" w:hAnsi="Times New Roman" w:eastAsia="楷体" w:cs="Times New Roman"/>
              <w:sz w:val="28"/>
              <w:szCs w:val="28"/>
              <w:highlight w:val="none"/>
              <w:lang w:val="en-US" w:eastAsia="zh-CN"/>
            </w:rPr>
            <w:t xml:space="preserve">  坚决维护国家“五大安全”</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- 130 -</w:t>
          </w:r>
        </w:p>
        <w:p w14:paraId="4BE04C23">
          <w:pPr>
            <w:pStyle w:val="13"/>
            <w:tabs>
              <w:tab w:val="right" w:leader="dot" w:pos="8306"/>
            </w:tabs>
            <w:rPr>
              <w:rFonts w:hint="eastAsia" w:eastAsia="仿宋_GB2312"/>
              <w:sz w:val="28"/>
              <w:szCs w:val="28"/>
              <w:lang w:val="en-US" w:eastAsia="zh-CN"/>
            </w:rPr>
          </w:pPr>
          <w:r>
            <w:rPr>
              <w:rFonts w:hint="default" w:ascii="Times New Roman" w:hAnsi="Times New Roman" w:eastAsia="仿宋_GB2312" w:cs="Times New Roman"/>
              <w:bCs/>
              <w:sz w:val="28"/>
              <w:szCs w:val="28"/>
              <w:highlight w:val="none"/>
              <w:lang w:eastAsia="zh" w:bidi="ar"/>
              <w:woUserID w:val="0"/>
            </w:rPr>
            <w:t>第一节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保障国防安全</w:t>
          </w:r>
          <w:r>
            <w:rPr>
              <w:sz w:val="28"/>
              <w:szCs w:val="28"/>
            </w:rPr>
            <w:tab/>
          </w:r>
          <w:r>
            <w:rPr>
              <w:sz w:val="28"/>
              <w:szCs w:val="28"/>
            </w:rPr>
            <w:t>- 130 -</w:t>
          </w:r>
        </w:p>
        <w:p w14:paraId="08BEC143">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保障粮食安全</w:t>
          </w:r>
          <w:r>
            <w:rPr>
              <w:sz w:val="28"/>
              <w:szCs w:val="28"/>
            </w:rPr>
            <w:tab/>
          </w:r>
          <w:r>
            <w:rPr>
              <w:sz w:val="28"/>
              <w:szCs w:val="28"/>
            </w:rPr>
            <w:t>- 131 -</w:t>
          </w:r>
        </w:p>
        <w:p w14:paraId="14041E03">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保障生态安全</w:t>
          </w:r>
          <w:r>
            <w:rPr>
              <w:sz w:val="28"/>
              <w:szCs w:val="28"/>
            </w:rPr>
            <w:tab/>
          </w:r>
          <w:r>
            <w:rPr>
              <w:sz w:val="28"/>
              <w:szCs w:val="28"/>
            </w:rPr>
            <w:t>- 131 -</w:t>
          </w:r>
        </w:p>
        <w:p w14:paraId="654CE31F">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 w:bidi="ar"/>
              <w:woUserID w:val="0"/>
            </w:rPr>
            <w:t xml:space="preserve">第四节 </w:t>
          </w:r>
          <w:r>
            <w:rPr>
              <w:rFonts w:hint="default" w:ascii="Times New Roman" w:hAnsi="Times New Roman" w:eastAsia="仿宋_GB2312" w:cs="Times New Roman"/>
              <w:bCs/>
              <w:sz w:val="28"/>
              <w:szCs w:val="28"/>
              <w:highlight w:val="none"/>
              <w:lang w:eastAsia="zh" w:bidi="ar"/>
              <w:woUserID w:val="0"/>
            </w:rPr>
            <w:t>保障能源安全</w:t>
          </w:r>
          <w:r>
            <w:rPr>
              <w:sz w:val="28"/>
              <w:szCs w:val="28"/>
            </w:rPr>
            <w:tab/>
          </w:r>
          <w:r>
            <w:rPr>
              <w:sz w:val="28"/>
              <w:szCs w:val="28"/>
            </w:rPr>
            <w:t>- 131 -</w:t>
          </w:r>
        </w:p>
        <w:p w14:paraId="36E3D500">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 w:bidi="ar"/>
              <w:woUserID w:val="0"/>
            </w:rPr>
            <w:t xml:space="preserve">第五节 </w:t>
          </w:r>
          <w:r>
            <w:rPr>
              <w:rFonts w:hint="default" w:ascii="Times New Roman" w:hAnsi="Times New Roman" w:eastAsia="仿宋_GB2312" w:cs="Times New Roman"/>
              <w:bCs/>
              <w:sz w:val="28"/>
              <w:szCs w:val="28"/>
              <w:highlight w:val="none"/>
              <w:lang w:eastAsia="zh" w:bidi="ar"/>
              <w:woUserID w:val="0"/>
            </w:rPr>
            <w:t>保障产业安全</w:t>
          </w:r>
          <w:r>
            <w:rPr>
              <w:sz w:val="28"/>
              <w:szCs w:val="28"/>
            </w:rPr>
            <w:tab/>
          </w:r>
          <w:r>
            <w:rPr>
              <w:sz w:val="28"/>
              <w:szCs w:val="28"/>
            </w:rPr>
            <w:t>- 132 -</w:t>
          </w:r>
        </w:p>
        <w:p w14:paraId="250F1919">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lang w:val="en-US" w:eastAsia="zh-CN"/>
            </w:rPr>
            <w:t>第二章</w:t>
          </w:r>
          <w:r>
            <w:rPr>
              <w:rFonts w:hint="default" w:ascii="Times New Roman" w:hAnsi="Times New Roman" w:eastAsia="楷体" w:cs="Times New Roman"/>
              <w:sz w:val="28"/>
              <w:szCs w:val="28"/>
              <w:highlight w:val="none"/>
              <w:lang w:eastAsia="zh-CN"/>
            </w:rPr>
            <w:t xml:space="preserve"> </w:t>
          </w:r>
          <w:r>
            <w:rPr>
              <w:rFonts w:hint="default" w:ascii="Times New Roman" w:hAnsi="Times New Roman" w:eastAsia="楷体" w:cs="Times New Roman"/>
              <w:sz w:val="28"/>
              <w:szCs w:val="28"/>
              <w:highlight w:val="none"/>
            </w:rPr>
            <w:t>推进</w:t>
          </w:r>
          <w:r>
            <w:rPr>
              <w:rFonts w:hint="default" w:ascii="Times New Roman" w:hAnsi="Times New Roman" w:eastAsia="楷体" w:cs="Times New Roman"/>
              <w:sz w:val="28"/>
              <w:szCs w:val="28"/>
              <w:highlight w:val="none"/>
              <w:lang w:eastAsia="zh"/>
            </w:rPr>
            <w:t>平安桦川</w:t>
          </w:r>
          <w:r>
            <w:rPr>
              <w:rFonts w:hint="default" w:ascii="Times New Roman" w:hAnsi="Times New Roman" w:eastAsia="楷体" w:cs="Times New Roman"/>
              <w:sz w:val="28"/>
              <w:szCs w:val="28"/>
              <w:highlight w:val="none"/>
            </w:rPr>
            <w:t>法治桦川建设</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- 132 -</w:t>
          </w:r>
        </w:p>
        <w:p w14:paraId="21DCF6CC">
          <w:pPr>
            <w:pStyle w:val="13"/>
            <w:tabs>
              <w:tab w:val="right" w:leader="dot" w:pos="8306"/>
            </w:tabs>
            <w:rPr>
              <w:sz w:val="28"/>
              <w:szCs w:val="28"/>
            </w:rPr>
          </w:pPr>
          <w:r>
            <w:rPr>
              <w:rFonts w:hint="default" w:ascii="Times New Roman" w:hAnsi="Times New Roman" w:eastAsia="仿宋_GB2312" w:cs="Times New Roman"/>
              <w:bCs/>
              <w:sz w:val="28"/>
              <w:szCs w:val="28"/>
              <w:highlight w:val="none"/>
              <w:lang w:val="en-US" w:eastAsia="zh" w:bidi="ar"/>
              <w:woUserID w:val="0"/>
            </w:rPr>
            <w:t xml:space="preserve">第一节 </w:t>
          </w:r>
          <w:r>
            <w:rPr>
              <w:rFonts w:hint="default" w:ascii="Times New Roman" w:hAnsi="Times New Roman" w:eastAsia="仿宋_GB2312" w:cs="Times New Roman"/>
              <w:bCs/>
              <w:sz w:val="28"/>
              <w:szCs w:val="28"/>
              <w:highlight w:val="none"/>
              <w:lang w:eastAsia="zh" w:bidi="ar"/>
              <w:woUserID w:val="0"/>
            </w:rPr>
            <w:t>提升法治建设水平</w:t>
          </w:r>
          <w:r>
            <w:rPr>
              <w:sz w:val="28"/>
              <w:szCs w:val="28"/>
            </w:rPr>
            <w:tab/>
          </w:r>
          <w:r>
            <w:rPr>
              <w:sz w:val="28"/>
              <w:szCs w:val="28"/>
            </w:rPr>
            <w:t>- 133 -</w:t>
          </w:r>
        </w:p>
        <w:p w14:paraId="37FE32B1">
          <w:pPr>
            <w:pStyle w:val="13"/>
            <w:tabs>
              <w:tab w:val="right" w:leader="dot" w:pos="8306"/>
            </w:tabs>
            <w:rPr>
              <w:sz w:val="28"/>
              <w:szCs w:val="28"/>
            </w:rPr>
          </w:pPr>
          <w:r>
            <w:rPr>
              <w:rFonts w:hint="default" w:ascii="Times New Roman" w:hAnsi="Times New Roman" w:eastAsia="仿宋" w:cs="Times New Roman"/>
              <w:bCs/>
              <w:sz w:val="28"/>
              <w:szCs w:val="28"/>
              <w:highlight w:val="none"/>
              <w:lang w:val="en-US" w:eastAsia="zh" w:bidi="ar"/>
              <w:woUserID w:val="0"/>
            </w:rPr>
            <w:t xml:space="preserve">第二节 </w:t>
          </w:r>
          <w:r>
            <w:rPr>
              <w:rFonts w:hint="default" w:ascii="Times New Roman" w:hAnsi="Times New Roman" w:eastAsia="仿宋" w:cs="Times New Roman"/>
              <w:bCs/>
              <w:sz w:val="28"/>
              <w:szCs w:val="28"/>
              <w:highlight w:val="none"/>
              <w:lang w:eastAsia="zh" w:bidi="ar"/>
              <w:woUserID w:val="0"/>
            </w:rPr>
            <w:t>加快构建覆盖城乡的现代公共法律服务体系</w:t>
          </w:r>
          <w:r>
            <w:rPr>
              <w:sz w:val="28"/>
              <w:szCs w:val="28"/>
            </w:rPr>
            <w:tab/>
          </w:r>
          <w:r>
            <w:rPr>
              <w:sz w:val="28"/>
              <w:szCs w:val="28"/>
            </w:rPr>
            <w:t>- 133 -</w:t>
          </w:r>
        </w:p>
        <w:p w14:paraId="150B1613">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lang w:eastAsia="zh"/>
            </w:rPr>
            <w:t>第三章</w:t>
          </w:r>
          <w:r>
            <w:rPr>
              <w:rFonts w:hint="default" w:ascii="Times New Roman" w:hAnsi="Times New Roman" w:eastAsia="楷体" w:cs="Times New Roman"/>
              <w:sz w:val="28"/>
              <w:szCs w:val="28"/>
              <w:highlight w:val="none"/>
              <w:lang w:eastAsia="zh-CN"/>
            </w:rPr>
            <w:t xml:space="preserve"> </w:t>
          </w:r>
          <w:r>
            <w:rPr>
              <w:rFonts w:hint="default" w:ascii="Times New Roman" w:hAnsi="Times New Roman" w:eastAsia="楷体" w:cs="Times New Roman"/>
              <w:sz w:val="28"/>
              <w:szCs w:val="28"/>
              <w:highlight w:val="none"/>
            </w:rPr>
            <w:t>推动完善社会治理体系</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- 134 -</w:t>
          </w:r>
        </w:p>
        <w:p w14:paraId="2168A89E">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探索党建引领基层治理新路径</w:t>
          </w:r>
          <w:r>
            <w:rPr>
              <w:sz w:val="28"/>
              <w:szCs w:val="28"/>
            </w:rPr>
            <w:tab/>
          </w:r>
          <w:r>
            <w:rPr>
              <w:sz w:val="28"/>
              <w:szCs w:val="28"/>
            </w:rPr>
            <w:t>- 134 -</w:t>
          </w:r>
        </w:p>
        <w:p w14:paraId="4F237680">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完善社会矛盾综合治理机制</w:t>
          </w:r>
          <w:r>
            <w:rPr>
              <w:sz w:val="28"/>
              <w:szCs w:val="28"/>
            </w:rPr>
            <w:tab/>
          </w:r>
          <w:r>
            <w:rPr>
              <w:sz w:val="28"/>
              <w:szCs w:val="28"/>
            </w:rPr>
            <w:t>- 134 -</w:t>
          </w:r>
        </w:p>
        <w:p w14:paraId="7AA66C0C">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全面推进信访法治化水平</w:t>
          </w:r>
          <w:r>
            <w:rPr>
              <w:sz w:val="28"/>
              <w:szCs w:val="28"/>
            </w:rPr>
            <w:tab/>
          </w:r>
          <w:r>
            <w:rPr>
              <w:sz w:val="28"/>
              <w:szCs w:val="28"/>
            </w:rPr>
            <w:t>- 136 -</w:t>
          </w:r>
        </w:p>
        <w:p w14:paraId="6E8ED63B">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第四节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依法管理</w:t>
          </w:r>
          <w:r>
            <w:rPr>
              <w:rFonts w:hint="default" w:ascii="Times New Roman" w:hAnsi="Times New Roman" w:eastAsia="仿宋_GB2312" w:cs="Times New Roman"/>
              <w:bCs/>
              <w:sz w:val="28"/>
              <w:szCs w:val="28"/>
              <w:highlight w:val="none"/>
              <w:lang w:val="en-US" w:eastAsia="zh" w:bidi="ar"/>
              <w:woUserID w:val="0"/>
            </w:rPr>
            <w:t>民族和</w:t>
          </w:r>
          <w:r>
            <w:rPr>
              <w:rFonts w:hint="default" w:ascii="Times New Roman" w:hAnsi="Times New Roman" w:eastAsia="仿宋_GB2312" w:cs="Times New Roman"/>
              <w:bCs/>
              <w:sz w:val="28"/>
              <w:szCs w:val="28"/>
              <w:highlight w:val="none"/>
              <w:lang w:eastAsia="zh" w:bidi="ar"/>
              <w:woUserID w:val="0"/>
            </w:rPr>
            <w:t>宗教事务</w:t>
          </w:r>
          <w:r>
            <w:rPr>
              <w:sz w:val="28"/>
              <w:szCs w:val="28"/>
            </w:rPr>
            <w:tab/>
          </w:r>
          <w:r>
            <w:rPr>
              <w:sz w:val="28"/>
              <w:szCs w:val="28"/>
            </w:rPr>
            <w:t>- 137 -</w:t>
          </w:r>
        </w:p>
        <w:p w14:paraId="46622593">
          <w:pPr>
            <w:pStyle w:val="21"/>
            <w:tabs>
              <w:tab w:val="right" w:leader="dot" w:pos="8306"/>
              <w:tab w:val="clear" w:pos="8296"/>
            </w:tabs>
            <w:rPr>
              <w:rFonts w:hint="eastAsia" w:eastAsia="楷体_GB2312"/>
              <w:sz w:val="28"/>
              <w:szCs w:val="28"/>
              <w:lang w:val="en-US" w:eastAsia="zh-CN"/>
            </w:rPr>
          </w:pPr>
          <w:r>
            <w:rPr>
              <w:rFonts w:hint="default" w:ascii="Times New Roman" w:hAnsi="Times New Roman" w:eastAsia="楷体" w:cs="Times New Roman"/>
              <w:sz w:val="28"/>
              <w:szCs w:val="28"/>
              <w:highlight w:val="none"/>
            </w:rPr>
            <w:t>第</w:t>
          </w:r>
          <w:r>
            <w:rPr>
              <w:rFonts w:hint="default" w:ascii="Times New Roman" w:hAnsi="Times New Roman" w:eastAsia="楷体" w:cs="Times New Roman"/>
              <w:sz w:val="28"/>
              <w:szCs w:val="28"/>
              <w:highlight w:val="none"/>
              <w:lang w:eastAsia="zh"/>
            </w:rPr>
            <w:t>四</w:t>
          </w:r>
          <w:r>
            <w:rPr>
              <w:rFonts w:hint="default" w:ascii="Times New Roman" w:hAnsi="Times New Roman" w:eastAsia="楷体" w:cs="Times New Roman"/>
              <w:sz w:val="28"/>
              <w:szCs w:val="28"/>
              <w:highlight w:val="none"/>
              <w:lang w:eastAsia="zh"/>
              <w:woUserID w:val="0"/>
            </w:rPr>
            <w:t>章</w:t>
          </w:r>
          <w:r>
            <w:rPr>
              <w:rFonts w:hint="default" w:ascii="Times New Roman" w:hAnsi="Times New Roman" w:eastAsia="楷体" w:cs="Times New Roman"/>
              <w:sz w:val="28"/>
              <w:szCs w:val="28"/>
              <w:highlight w:val="none"/>
              <w:lang w:eastAsia="zh-CN"/>
            </w:rPr>
            <w:t xml:space="preserve"> </w:t>
          </w:r>
          <w:r>
            <w:rPr>
              <w:rFonts w:hint="default" w:ascii="Times New Roman" w:hAnsi="Times New Roman" w:eastAsia="楷体" w:cs="Times New Roman"/>
              <w:sz w:val="28"/>
              <w:szCs w:val="28"/>
              <w:highlight w:val="none"/>
            </w:rPr>
            <w:t>健全完善应急管理体系</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- 137 -</w:t>
          </w:r>
        </w:p>
        <w:p w14:paraId="083BA6B7">
          <w:pPr>
            <w:pStyle w:val="13"/>
            <w:tabs>
              <w:tab w:val="right" w:leader="dot" w:pos="8306"/>
            </w:tabs>
            <w:rPr>
              <w:rFonts w:hint="eastAsia" w:eastAsia="仿宋_GB2312"/>
              <w:sz w:val="28"/>
              <w:szCs w:val="28"/>
              <w:lang w:val="en-US" w:eastAsia="zh-CN"/>
            </w:rPr>
          </w:pPr>
          <w:r>
            <w:rPr>
              <w:rFonts w:hint="default" w:ascii="Times New Roman" w:hAnsi="Times New Roman" w:eastAsia="仿宋_GB2312" w:cs="Times New Roman"/>
              <w:bCs/>
              <w:sz w:val="28"/>
              <w:szCs w:val="28"/>
              <w:highlight w:val="none"/>
              <w:lang w:eastAsia="zh" w:bidi="ar"/>
              <w:woUserID w:val="0"/>
            </w:rPr>
            <w:t>第一节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完善三级应急指挥体系</w:t>
          </w:r>
          <w:r>
            <w:rPr>
              <w:sz w:val="28"/>
              <w:szCs w:val="28"/>
            </w:rPr>
            <w:tab/>
          </w:r>
          <w:r>
            <w:rPr>
              <w:sz w:val="28"/>
              <w:szCs w:val="28"/>
            </w:rPr>
            <w:t>- 137 -</w:t>
          </w:r>
        </w:p>
        <w:p w14:paraId="4859F2B5">
          <w:pPr>
            <w:pStyle w:val="13"/>
            <w:tabs>
              <w:tab w:val="right" w:leader="dot" w:pos="8306"/>
            </w:tabs>
            <w:rPr>
              <w:rFonts w:hint="eastAsia" w:eastAsia="仿宋_GB2312"/>
              <w:sz w:val="28"/>
              <w:szCs w:val="28"/>
              <w:lang w:val="en-US" w:eastAsia="zh-CN"/>
            </w:rPr>
          </w:pPr>
          <w:r>
            <w:rPr>
              <w:rFonts w:hint="default" w:ascii="Times New Roman" w:hAnsi="Times New Roman" w:eastAsia="仿宋_GB2312" w:cs="Times New Roman"/>
              <w:bCs/>
              <w:sz w:val="28"/>
              <w:szCs w:val="28"/>
              <w:highlight w:val="none"/>
              <w:lang w:eastAsia="zh" w:bidi="ar"/>
              <w:woUserID w:val="0"/>
            </w:rPr>
            <w:t>第二节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强化应急救援队伍建设</w:t>
          </w:r>
          <w:r>
            <w:rPr>
              <w:sz w:val="28"/>
              <w:szCs w:val="28"/>
            </w:rPr>
            <w:tab/>
          </w:r>
          <w:r>
            <w:rPr>
              <w:sz w:val="28"/>
              <w:szCs w:val="28"/>
            </w:rPr>
            <w:t>- 138 -</w:t>
          </w:r>
        </w:p>
        <w:p w14:paraId="7733F12A">
          <w:pPr>
            <w:pStyle w:val="13"/>
            <w:tabs>
              <w:tab w:val="right" w:leader="dot" w:pos="8306"/>
            </w:tabs>
            <w:rPr>
              <w:rFonts w:hint="default" w:ascii="Times New Roman" w:hAnsi="Times New Roman" w:cs="Times New Roman"/>
              <w:sz w:val="28"/>
              <w:szCs w:val="28"/>
            </w:rPr>
          </w:pPr>
          <w:r>
            <w:rPr>
              <w:rFonts w:hint="default" w:ascii="Times New Roman" w:hAnsi="Times New Roman" w:eastAsia="仿宋_GB2312" w:cs="Times New Roman"/>
              <w:bCs/>
              <w:sz w:val="28"/>
              <w:szCs w:val="28"/>
              <w:highlight w:val="none"/>
              <w:lang w:eastAsia="zh" w:bidi="ar"/>
              <w:woUserID w:val="0"/>
            </w:rPr>
            <w:t>第三节</w:t>
          </w:r>
          <w:r>
            <w:rPr>
              <w:rFonts w:hint="default" w:ascii="Times New Roman" w:hAnsi="Times New Roman" w:eastAsia="仿宋_GB2312" w:cs="Times New Roman"/>
              <w:bCs/>
              <w:sz w:val="28"/>
              <w:szCs w:val="28"/>
              <w:highlight w:val="none"/>
              <w:lang w:eastAsia="zh-CN" w:bidi="ar"/>
              <w:woUserID w:val="0"/>
            </w:rPr>
            <w:t xml:space="preserve"> </w:t>
          </w:r>
          <w:r>
            <w:rPr>
              <w:rFonts w:hint="default" w:ascii="Times New Roman" w:hAnsi="Times New Roman" w:eastAsia="仿宋_GB2312" w:cs="Times New Roman"/>
              <w:bCs/>
              <w:sz w:val="28"/>
              <w:szCs w:val="28"/>
              <w:highlight w:val="none"/>
              <w:lang w:eastAsia="zh" w:bidi="ar"/>
              <w:woUserID w:val="0"/>
            </w:rPr>
            <w:t>深入开展安全生产提升行动</w:t>
          </w:r>
          <w:r>
            <w:rPr>
              <w:sz w:val="28"/>
              <w:szCs w:val="28"/>
            </w:rPr>
            <w:tab/>
          </w:r>
          <w:r>
            <w:rPr>
              <w:sz w:val="28"/>
              <w:szCs w:val="28"/>
            </w:rPr>
            <w:t>- 139 -</w:t>
          </w:r>
        </w:p>
        <w:p w14:paraId="5ACB44CA">
          <w:pPr>
            <w:pStyle w:val="18"/>
            <w:tabs>
              <w:tab w:val="right" w:leader="dot" w:pos="8306"/>
              <w:tab w:val="clear" w:pos="8296"/>
            </w:tabs>
            <w:rPr>
              <w:rFonts w:hint="eastAsia" w:eastAsia="黑体"/>
              <w:w w:val="97"/>
              <w:sz w:val="28"/>
              <w:szCs w:val="28"/>
              <w:lang w:val="en-US" w:eastAsia="zh-CN"/>
            </w:rPr>
          </w:pPr>
          <w:r>
            <w:rPr>
              <w:rFonts w:hint="default" w:ascii="Times New Roman" w:hAnsi="Times New Roman" w:eastAsia="黑体" w:cs="Times New Roman"/>
              <w:w w:val="97"/>
              <w:sz w:val="28"/>
              <w:szCs w:val="28"/>
              <w:highlight w:val="none"/>
              <w14:ligatures w14:val="standardContextual"/>
            </w:rPr>
            <w:t>第十二</w:t>
          </w:r>
          <w:r>
            <w:rPr>
              <w:rFonts w:hint="default" w:ascii="Times New Roman" w:hAnsi="Times New Roman" w:eastAsia="黑体" w:cs="Times New Roman"/>
              <w:w w:val="97"/>
              <w:sz w:val="28"/>
              <w:szCs w:val="28"/>
              <w:highlight w:val="none"/>
              <w:lang w:eastAsia="zh"/>
              <w14:ligatures w14:val="standardContextual"/>
              <w:woUserID w:val="0"/>
            </w:rPr>
            <w:t>篇</w:t>
          </w:r>
          <w:r>
            <w:rPr>
              <w:rFonts w:hint="default" w:ascii="Times New Roman" w:hAnsi="Times New Roman" w:eastAsia="黑体" w:cs="Times New Roman"/>
              <w:w w:val="97"/>
              <w:sz w:val="28"/>
              <w:szCs w:val="28"/>
              <w:highlight w:val="none"/>
              <w14:ligatures w14:val="standardContextual"/>
            </w:rPr>
            <w:t xml:space="preserve"> 强化</w:t>
          </w:r>
          <w:r>
            <w:rPr>
              <w:rFonts w:hint="default" w:ascii="Times New Roman" w:hAnsi="Times New Roman" w:eastAsia="黑体" w:cs="Times New Roman"/>
              <w:w w:val="97"/>
              <w:sz w:val="28"/>
              <w:szCs w:val="28"/>
              <w:highlight w:val="none"/>
              <w:lang w:val="en-US" w:eastAsia="zh-CN"/>
              <w14:ligatures w14:val="standardContextual"/>
            </w:rPr>
            <w:t>规划实施</w:t>
          </w:r>
          <w:r>
            <w:rPr>
              <w:rFonts w:hint="default" w:ascii="Times New Roman" w:hAnsi="Times New Roman" w:eastAsia="黑体" w:cs="Times New Roman"/>
              <w:w w:val="97"/>
              <w:sz w:val="28"/>
              <w:szCs w:val="28"/>
              <w:highlight w:val="none"/>
              <w14:ligatures w14:val="standardContextual"/>
            </w:rPr>
            <w:t>保障  勠力同心铸就现代桦川宏伟蓝图</w:t>
          </w:r>
          <w:r>
            <w:rPr>
              <w:w w:val="97"/>
              <w:sz w:val="28"/>
              <w:szCs w:val="28"/>
            </w:rPr>
            <w:tab/>
          </w:r>
          <w:r>
            <w:rPr>
              <w:w w:val="97"/>
              <w:sz w:val="28"/>
              <w:szCs w:val="28"/>
            </w:rPr>
            <w:t>- 140 -</w:t>
          </w:r>
        </w:p>
        <w:p w14:paraId="1486FCC6">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rPr>
            <w:t>第一</w:t>
          </w:r>
          <w:r>
            <w:rPr>
              <w:rFonts w:hint="default" w:ascii="Times New Roman" w:hAnsi="Times New Roman" w:eastAsia="楷体" w:cs="Times New Roman"/>
              <w:sz w:val="28"/>
              <w:szCs w:val="28"/>
              <w:highlight w:val="none"/>
              <w:lang w:eastAsia="zh"/>
              <w:woUserID w:val="0"/>
            </w:rPr>
            <w:t>章</w:t>
          </w:r>
          <w:r>
            <w:rPr>
              <w:rFonts w:hint="default" w:ascii="Times New Roman" w:hAnsi="Times New Roman" w:eastAsia="楷体" w:cs="Times New Roman"/>
              <w:sz w:val="28"/>
              <w:szCs w:val="28"/>
              <w:highlight w:val="none"/>
              <w:lang w:eastAsia="zh-CN"/>
            </w:rPr>
            <w:t xml:space="preserve"> </w:t>
          </w:r>
          <w:r>
            <w:rPr>
              <w:rFonts w:hint="default" w:ascii="Times New Roman" w:hAnsi="Times New Roman" w:eastAsia="楷体" w:cs="Times New Roman"/>
              <w:sz w:val="28"/>
              <w:szCs w:val="28"/>
              <w:highlight w:val="none"/>
            </w:rPr>
            <w:t>加强党的全面领导</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- 140 -</w:t>
          </w:r>
        </w:p>
        <w:p w14:paraId="60D12922">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 充分发挥党的核心领导作用</w:t>
          </w:r>
          <w:r>
            <w:rPr>
              <w:sz w:val="28"/>
              <w:szCs w:val="28"/>
            </w:rPr>
            <w:tab/>
          </w:r>
          <w:r>
            <w:rPr>
              <w:sz w:val="28"/>
              <w:szCs w:val="28"/>
            </w:rPr>
            <w:t>- 140 -</w:t>
          </w:r>
        </w:p>
        <w:p w14:paraId="2E014D58">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 激发激励党员干部担当作为</w:t>
          </w:r>
          <w:r>
            <w:rPr>
              <w:sz w:val="28"/>
              <w:szCs w:val="28"/>
            </w:rPr>
            <w:tab/>
          </w:r>
          <w:r>
            <w:rPr>
              <w:sz w:val="28"/>
              <w:szCs w:val="28"/>
            </w:rPr>
            <w:t>- 141 -</w:t>
          </w:r>
        </w:p>
        <w:p w14:paraId="32FB1DC2">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rPr>
            <w:t>第二</w:t>
          </w:r>
          <w:r>
            <w:rPr>
              <w:rFonts w:hint="default" w:ascii="Times New Roman" w:hAnsi="Times New Roman" w:eastAsia="楷体" w:cs="Times New Roman"/>
              <w:sz w:val="28"/>
              <w:szCs w:val="28"/>
              <w:highlight w:val="none"/>
              <w:lang w:eastAsia="zh"/>
              <w:woUserID w:val="0"/>
            </w:rPr>
            <w:t>章</w:t>
          </w:r>
          <w:r>
            <w:rPr>
              <w:rFonts w:hint="default" w:ascii="Times New Roman" w:hAnsi="Times New Roman" w:eastAsia="楷体" w:cs="Times New Roman"/>
              <w:sz w:val="28"/>
              <w:szCs w:val="28"/>
              <w:highlight w:val="none"/>
              <w:lang w:eastAsia="zh-CN"/>
            </w:rPr>
            <w:t xml:space="preserve"> </w:t>
          </w:r>
          <w:r>
            <w:rPr>
              <w:rFonts w:hint="default" w:ascii="Times New Roman" w:hAnsi="Times New Roman" w:eastAsia="楷体" w:cs="Times New Roman"/>
              <w:sz w:val="28"/>
              <w:szCs w:val="28"/>
              <w:highlight w:val="none"/>
            </w:rPr>
            <w:t>强化规划导向引领</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- 142 -</w:t>
          </w:r>
        </w:p>
        <w:p w14:paraId="419EF3AD">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 推进规划统一体系建设</w:t>
          </w:r>
          <w:r>
            <w:rPr>
              <w:sz w:val="28"/>
              <w:szCs w:val="28"/>
            </w:rPr>
            <w:tab/>
          </w:r>
          <w:r>
            <w:rPr>
              <w:sz w:val="28"/>
              <w:szCs w:val="28"/>
            </w:rPr>
            <w:t>- 142 -</w:t>
          </w:r>
        </w:p>
        <w:p w14:paraId="24A860C7">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 增强规划的指导性、权威性和严肃性</w:t>
          </w:r>
          <w:r>
            <w:rPr>
              <w:sz w:val="28"/>
              <w:szCs w:val="28"/>
            </w:rPr>
            <w:tab/>
          </w:r>
          <w:r>
            <w:rPr>
              <w:sz w:val="28"/>
              <w:szCs w:val="28"/>
            </w:rPr>
            <w:t>- 142 -</w:t>
          </w:r>
        </w:p>
        <w:p w14:paraId="52451E4D">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第三节 建立健全规划衔接机制</w:t>
          </w:r>
          <w:r>
            <w:rPr>
              <w:sz w:val="28"/>
              <w:szCs w:val="28"/>
            </w:rPr>
            <w:tab/>
          </w:r>
          <w:r>
            <w:rPr>
              <w:sz w:val="28"/>
              <w:szCs w:val="28"/>
            </w:rPr>
            <w:t>- 142 -</w:t>
          </w:r>
        </w:p>
        <w:p w14:paraId="3E1D651E">
          <w:pPr>
            <w:pStyle w:val="21"/>
            <w:tabs>
              <w:tab w:val="right" w:leader="dot" w:pos="8306"/>
              <w:tab w:val="clear" w:pos="8296"/>
            </w:tabs>
            <w:rPr>
              <w:sz w:val="28"/>
              <w:szCs w:val="28"/>
            </w:rPr>
          </w:pPr>
          <w:r>
            <w:rPr>
              <w:rFonts w:hint="default" w:ascii="Times New Roman" w:hAnsi="Times New Roman" w:eastAsia="楷体" w:cs="Times New Roman"/>
              <w:sz w:val="28"/>
              <w:szCs w:val="28"/>
              <w:highlight w:val="none"/>
              <w:lang w:eastAsia="zh"/>
            </w:rPr>
            <w:t>第三章</w:t>
          </w:r>
          <w:r>
            <w:rPr>
              <w:rFonts w:hint="default" w:ascii="Times New Roman" w:hAnsi="Times New Roman" w:eastAsia="楷体" w:cs="Times New Roman"/>
              <w:sz w:val="28"/>
              <w:szCs w:val="28"/>
              <w:highlight w:val="none"/>
              <w:lang w:eastAsia="zh-CN"/>
            </w:rPr>
            <w:t xml:space="preserve"> </w:t>
          </w:r>
          <w:r>
            <w:rPr>
              <w:rFonts w:hint="default" w:ascii="Times New Roman" w:hAnsi="Times New Roman" w:eastAsia="楷体" w:cs="Times New Roman"/>
              <w:sz w:val="28"/>
              <w:szCs w:val="28"/>
              <w:highlight w:val="none"/>
            </w:rPr>
            <w:t>统筹推进组织实施</w:t>
          </w:r>
          <w:r>
            <w:rPr>
              <w:rFonts w:ascii="Times New Roman" w:hAnsi="Times New Roman" w:eastAsia="仿宋_GB2312" w:cs="Times New Roman"/>
              <w:kern w:val="2"/>
              <w:sz w:val="28"/>
              <w:szCs w:val="28"/>
              <w:lang w:val="en-US" w:eastAsia="zh-CN" w:bidi="ar-SA"/>
            </w:rPr>
            <w:tab/>
          </w:r>
          <w:r>
            <w:rPr>
              <w:rFonts w:ascii="Times New Roman" w:hAnsi="Times New Roman" w:eastAsia="仿宋_GB2312" w:cs="Times New Roman"/>
              <w:kern w:val="2"/>
              <w:sz w:val="28"/>
              <w:szCs w:val="28"/>
              <w:lang w:val="en-US" w:eastAsia="zh-CN" w:bidi="ar-SA"/>
            </w:rPr>
            <w:t>- 143 -</w:t>
          </w:r>
        </w:p>
        <w:p w14:paraId="65D78154">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第一节 强化规划分工落实</w:t>
          </w:r>
          <w:r>
            <w:rPr>
              <w:sz w:val="28"/>
              <w:szCs w:val="28"/>
            </w:rPr>
            <w:tab/>
          </w:r>
          <w:r>
            <w:rPr>
              <w:sz w:val="28"/>
              <w:szCs w:val="28"/>
            </w:rPr>
            <w:t>- 143 -</w:t>
          </w:r>
        </w:p>
        <w:p w14:paraId="5A093A90">
          <w:pPr>
            <w:pStyle w:val="13"/>
            <w:tabs>
              <w:tab w:val="right" w:leader="dot" w:pos="8306"/>
            </w:tabs>
            <w:rPr>
              <w:sz w:val="28"/>
              <w:szCs w:val="28"/>
            </w:rPr>
          </w:pPr>
          <w:r>
            <w:rPr>
              <w:rFonts w:hint="default" w:ascii="Times New Roman" w:hAnsi="Times New Roman" w:eastAsia="仿宋_GB2312" w:cs="Times New Roman"/>
              <w:bCs/>
              <w:sz w:val="28"/>
              <w:szCs w:val="28"/>
              <w:highlight w:val="none"/>
              <w:lang w:eastAsia="zh" w:bidi="ar"/>
              <w:woUserID w:val="0"/>
            </w:rPr>
            <w:t>第二节 加强重大项目配套</w:t>
          </w:r>
          <w:r>
            <w:rPr>
              <w:sz w:val="28"/>
              <w:szCs w:val="28"/>
            </w:rPr>
            <w:tab/>
          </w:r>
          <w:r>
            <w:rPr>
              <w:sz w:val="28"/>
              <w:szCs w:val="28"/>
            </w:rPr>
            <w:t>- 143 -</w:t>
          </w:r>
        </w:p>
        <w:p w14:paraId="391FA1DD">
          <w:pPr>
            <w:pStyle w:val="13"/>
            <w:tabs>
              <w:tab w:val="right" w:leader="dot" w:pos="8306"/>
            </w:tabs>
          </w:pPr>
          <w:r>
            <w:rPr>
              <w:rFonts w:hint="default" w:ascii="Times New Roman" w:hAnsi="Times New Roman" w:eastAsia="仿宋_GB2312" w:cs="Times New Roman"/>
              <w:bCs/>
              <w:sz w:val="28"/>
              <w:szCs w:val="28"/>
              <w:highlight w:val="none"/>
              <w:lang w:eastAsia="zh" w:bidi="ar"/>
              <w:woUserID w:val="0"/>
            </w:rPr>
            <w:t xml:space="preserve">第三节 </w:t>
          </w:r>
          <w:r>
            <w:rPr>
              <w:rFonts w:hint="default" w:ascii="Times New Roman" w:hAnsi="Times New Roman" w:eastAsia="仿宋_GB2312" w:cs="Times New Roman"/>
              <w:bCs/>
              <w:sz w:val="28"/>
              <w:szCs w:val="28"/>
              <w:highlight w:val="none"/>
              <w:lang w:eastAsia="zh" w:bidi="ar"/>
            </w:rPr>
            <w:t>完善监督考核机制</w:t>
          </w:r>
          <w:r>
            <w:rPr>
              <w:sz w:val="28"/>
              <w:szCs w:val="28"/>
            </w:rPr>
            <w:tab/>
          </w:r>
          <w:r>
            <w:rPr>
              <w:sz w:val="28"/>
              <w:szCs w:val="28"/>
            </w:rPr>
            <w:t>- 143 -</w:t>
          </w:r>
        </w:p>
        <w:p w14:paraId="0BAA7ED4">
          <w:pPr>
            <w:keepNext w:val="0"/>
            <w:keepLines w:val="0"/>
            <w:pageBreakBefore w:val="0"/>
            <w:widowControl w:val="0"/>
            <w:kinsoku/>
            <w:wordWrap/>
            <w:overflowPunct/>
            <w:topLinePunct w:val="0"/>
            <w:autoSpaceDE/>
            <w:autoSpaceDN/>
            <w:bidi w:val="0"/>
            <w:adjustRightInd/>
            <w:snapToGrid/>
            <w:spacing w:line="240" w:lineRule="atLeast"/>
            <w:jc w:val="left"/>
            <w:textAlignment w:val="auto"/>
            <w:rPr>
              <w:rFonts w:hint="default" w:ascii="Times New Roman" w:hAnsi="Times New Roman" w:cs="Times New Roman"/>
            </w:rPr>
          </w:pPr>
        </w:p>
      </w:sdtContent>
    </w:sdt>
    <w:p w14:paraId="15B4B98F">
      <w:pPr>
        <w:keepNext w:val="0"/>
        <w:keepLines w:val="0"/>
        <w:pageBreakBefore w:val="0"/>
        <w:widowControl w:val="0"/>
        <w:kinsoku/>
        <w:wordWrap/>
        <w:overflowPunct/>
        <w:topLinePunct w:val="0"/>
        <w:autoSpaceDE/>
        <w:autoSpaceDN/>
        <w:bidi w:val="0"/>
        <w:adjustRightInd/>
        <w:snapToGrid/>
        <w:spacing w:before="0" w:beforeLines="-2147483648" w:after="0" w:afterLines="-2147483648" w:line="240" w:lineRule="atLeast"/>
        <w:ind w:left="0" w:leftChars="0" w:right="0" w:rightChars="0" w:firstLine="0" w:firstLineChars="0"/>
        <w:jc w:val="left"/>
        <w:textAlignment w:val="auto"/>
        <w:rPr>
          <w:rFonts w:hint="default" w:ascii="Times New Roman" w:hAnsi="Times New Roman" w:eastAsia="宋体" w:cs="Times New Roman"/>
          <w:b/>
          <w:bCs/>
          <w:sz w:val="36"/>
          <w:szCs w:val="36"/>
        </w:rPr>
      </w:pPr>
      <w:r>
        <w:rPr>
          <w:rFonts w:hint="default" w:ascii="Times New Roman" w:hAnsi="Times New Roman" w:eastAsia="宋体" w:cs="Times New Roman"/>
          <w:b/>
          <w:bCs/>
          <w:sz w:val="36"/>
          <w:szCs w:val="36"/>
        </w:rPr>
        <w:br w:type="page"/>
      </w:r>
    </w:p>
    <w:p w14:paraId="44565B2E">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b w:val="0"/>
          <w:bCs w:val="0"/>
          <w:color w:val="auto"/>
          <w:sz w:val="44"/>
          <w:szCs w:val="32"/>
          <w:highlight w:val="none"/>
        </w:rPr>
      </w:pPr>
      <w:bookmarkStart w:id="1" w:name="OLE_LINK6"/>
      <w:r>
        <w:rPr>
          <w:rFonts w:hint="eastAsia" w:ascii="方正小标宋简体" w:hAnsi="方正小标宋简体" w:eastAsia="方正小标宋简体" w:cs="方正小标宋简体"/>
          <w:b w:val="0"/>
          <w:bCs w:val="0"/>
          <w:color w:val="auto"/>
          <w:sz w:val="44"/>
          <w:szCs w:val="32"/>
          <w:highlight w:val="none"/>
        </w:rPr>
        <w:t>桦川县国民经济和社会发展第十五个</w:t>
      </w:r>
    </w:p>
    <w:p w14:paraId="1952030F">
      <w:pPr>
        <w:keepNext w:val="0"/>
        <w:keepLines w:val="0"/>
        <w:pageBreakBefore w:val="0"/>
        <w:widowControl/>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b w:val="0"/>
          <w:bCs w:val="0"/>
          <w:color w:val="auto"/>
          <w:sz w:val="44"/>
          <w:szCs w:val="32"/>
          <w:highlight w:val="none"/>
        </w:rPr>
      </w:pPr>
      <w:r>
        <w:rPr>
          <w:rFonts w:hint="eastAsia" w:ascii="方正小标宋简体" w:hAnsi="方正小标宋简体" w:eastAsia="方正小标宋简体" w:cs="方正小标宋简体"/>
          <w:b w:val="0"/>
          <w:bCs w:val="0"/>
          <w:color w:val="auto"/>
          <w:sz w:val="44"/>
          <w:szCs w:val="32"/>
          <w:highlight w:val="none"/>
        </w:rPr>
        <w:t>五年规划纲要</w:t>
      </w:r>
    </w:p>
    <w:p w14:paraId="473DAA78">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 w:cs="Times New Roman"/>
          <w:color w:val="auto"/>
          <w:sz w:val="28"/>
          <w:szCs w:val="28"/>
          <w:highlight w:val="none"/>
          <w14:ligatures w14:val="standardContextual"/>
        </w:rPr>
      </w:pPr>
    </w:p>
    <w:p w14:paraId="79805B98">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“十五五”时期是我国</w:t>
      </w:r>
      <w:r>
        <w:rPr>
          <w:rFonts w:hint="eastAsia" w:eastAsia="仿宋_GB2312" w:cs="Times New Roman"/>
          <w:color w:val="auto"/>
          <w:sz w:val="32"/>
          <w:szCs w:val="32"/>
          <w:highlight w:val="none"/>
          <w:lang w:eastAsia="zh-CN"/>
        </w:rPr>
        <w:t>为基本实现社会主义现代化</w:t>
      </w:r>
      <w:r>
        <w:rPr>
          <w:rFonts w:hint="default" w:ascii="Times New Roman" w:hAnsi="Times New Roman" w:eastAsia="仿宋_GB2312" w:cs="Times New Roman"/>
          <w:color w:val="auto"/>
          <w:sz w:val="32"/>
          <w:szCs w:val="32"/>
          <w:highlight w:val="none"/>
        </w:rPr>
        <w:t>夯实基础、全面发力的关键时期</w:t>
      </w:r>
      <w:r>
        <w:rPr>
          <w:rFonts w:hint="default" w:ascii="Times New Roman" w:hAnsi="Times New Roman" w:eastAsia="仿宋_GB2312" w:cs="Times New Roman"/>
          <w:color w:val="auto"/>
          <w:sz w:val="32"/>
          <w:szCs w:val="32"/>
          <w:highlight w:val="none"/>
          <w:lang w:eastAsia="zh"/>
        </w:rPr>
        <w:t>，也是桦川县推动争先进位</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
        </w:rPr>
        <w:t>实现新突破的</w:t>
      </w:r>
      <w:r>
        <w:rPr>
          <w:rFonts w:hint="eastAsia" w:eastAsia="仿宋_GB2312" w:cs="Times New Roman"/>
          <w:color w:val="auto"/>
          <w:sz w:val="32"/>
          <w:szCs w:val="32"/>
          <w:highlight w:val="none"/>
          <w:lang w:eastAsia="zh-CN"/>
        </w:rPr>
        <w:t>重要</w:t>
      </w:r>
      <w:r>
        <w:rPr>
          <w:rFonts w:hint="default" w:ascii="Times New Roman" w:hAnsi="Times New Roman" w:eastAsia="仿宋_GB2312" w:cs="Times New Roman"/>
          <w:color w:val="auto"/>
          <w:sz w:val="32"/>
          <w:szCs w:val="32"/>
          <w:highlight w:val="none"/>
          <w:lang w:eastAsia="zh"/>
        </w:rPr>
        <w:t>时期</w:t>
      </w:r>
      <w:r>
        <w:rPr>
          <w:rFonts w:hint="default" w:ascii="Times New Roman" w:hAnsi="Times New Roman" w:eastAsia="仿宋_GB2312" w:cs="Times New Roman"/>
          <w:color w:val="auto"/>
          <w:sz w:val="32"/>
          <w:szCs w:val="32"/>
          <w:highlight w:val="none"/>
        </w:rPr>
        <w:t>。本纲要以习近平新时代中国特色社会主义思想为指导，全面贯彻落实党的二十大和二十届</w:t>
      </w:r>
      <w:r>
        <w:rPr>
          <w:rFonts w:hint="default" w:ascii="Times New Roman" w:hAnsi="Times New Roman" w:eastAsia="仿宋_GB2312" w:cs="Times New Roman"/>
          <w:color w:val="auto"/>
          <w:sz w:val="32"/>
          <w:szCs w:val="32"/>
          <w:highlight w:val="none"/>
          <w:lang w:eastAsia="zh"/>
        </w:rPr>
        <w:t>四中</w:t>
      </w:r>
      <w:r>
        <w:rPr>
          <w:rFonts w:hint="default" w:ascii="Times New Roman" w:hAnsi="Times New Roman" w:eastAsia="仿宋_GB2312" w:cs="Times New Roman"/>
          <w:color w:val="auto"/>
          <w:sz w:val="32"/>
          <w:szCs w:val="32"/>
          <w:highlight w:val="none"/>
        </w:rPr>
        <w:t>全会</w:t>
      </w:r>
      <w:r>
        <w:rPr>
          <w:rFonts w:hint="default" w:ascii="Times New Roman" w:hAnsi="Times New Roman" w:eastAsia="仿宋_GB2312" w:cs="Times New Roman"/>
          <w:color w:val="auto"/>
          <w:sz w:val="32"/>
          <w:szCs w:val="32"/>
          <w:highlight w:val="none"/>
          <w:lang w:eastAsia="zh-CN"/>
        </w:rPr>
        <w:t>精神，以及</w:t>
      </w:r>
      <w:r>
        <w:rPr>
          <w:rFonts w:hint="default" w:ascii="Times New Roman" w:hAnsi="Times New Roman" w:eastAsia="仿宋_GB2312" w:cs="Times New Roman"/>
          <w:color w:val="auto"/>
          <w:sz w:val="32"/>
          <w:szCs w:val="32"/>
          <w:highlight w:val="none"/>
        </w:rPr>
        <w:t>省委</w:t>
      </w:r>
      <w:r>
        <w:rPr>
          <w:rFonts w:hint="default" w:ascii="Times New Roman" w:hAnsi="Times New Roman" w:eastAsia="仿宋_GB2312" w:cs="Times New Roman"/>
          <w:color w:val="auto"/>
          <w:sz w:val="32"/>
          <w:szCs w:val="32"/>
          <w:highlight w:val="none"/>
          <w:lang w:eastAsia="zh"/>
        </w:rPr>
        <w:t>十三</w:t>
      </w:r>
      <w:r>
        <w:rPr>
          <w:rFonts w:hint="default" w:ascii="Times New Roman" w:hAnsi="Times New Roman" w:eastAsia="仿宋_GB2312" w:cs="Times New Roman"/>
          <w:color w:val="auto"/>
          <w:sz w:val="32"/>
          <w:szCs w:val="32"/>
          <w:highlight w:val="none"/>
        </w:rPr>
        <w:t>届</w:t>
      </w:r>
      <w:r>
        <w:rPr>
          <w:rFonts w:hint="default" w:ascii="Times New Roman" w:hAnsi="Times New Roman" w:eastAsia="仿宋_GB2312" w:cs="Times New Roman"/>
          <w:color w:val="auto"/>
          <w:sz w:val="32"/>
          <w:szCs w:val="32"/>
          <w:highlight w:val="none"/>
          <w:lang w:eastAsia="zh"/>
        </w:rPr>
        <w:t>八</w:t>
      </w:r>
      <w:r>
        <w:rPr>
          <w:rFonts w:hint="default" w:ascii="Times New Roman" w:hAnsi="Times New Roman" w:eastAsia="仿宋_GB2312" w:cs="Times New Roman"/>
          <w:color w:val="auto"/>
          <w:sz w:val="32"/>
          <w:szCs w:val="32"/>
          <w:highlight w:val="none"/>
          <w:lang w:val="en-US" w:eastAsia="zh-CN"/>
        </w:rPr>
        <w:t>次</w:t>
      </w:r>
      <w:r>
        <w:rPr>
          <w:rFonts w:hint="eastAsia" w:eastAsia="仿宋_GB2312" w:cs="Times New Roman"/>
          <w:color w:val="auto"/>
          <w:sz w:val="32"/>
          <w:szCs w:val="32"/>
          <w:highlight w:val="none"/>
          <w:lang w:val="en-US" w:eastAsia="zh-CN"/>
        </w:rPr>
        <w:t>全会、</w:t>
      </w:r>
      <w:r>
        <w:rPr>
          <w:rFonts w:hint="default" w:ascii="Times New Roman" w:hAnsi="Times New Roman" w:eastAsia="仿宋_GB2312" w:cs="Times New Roman"/>
          <w:color w:val="auto"/>
          <w:sz w:val="32"/>
          <w:szCs w:val="32"/>
          <w:highlight w:val="none"/>
          <w:lang w:val="en-US" w:eastAsia="zh-CN"/>
        </w:rPr>
        <w:t>九次全会精神</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
        </w:rPr>
        <w:t>市委十四</w:t>
      </w:r>
      <w:r>
        <w:rPr>
          <w:rFonts w:hint="default" w:ascii="Times New Roman" w:hAnsi="Times New Roman" w:eastAsia="仿宋_GB2312" w:cs="Times New Roman"/>
          <w:color w:val="auto"/>
          <w:sz w:val="32"/>
          <w:szCs w:val="32"/>
          <w:highlight w:val="none"/>
        </w:rPr>
        <w:t>届</w:t>
      </w:r>
      <w:r>
        <w:rPr>
          <w:rFonts w:hint="default" w:ascii="Times New Roman" w:hAnsi="Times New Roman" w:eastAsia="仿宋_GB2312" w:cs="Times New Roman"/>
          <w:color w:val="auto"/>
          <w:sz w:val="32"/>
          <w:szCs w:val="32"/>
          <w:highlight w:val="none"/>
          <w:lang w:eastAsia="zh"/>
        </w:rPr>
        <w:t>八次</w:t>
      </w:r>
      <w:r>
        <w:rPr>
          <w:rFonts w:hint="eastAsia" w:eastAsia="仿宋_GB2312" w:cs="Times New Roman"/>
          <w:color w:val="auto"/>
          <w:sz w:val="32"/>
          <w:szCs w:val="32"/>
          <w:highlight w:val="none"/>
          <w:lang w:eastAsia="zh-CN"/>
        </w:rPr>
        <w:t>全会、</w:t>
      </w:r>
      <w:r>
        <w:rPr>
          <w:rFonts w:hint="default" w:ascii="Times New Roman" w:hAnsi="Times New Roman" w:eastAsia="仿宋_GB2312" w:cs="Times New Roman"/>
          <w:color w:val="auto"/>
          <w:sz w:val="32"/>
          <w:szCs w:val="32"/>
          <w:highlight w:val="none"/>
          <w:lang w:eastAsia="zh-CN"/>
        </w:rPr>
        <w:t>九次全会精神，</w:t>
      </w:r>
      <w:r>
        <w:rPr>
          <w:rFonts w:hint="default" w:ascii="Times New Roman" w:hAnsi="Times New Roman" w:eastAsia="仿宋_GB2312" w:cs="Times New Roman"/>
          <w:color w:val="auto"/>
          <w:sz w:val="32"/>
          <w:szCs w:val="32"/>
          <w:highlight w:val="none"/>
          <w:lang w:eastAsia="zh"/>
        </w:rPr>
        <w:t>县委十八届八次</w:t>
      </w:r>
      <w:r>
        <w:rPr>
          <w:rFonts w:hint="eastAsia" w:eastAsia="仿宋_GB2312" w:cs="Times New Roman"/>
          <w:color w:val="auto"/>
          <w:sz w:val="32"/>
          <w:szCs w:val="32"/>
          <w:highlight w:val="none"/>
          <w:lang w:eastAsia="zh-CN"/>
        </w:rPr>
        <w:t>全会、</w:t>
      </w:r>
      <w:r>
        <w:rPr>
          <w:rFonts w:hint="default" w:ascii="Times New Roman" w:hAnsi="Times New Roman" w:eastAsia="仿宋_GB2312" w:cs="Times New Roman"/>
          <w:color w:val="auto"/>
          <w:sz w:val="32"/>
          <w:szCs w:val="32"/>
          <w:highlight w:val="none"/>
          <w:lang w:eastAsia="zh-CN"/>
        </w:rPr>
        <w:t>九次</w:t>
      </w:r>
      <w:r>
        <w:rPr>
          <w:rFonts w:hint="default" w:ascii="Times New Roman" w:hAnsi="Times New Roman" w:eastAsia="仿宋_GB2312" w:cs="Times New Roman"/>
          <w:color w:val="auto"/>
          <w:sz w:val="32"/>
          <w:szCs w:val="32"/>
          <w:highlight w:val="none"/>
          <w:lang w:eastAsia="zh"/>
        </w:rPr>
        <w:t>全会</w:t>
      </w:r>
      <w:r>
        <w:rPr>
          <w:rFonts w:hint="default" w:ascii="Times New Roman" w:hAnsi="Times New Roman" w:eastAsia="仿宋_GB2312" w:cs="Times New Roman"/>
          <w:color w:val="auto"/>
          <w:sz w:val="32"/>
          <w:szCs w:val="32"/>
          <w:highlight w:val="none"/>
        </w:rPr>
        <w:t>精神，根据《中共桦川县委关于制定国民经济和社会发展第十五个五年规划的建议》编制，主要阐明全县经济社会高质量发展的战略意图，明确政府工作重点，引导规范市场主体行为，是政府履行经济调节、社会管理、基础设施、公共服务、生态环境保护职能的重要依据，是全县人民的共同愿景。</w:t>
      </w:r>
      <w:bookmarkStart w:id="2" w:name="_Toc1631611848"/>
      <w:bookmarkStart w:id="3" w:name="_Toc1637590351"/>
    </w:p>
    <w:p w14:paraId="7DDF0F46">
      <w:pPr>
        <w:keepNext w:val="0"/>
        <w:keepLines w:val="0"/>
        <w:pageBreakBefore w:val="0"/>
        <w:numPr>
          <w:ilvl w:val="0"/>
          <w:numId w:val="1"/>
        </w:numPr>
        <w:kinsoku/>
        <w:wordWrap/>
        <w:overflowPunct/>
        <w:topLinePunct w:val="0"/>
        <w:autoSpaceDE/>
        <w:autoSpaceDN/>
        <w:bidi w:val="0"/>
        <w:adjustRightInd/>
        <w:snapToGrid w:val="0"/>
        <w:spacing w:line="560" w:lineRule="exact"/>
        <w:jc w:val="center"/>
        <w:textAlignment w:val="auto"/>
        <w:outlineLvl w:val="0"/>
        <w:rPr>
          <w:rFonts w:hint="default" w:ascii="Times New Roman" w:hAnsi="Times New Roman" w:eastAsia="黑体" w:cs="Times New Roman"/>
          <w:color w:val="auto"/>
          <w:sz w:val="32"/>
          <w:szCs w:val="32"/>
          <w:highlight w:val="none"/>
          <w14:ligatures w14:val="standardContextual"/>
        </w:rPr>
      </w:pPr>
      <w:bookmarkStart w:id="4" w:name="_Toc6995"/>
      <w:bookmarkStart w:id="5" w:name="_Toc16403"/>
      <w:bookmarkStart w:id="6" w:name="_Toc22184"/>
      <w:bookmarkStart w:id="7" w:name="_Toc13494"/>
      <w:bookmarkStart w:id="8" w:name="_Toc1499"/>
      <w:bookmarkStart w:id="9" w:name="_Toc3913"/>
      <w:bookmarkStart w:id="10" w:name="_Toc21197"/>
      <w:bookmarkStart w:id="11" w:name="_Toc25261"/>
      <w:bookmarkStart w:id="12" w:name="_Toc4349"/>
      <w:bookmarkStart w:id="13" w:name="_Toc25701"/>
      <w:bookmarkStart w:id="14" w:name="_Toc14538"/>
      <w:bookmarkStart w:id="15" w:name="_Toc15763"/>
      <w:r>
        <w:rPr>
          <w:rFonts w:hint="default" w:ascii="Times New Roman" w:hAnsi="Times New Roman" w:eastAsia="黑体" w:cs="Times New Roman"/>
          <w:color w:val="auto"/>
          <w:sz w:val="32"/>
          <w:szCs w:val="32"/>
          <w:highlight w:val="none"/>
          <w14:ligatures w14:val="standardContextual"/>
        </w:rPr>
        <w:t>“十五五”时期是全面建设社会主义现代化桦川的</w:t>
      </w:r>
    </w:p>
    <w:p w14:paraId="3C723D13">
      <w:pPr>
        <w:keepNext w:val="0"/>
        <w:keepLines w:val="0"/>
        <w:pageBreakBefore w:val="0"/>
        <w:numPr>
          <w:ilvl w:val="0"/>
          <w:numId w:val="0"/>
        </w:numPr>
        <w:kinsoku/>
        <w:wordWrap/>
        <w:overflowPunct/>
        <w:topLinePunct w:val="0"/>
        <w:autoSpaceDE/>
        <w:autoSpaceDN/>
        <w:bidi w:val="0"/>
        <w:adjustRightInd/>
        <w:snapToGrid w:val="0"/>
        <w:spacing w:line="560" w:lineRule="exact"/>
        <w:jc w:val="center"/>
        <w:textAlignment w:val="auto"/>
        <w:outlineLvl w:val="0"/>
        <w:rPr>
          <w:rFonts w:hint="default" w:ascii="Times New Roman" w:hAnsi="Times New Roman" w:eastAsia="黑体" w:cs="Times New Roman"/>
          <w:color w:val="auto"/>
          <w:sz w:val="32"/>
          <w:szCs w:val="32"/>
          <w:highlight w:val="none"/>
          <w14:ligatures w14:val="standardContextual"/>
        </w:rPr>
      </w:pPr>
      <w:r>
        <w:rPr>
          <w:rFonts w:hint="default" w:ascii="Times New Roman" w:hAnsi="Times New Roman" w:eastAsia="黑体" w:cs="Times New Roman"/>
          <w:color w:val="auto"/>
          <w:sz w:val="32"/>
          <w:szCs w:val="32"/>
          <w:highlight w:val="none"/>
          <w14:ligatures w14:val="standardContextual"/>
        </w:rPr>
        <w:t>关键时期</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30F255F0">
      <w:pPr>
        <w:keepNext w:val="0"/>
        <w:keepLines w:val="0"/>
        <w:pageBreakBefore w:val="0"/>
        <w:widowControl/>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“十四五”时期，面对复杂严峻的国际形势和艰巨繁重的国内改革发展稳定任务，</w:t>
      </w:r>
      <w:r>
        <w:rPr>
          <w:rFonts w:hint="eastAsia" w:eastAsia="仿宋_GB2312" w:cs="Times New Roman"/>
          <w:color w:val="auto"/>
          <w:sz w:val="32"/>
          <w:szCs w:val="32"/>
          <w:highlight w:val="none"/>
          <w:lang w:val="en-US" w:eastAsia="zh-CN"/>
        </w:rPr>
        <w:t>桦川县</w:t>
      </w:r>
      <w:r>
        <w:rPr>
          <w:rFonts w:hint="default" w:ascii="Times New Roman" w:hAnsi="Times New Roman" w:eastAsia="仿宋_GB2312" w:cs="Times New Roman"/>
          <w:color w:val="auto"/>
          <w:sz w:val="32"/>
          <w:szCs w:val="32"/>
          <w:highlight w:val="none"/>
        </w:rPr>
        <w:t>团结带领全</w:t>
      </w:r>
      <w:r>
        <w:rPr>
          <w:rFonts w:hint="default" w:ascii="Times New Roman" w:hAnsi="Times New Roman" w:eastAsia="仿宋_GB2312" w:cs="Times New Roman"/>
          <w:color w:val="auto"/>
          <w:sz w:val="32"/>
          <w:szCs w:val="32"/>
          <w:highlight w:val="none"/>
          <w:lang w:eastAsia="zh"/>
        </w:rPr>
        <w:t>县</w:t>
      </w:r>
      <w:r>
        <w:rPr>
          <w:rFonts w:hint="default" w:ascii="Times New Roman" w:hAnsi="Times New Roman" w:eastAsia="仿宋_GB2312" w:cs="Times New Roman"/>
          <w:color w:val="auto"/>
          <w:sz w:val="32"/>
          <w:szCs w:val="32"/>
          <w:highlight w:val="none"/>
        </w:rPr>
        <w:t>人民，坚持以习近平新时代中国特色社会主义思想为指导，深学笃行习近平总书记视察黑龙江期间重要讲话重要指示精神，牢牢把握高质量发展这个首要任务，</w:t>
      </w:r>
      <w:r>
        <w:rPr>
          <w:rFonts w:hint="default" w:ascii="Times New Roman" w:hAnsi="Times New Roman" w:eastAsia="仿宋_GB2312" w:cs="Times New Roman"/>
          <w:color w:val="auto"/>
          <w:sz w:val="32"/>
          <w:szCs w:val="32"/>
          <w:highlight w:val="none"/>
          <w:lang w:eastAsia="zh"/>
        </w:rPr>
        <w:t>严格落实党中央决策部署和省委、市委工作要求，团结带领全县广大干部群众牢记嘱托、感恩奋进，担当实干、迎难而上，勠力同心打造“一城”发展“五业”，高质量发展取得明显成效，中国式现代化桦川实践迈出坚实步伐</w:t>
      </w:r>
      <w:r>
        <w:rPr>
          <w:rFonts w:hint="default" w:ascii="Times New Roman" w:hAnsi="Times New Roman" w:eastAsia="仿宋_GB2312" w:cs="Times New Roman"/>
          <w:color w:val="auto"/>
          <w:sz w:val="32"/>
          <w:szCs w:val="32"/>
          <w:highlight w:val="none"/>
        </w:rPr>
        <w:t>。</w:t>
      </w:r>
    </w:p>
    <w:p w14:paraId="14514E92">
      <w:pPr>
        <w:pStyle w:val="3"/>
        <w:keepNext/>
        <w:keepLines/>
        <w:pageBreakBefore w:val="0"/>
        <w:kinsoku/>
        <w:wordWrap/>
        <w:overflowPunct/>
        <w:topLinePunct w:val="0"/>
        <w:autoSpaceDE/>
        <w:autoSpaceDN/>
        <w:bidi w:val="0"/>
        <w:adjustRightInd/>
        <w:snapToGrid/>
        <w:spacing w:before="0" w:after="0" w:line="560" w:lineRule="exact"/>
        <w:ind w:firstLine="0" w:firstLineChars="0"/>
        <w:jc w:val="center"/>
        <w:textAlignment w:val="auto"/>
        <w:outlineLvl w:val="1"/>
        <w:rPr>
          <w:rFonts w:hint="default" w:ascii="Times New Roman" w:hAnsi="Times New Roman" w:eastAsia="楷体" w:cs="Times New Roman"/>
          <w:b w:val="0"/>
          <w:bCs/>
          <w:color w:val="auto"/>
          <w:sz w:val="32"/>
          <w:szCs w:val="32"/>
          <w:highlight w:val="none"/>
        </w:rPr>
      </w:pPr>
      <w:bookmarkStart w:id="16" w:name="_Toc2811"/>
      <w:bookmarkStart w:id="17" w:name="_Toc147"/>
      <w:bookmarkStart w:id="18" w:name="_Toc7078"/>
      <w:bookmarkStart w:id="19" w:name="_Toc1158771720"/>
      <w:bookmarkStart w:id="20" w:name="_Toc501"/>
      <w:bookmarkStart w:id="21" w:name="_Toc1289"/>
      <w:bookmarkStart w:id="22" w:name="_Toc6596"/>
      <w:bookmarkStart w:id="23" w:name="_Toc17430"/>
      <w:bookmarkStart w:id="24" w:name="_Toc19280"/>
      <w:bookmarkStart w:id="25" w:name="_Toc31051"/>
      <w:bookmarkStart w:id="26" w:name="_Toc6367"/>
      <w:bookmarkStart w:id="27" w:name="_Toc8436"/>
      <w:bookmarkStart w:id="28" w:name="_Toc17601"/>
      <w:bookmarkStart w:id="29" w:name="_Toc11588346"/>
      <w:r>
        <w:rPr>
          <w:rFonts w:hint="default" w:ascii="Times New Roman" w:hAnsi="Times New Roman" w:eastAsia="楷体" w:cs="Times New Roman"/>
          <w:b w:val="0"/>
          <w:bCs/>
          <w:color w:val="auto"/>
          <w:sz w:val="32"/>
          <w:szCs w:val="32"/>
          <w:highlight w:val="none"/>
          <w:lang w:val="en-US" w:eastAsia="zh-CN"/>
        </w:rPr>
        <w:t>第一章</w:t>
      </w:r>
      <w:r>
        <w:rPr>
          <w:rFonts w:hint="default" w:ascii="Times New Roman" w:hAnsi="Times New Roman" w:eastAsia="楷体" w:cs="Times New Roman"/>
          <w:b w:val="0"/>
          <w:bCs/>
          <w:color w:val="auto"/>
          <w:sz w:val="32"/>
          <w:szCs w:val="32"/>
          <w:highlight w:val="none"/>
        </w:rPr>
        <w:t xml:space="preserve"> 建设现代化桦川成绩斐然</w:t>
      </w:r>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4DED1A88">
      <w:pPr>
        <w:pageBreakBefore w:val="0"/>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30" w:name="_Toc745"/>
      <w:bookmarkStart w:id="31" w:name="_Toc14126"/>
      <w:bookmarkStart w:id="32" w:name="_Toc25836"/>
      <w:bookmarkStart w:id="33" w:name="_Toc1541"/>
      <w:bookmarkStart w:id="34" w:name="_Toc11910"/>
      <w:bookmarkStart w:id="35" w:name="_Toc1734539727"/>
      <w:bookmarkStart w:id="36" w:name="_Toc11564"/>
      <w:bookmarkStart w:id="37" w:name="_Toc3991"/>
      <w:bookmarkStart w:id="38" w:name="_Toc4819"/>
      <w:bookmarkStart w:id="39" w:name="_Toc1945477204"/>
      <w:bookmarkStart w:id="40" w:name="_Toc11801"/>
      <w:r>
        <w:rPr>
          <w:rFonts w:hint="default" w:ascii="Times New Roman" w:hAnsi="Times New Roman" w:eastAsia="仿宋_GB2312" w:cs="Times New Roman"/>
          <w:b w:val="0"/>
          <w:bCs/>
          <w:color w:val="auto"/>
          <w:sz w:val="32"/>
          <w:szCs w:val="32"/>
          <w:highlight w:val="none"/>
          <w:u w:val="none"/>
          <w:lang w:val="en-US" w:eastAsia="zh-CN" w:bidi="ar"/>
          <w:woUserID w:val="0"/>
        </w:rPr>
        <w:t xml:space="preserve">第一节 </w:t>
      </w:r>
      <w:r>
        <w:rPr>
          <w:rFonts w:hint="default" w:ascii="Times New Roman" w:hAnsi="Times New Roman" w:eastAsia="仿宋_GB2312" w:cs="Times New Roman"/>
          <w:b w:val="0"/>
          <w:bCs/>
          <w:color w:val="auto"/>
          <w:sz w:val="32"/>
          <w:szCs w:val="32"/>
          <w:highlight w:val="none"/>
          <w:u w:val="none"/>
          <w:lang w:eastAsia="zh" w:bidi="ar"/>
          <w:woUserID w:val="0"/>
        </w:rPr>
        <w:t>县域综合实力显著增强</w:t>
      </w:r>
      <w:bookmarkEnd w:id="30"/>
      <w:bookmarkEnd w:id="31"/>
      <w:bookmarkEnd w:id="32"/>
      <w:bookmarkEnd w:id="33"/>
      <w:bookmarkEnd w:id="34"/>
      <w:bookmarkEnd w:id="35"/>
      <w:bookmarkEnd w:id="36"/>
      <w:bookmarkEnd w:id="37"/>
      <w:bookmarkEnd w:id="38"/>
      <w:bookmarkEnd w:id="39"/>
      <w:bookmarkEnd w:id="40"/>
    </w:p>
    <w:p w14:paraId="49870D2F">
      <w:pPr>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rPr>
        <w:t>全县经济发展呈现出总量不断扩大、质量持续上升的良好态势。地区生产总值</w:t>
      </w:r>
      <w:r>
        <w:rPr>
          <w:rFonts w:hint="default" w:ascii="Times New Roman" w:hAnsi="Times New Roman" w:eastAsia="仿宋_GB2312" w:cs="Times New Roman"/>
          <w:color w:val="auto"/>
          <w:sz w:val="32"/>
          <w:szCs w:val="32"/>
          <w:highlight w:val="none"/>
          <w:lang w:eastAsia="zh"/>
        </w:rPr>
        <w:t>由</w:t>
      </w:r>
      <w:r>
        <w:rPr>
          <w:rFonts w:hint="default" w:ascii="Times New Roman" w:hAnsi="Times New Roman" w:eastAsia="仿宋_GB2312" w:cs="Times New Roman"/>
          <w:color w:val="auto"/>
          <w:sz w:val="32"/>
          <w:szCs w:val="32"/>
          <w:highlight w:val="none"/>
        </w:rPr>
        <w:t>6</w:t>
      </w:r>
      <w:r>
        <w:rPr>
          <w:rFonts w:hint="default" w:ascii="Times New Roman" w:hAnsi="Times New Roman" w:eastAsia="仿宋_GB2312" w:cs="Times New Roman"/>
          <w:color w:val="auto"/>
          <w:sz w:val="32"/>
          <w:szCs w:val="32"/>
          <w:highlight w:val="none"/>
          <w:lang w:eastAsia="zh"/>
        </w:rPr>
        <w:t>8.5</w:t>
      </w:r>
      <w:r>
        <w:rPr>
          <w:rFonts w:hint="default" w:ascii="Times New Roman" w:hAnsi="Times New Roman" w:eastAsia="仿宋_GB2312" w:cs="Times New Roman"/>
          <w:color w:val="auto"/>
          <w:sz w:val="32"/>
          <w:szCs w:val="32"/>
          <w:highlight w:val="none"/>
        </w:rPr>
        <w:t>亿元</w:t>
      </w:r>
      <w:r>
        <w:rPr>
          <w:rFonts w:hint="default" w:ascii="Times New Roman" w:hAnsi="Times New Roman" w:eastAsia="仿宋_GB2312" w:cs="Times New Roman"/>
          <w:color w:val="auto"/>
          <w:sz w:val="32"/>
          <w:szCs w:val="32"/>
          <w:highlight w:val="none"/>
          <w:lang w:eastAsia="zh"/>
        </w:rPr>
        <w:t>提</w:t>
      </w:r>
      <w:r>
        <w:rPr>
          <w:rFonts w:hint="default" w:ascii="Times New Roman" w:hAnsi="Times New Roman" w:eastAsia="仿宋_GB2312" w:cs="Times New Roman"/>
          <w:color w:val="auto"/>
          <w:sz w:val="32"/>
          <w:szCs w:val="32"/>
          <w:highlight w:val="none"/>
        </w:rPr>
        <w:t>升</w:t>
      </w:r>
      <w:r>
        <w:rPr>
          <w:rFonts w:hint="default" w:ascii="Times New Roman" w:hAnsi="Times New Roman" w:eastAsia="仿宋_GB2312" w:cs="Times New Roman"/>
          <w:color w:val="auto"/>
          <w:sz w:val="32"/>
          <w:szCs w:val="32"/>
          <w:highlight w:val="none"/>
          <w:lang w:eastAsia="zh"/>
        </w:rPr>
        <w:t>至</w:t>
      </w:r>
      <w:r>
        <w:rPr>
          <w:rFonts w:hint="default" w:ascii="Times New Roman" w:hAnsi="Times New Roman" w:eastAsia="仿宋_GB2312" w:cs="Times New Roman"/>
          <w:color w:val="auto"/>
          <w:sz w:val="32"/>
          <w:szCs w:val="32"/>
          <w:highlight w:val="none"/>
        </w:rPr>
        <w:t>79亿元，年均增速达3.9%。现代农业加快发展，粮食总产</w:t>
      </w:r>
      <w:r>
        <w:rPr>
          <w:rFonts w:hint="default" w:ascii="Times New Roman" w:hAnsi="Times New Roman" w:eastAsia="仿宋_GB2312" w:cs="Times New Roman"/>
          <w:color w:val="auto"/>
          <w:sz w:val="32"/>
          <w:szCs w:val="32"/>
          <w:highlight w:val="none"/>
          <w:lang w:val="en-US" w:eastAsia="zh-CN"/>
        </w:rPr>
        <w:t>量</w:t>
      </w:r>
      <w:r>
        <w:rPr>
          <w:rFonts w:hint="default" w:ascii="Times New Roman" w:hAnsi="Times New Roman" w:eastAsia="仿宋_GB2312" w:cs="Times New Roman"/>
          <w:color w:val="auto"/>
          <w:sz w:val="32"/>
          <w:szCs w:val="32"/>
          <w:highlight w:val="none"/>
        </w:rPr>
        <w:t>突破19亿斤，连续三年获评全国绿色高产高效行动示范县，全国首家县属部级农产品检测机构落户我县</w:t>
      </w:r>
      <w:r>
        <w:rPr>
          <w:rFonts w:hint="default" w:ascii="Times New Roman" w:hAnsi="Times New Roman" w:eastAsia="仿宋_GB2312" w:cs="Times New Roman"/>
          <w:color w:val="auto"/>
          <w:sz w:val="32"/>
          <w:szCs w:val="32"/>
          <w:highlight w:val="none"/>
          <w:lang w:eastAsia="zh"/>
        </w:rPr>
        <w:t>，服务范围覆盖全国20余省份。高标准承办全国黑土地保护暨粮食产能可持续提升</w:t>
      </w:r>
      <w:r>
        <w:rPr>
          <w:rFonts w:hint="default" w:ascii="Times New Roman" w:hAnsi="Times New Roman" w:eastAsia="仿宋_GB2312" w:cs="Times New Roman"/>
          <w:color w:val="auto"/>
          <w:sz w:val="32"/>
          <w:szCs w:val="32"/>
          <w:highlight w:val="none"/>
          <w:lang w:val="en-US" w:eastAsia="zh-CN"/>
        </w:rPr>
        <w:t>现场会</w:t>
      </w:r>
      <w:r>
        <w:rPr>
          <w:rFonts w:hint="default" w:ascii="Times New Roman" w:hAnsi="Times New Roman" w:eastAsia="仿宋_GB2312" w:cs="Times New Roman"/>
          <w:color w:val="auto"/>
          <w:sz w:val="32"/>
          <w:szCs w:val="32"/>
          <w:highlight w:val="none"/>
          <w:lang w:eastAsia="zh"/>
        </w:rPr>
        <w:t>、全国农产品品质提升暨黑龙江省质量农业现场会、全国农产品质量检测能力提升交流</w:t>
      </w:r>
      <w:r>
        <w:rPr>
          <w:rFonts w:hint="eastAsia" w:eastAsia="仿宋_GB2312" w:cs="Times New Roman"/>
          <w:color w:val="auto"/>
          <w:sz w:val="32"/>
          <w:szCs w:val="32"/>
          <w:highlight w:val="none"/>
          <w:lang w:val="en-US" w:eastAsia="zh-CN"/>
        </w:rPr>
        <w:t>会</w:t>
      </w:r>
      <w:r>
        <w:rPr>
          <w:rFonts w:hint="default" w:ascii="Times New Roman" w:hAnsi="Times New Roman" w:eastAsia="仿宋_GB2312" w:cs="Times New Roman"/>
          <w:color w:val="auto"/>
          <w:sz w:val="32"/>
          <w:szCs w:val="32"/>
          <w:highlight w:val="none"/>
          <w:lang w:eastAsia="zh"/>
        </w:rPr>
        <w:t>等重大会议。</w:t>
      </w:r>
      <w:r>
        <w:rPr>
          <w:rFonts w:hint="default" w:ascii="Times New Roman" w:hAnsi="Times New Roman" w:eastAsia="仿宋_GB2312" w:cs="Times New Roman"/>
          <w:color w:val="auto"/>
          <w:sz w:val="32"/>
          <w:szCs w:val="32"/>
          <w:highlight w:val="none"/>
        </w:rPr>
        <w:t>建成</w:t>
      </w:r>
      <w:r>
        <w:rPr>
          <w:rFonts w:hint="default" w:ascii="Times New Roman" w:hAnsi="Times New Roman" w:eastAsia="仿宋_GB2312" w:cs="Times New Roman"/>
          <w:color w:val="auto"/>
          <w:sz w:val="32"/>
          <w:szCs w:val="32"/>
          <w:highlight w:val="none"/>
          <w:lang w:eastAsia="zh"/>
        </w:rPr>
        <w:t>全省最大的一级稻米油生产线、</w:t>
      </w:r>
      <w:r>
        <w:rPr>
          <w:rFonts w:hint="default" w:ascii="Times New Roman" w:hAnsi="Times New Roman" w:eastAsia="仿宋_GB2312" w:cs="Times New Roman"/>
          <w:color w:val="auto"/>
          <w:sz w:val="32"/>
          <w:szCs w:val="32"/>
          <w:highlight w:val="none"/>
        </w:rPr>
        <w:t>全省最大米糠加工基地</w:t>
      </w:r>
      <w:r>
        <w:rPr>
          <w:rFonts w:hint="default" w:ascii="Times New Roman" w:hAnsi="Times New Roman" w:eastAsia="仿宋_GB2312" w:cs="Times New Roman"/>
          <w:color w:val="auto"/>
          <w:sz w:val="32"/>
          <w:szCs w:val="32"/>
          <w:highlight w:val="none"/>
          <w:lang w:eastAsia="zh"/>
        </w:rPr>
        <w:t>，农产品加工转化率由2020年的60.4%提高到2025年的67%，累计认证“三品一标”农产品172个，“桦川大米”入驻国家地标馆。</w:t>
      </w:r>
      <w:r>
        <w:rPr>
          <w:rFonts w:hint="default" w:ascii="Times New Roman" w:hAnsi="Times New Roman" w:eastAsia="仿宋_GB2312" w:cs="Times New Roman"/>
          <w:color w:val="auto"/>
          <w:sz w:val="32"/>
          <w:szCs w:val="32"/>
          <w:highlight w:val="none"/>
        </w:rPr>
        <w:t>全力实施“引凤来栖”行动，签约厦门国贸粮食仓储贸易及深加工</w:t>
      </w:r>
      <w:r>
        <w:rPr>
          <w:rFonts w:hint="default" w:ascii="Times New Roman" w:hAnsi="Times New Roman" w:eastAsia="仿宋_GB2312" w:cs="Times New Roman"/>
          <w:color w:val="auto"/>
          <w:sz w:val="32"/>
          <w:szCs w:val="32"/>
          <w:highlight w:val="none"/>
          <w:lang w:val="en-US" w:eastAsia="zh-CN"/>
        </w:rPr>
        <w:t>等</w:t>
      </w:r>
      <w:r>
        <w:rPr>
          <w:rFonts w:hint="default" w:ascii="Times New Roman" w:hAnsi="Times New Roman" w:eastAsia="仿宋_GB2312" w:cs="Times New Roman"/>
          <w:color w:val="auto"/>
          <w:sz w:val="32"/>
          <w:szCs w:val="32"/>
          <w:highlight w:val="none"/>
        </w:rPr>
        <w:t>项目86个，签约金额185.95亿元。</w:t>
      </w:r>
      <w:r>
        <w:rPr>
          <w:rFonts w:hint="default" w:ascii="Times New Roman" w:hAnsi="Times New Roman" w:eastAsia="仿宋_GB2312" w:cs="Times New Roman"/>
          <w:color w:val="auto"/>
          <w:sz w:val="32"/>
          <w:szCs w:val="32"/>
          <w:highlight w:val="none"/>
          <w:lang w:eastAsia="zh"/>
        </w:rPr>
        <w:t>成功</w:t>
      </w:r>
      <w:r>
        <w:rPr>
          <w:rFonts w:hint="default" w:ascii="Times New Roman" w:hAnsi="Times New Roman" w:eastAsia="仿宋_GB2312" w:cs="Times New Roman"/>
          <w:color w:val="auto"/>
          <w:sz w:val="32"/>
          <w:szCs w:val="32"/>
          <w:highlight w:val="none"/>
          <w:lang w:eastAsia="zh-CN"/>
        </w:rPr>
        <w:t>引进</w:t>
      </w:r>
      <w:r>
        <w:rPr>
          <w:rFonts w:hint="default" w:ascii="Times New Roman" w:hAnsi="Times New Roman" w:eastAsia="仿宋_GB2312" w:cs="Times New Roman"/>
          <w:color w:val="auto"/>
          <w:sz w:val="32"/>
          <w:szCs w:val="32"/>
          <w:highlight w:val="none"/>
          <w:lang w:eastAsia="zh"/>
        </w:rPr>
        <w:t>华润、国能、</w:t>
      </w:r>
      <w:r>
        <w:rPr>
          <w:rFonts w:hint="default" w:ascii="Times New Roman" w:hAnsi="Times New Roman" w:eastAsia="仿宋_GB2312" w:cs="Times New Roman"/>
          <w:color w:val="auto"/>
          <w:sz w:val="32"/>
          <w:szCs w:val="32"/>
          <w:highlight w:val="none"/>
        </w:rPr>
        <w:t>富尔种业</w:t>
      </w:r>
      <w:r>
        <w:rPr>
          <w:rFonts w:hint="default" w:ascii="Times New Roman" w:hAnsi="Times New Roman" w:eastAsia="仿宋_GB2312" w:cs="Times New Roman"/>
          <w:color w:val="auto"/>
          <w:sz w:val="32"/>
          <w:szCs w:val="32"/>
          <w:highlight w:val="none"/>
          <w:lang w:eastAsia="zh-CN"/>
        </w:rPr>
        <w:t>等</w:t>
      </w:r>
      <w:r>
        <w:rPr>
          <w:rFonts w:hint="default" w:ascii="Times New Roman" w:hAnsi="Times New Roman" w:eastAsia="仿宋_GB2312" w:cs="Times New Roman"/>
          <w:color w:val="auto"/>
          <w:sz w:val="32"/>
          <w:szCs w:val="32"/>
          <w:highlight w:val="none"/>
          <w:lang w:eastAsia="zh"/>
        </w:rPr>
        <w:t>行业龙头企业，华润电力桦川一期150MW风电项目等</w:t>
      </w:r>
      <w:r>
        <w:rPr>
          <w:rFonts w:hint="default" w:ascii="Times New Roman" w:hAnsi="Times New Roman" w:eastAsia="仿宋_GB2312" w:cs="Times New Roman"/>
          <w:color w:val="auto"/>
          <w:sz w:val="32"/>
          <w:szCs w:val="32"/>
          <w:highlight w:val="none"/>
          <w:lang w:eastAsia="zh-CN"/>
        </w:rPr>
        <w:t>重点项目</w:t>
      </w:r>
      <w:r>
        <w:rPr>
          <w:rFonts w:hint="default" w:ascii="Times New Roman" w:hAnsi="Times New Roman" w:eastAsia="仿宋_GB2312" w:cs="Times New Roman"/>
          <w:color w:val="auto"/>
          <w:sz w:val="32"/>
          <w:szCs w:val="32"/>
          <w:highlight w:val="none"/>
          <w:lang w:val="en-US" w:eastAsia="zh-CN"/>
        </w:rPr>
        <w:t>基本建成</w:t>
      </w:r>
      <w:r>
        <w:rPr>
          <w:rFonts w:hint="default" w:ascii="Times New Roman" w:hAnsi="Times New Roman" w:eastAsia="仿宋_GB2312" w:cs="Times New Roman"/>
          <w:color w:val="auto"/>
          <w:sz w:val="32"/>
          <w:szCs w:val="32"/>
          <w:highlight w:val="none"/>
          <w:lang w:eastAsia="zh"/>
        </w:rPr>
        <w:t>，现代化强县的步伐越迈越稳、越迈越宽。</w:t>
      </w:r>
    </w:p>
    <w:p w14:paraId="1E0B34BE">
      <w:pPr>
        <w:pageBreakBefore w:val="0"/>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CN" w:bidi="ar"/>
          <w:woUserID w:val="0"/>
        </w:rPr>
      </w:pPr>
      <w:bookmarkStart w:id="41" w:name="_Toc23489"/>
      <w:bookmarkStart w:id="42" w:name="_Toc32585"/>
      <w:bookmarkStart w:id="43" w:name="_Toc5810"/>
      <w:bookmarkStart w:id="44" w:name="_Toc4898"/>
      <w:bookmarkStart w:id="45" w:name="_Toc3713"/>
      <w:bookmarkStart w:id="46" w:name="_Toc9078"/>
      <w:bookmarkStart w:id="47" w:name="_Toc7257"/>
      <w:bookmarkStart w:id="48" w:name="_Toc19461"/>
      <w:r>
        <w:rPr>
          <w:rFonts w:hint="default" w:ascii="Times New Roman" w:hAnsi="Times New Roman" w:eastAsia="仿宋_GB2312" w:cs="Times New Roman"/>
          <w:b w:val="0"/>
          <w:bCs w:val="0"/>
          <w:color w:val="auto"/>
          <w:sz w:val="32"/>
          <w:szCs w:val="32"/>
          <w:highlight w:val="none"/>
          <w:u w:val="none"/>
          <w:lang w:val="en-US" w:eastAsia="zh-CN" w:bidi="ar"/>
          <w:woUserID w:val="0"/>
        </w:rPr>
        <w:t xml:space="preserve">第二节 </w:t>
      </w:r>
      <w:r>
        <w:rPr>
          <w:rFonts w:hint="default" w:ascii="Times New Roman" w:hAnsi="Times New Roman" w:eastAsia="仿宋_GB2312" w:cs="Times New Roman"/>
          <w:b w:val="0"/>
          <w:bCs w:val="0"/>
          <w:color w:val="auto"/>
          <w:sz w:val="32"/>
          <w:szCs w:val="32"/>
          <w:highlight w:val="none"/>
          <w:u w:val="none"/>
          <w:lang w:eastAsia="zh-CN" w:bidi="ar"/>
          <w:woUserID w:val="0"/>
        </w:rPr>
        <w:t>产业转型成效充分凸显</w:t>
      </w:r>
      <w:bookmarkEnd w:id="41"/>
      <w:bookmarkEnd w:id="42"/>
      <w:bookmarkEnd w:id="43"/>
      <w:bookmarkEnd w:id="44"/>
      <w:bookmarkEnd w:id="45"/>
      <w:bookmarkEnd w:id="46"/>
      <w:bookmarkEnd w:id="47"/>
      <w:bookmarkEnd w:id="48"/>
    </w:p>
    <w:p w14:paraId="56F0265A">
      <w:pPr>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
        </w:rPr>
        <w:t>推动产业转型升级，产业</w:t>
      </w:r>
      <w:r>
        <w:rPr>
          <w:rFonts w:hint="default" w:ascii="Times New Roman" w:hAnsi="Times New Roman" w:eastAsia="仿宋_GB2312" w:cs="Times New Roman"/>
          <w:color w:val="auto"/>
          <w:sz w:val="32"/>
          <w:szCs w:val="32"/>
          <w:highlight w:val="none"/>
        </w:rPr>
        <w:t>结构加速</w:t>
      </w:r>
      <w:r>
        <w:rPr>
          <w:rFonts w:hint="default" w:ascii="Times New Roman" w:hAnsi="Times New Roman" w:eastAsia="仿宋_GB2312" w:cs="Times New Roman"/>
          <w:color w:val="auto"/>
          <w:sz w:val="32"/>
          <w:szCs w:val="32"/>
          <w:highlight w:val="none"/>
          <w:lang w:eastAsia="zh"/>
        </w:rPr>
        <w:t>优化</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
        </w:rPr>
        <w:t>二</w:t>
      </w:r>
      <w:r>
        <w:rPr>
          <w:rFonts w:hint="eastAsia" w:eastAsia="仿宋_GB2312" w:cs="Times New Roman"/>
          <w:color w:val="auto"/>
          <w:sz w:val="32"/>
          <w:szCs w:val="32"/>
          <w:highlight w:val="none"/>
          <w:lang w:eastAsia="zh-CN"/>
        </w:rPr>
        <w:t>产、</w:t>
      </w:r>
      <w:r>
        <w:rPr>
          <w:rFonts w:hint="default" w:ascii="Times New Roman" w:hAnsi="Times New Roman" w:eastAsia="仿宋_GB2312" w:cs="Times New Roman"/>
          <w:color w:val="auto"/>
          <w:sz w:val="32"/>
          <w:szCs w:val="32"/>
          <w:highlight w:val="none"/>
        </w:rPr>
        <w:t>三产</w:t>
      </w:r>
      <w:r>
        <w:rPr>
          <w:rFonts w:hint="eastAsia" w:eastAsia="仿宋_GB2312" w:cs="Times New Roman"/>
          <w:color w:val="auto"/>
          <w:sz w:val="32"/>
          <w:szCs w:val="32"/>
          <w:highlight w:val="none"/>
          <w:lang w:eastAsia="zh-CN"/>
        </w:rPr>
        <w:t>产</w:t>
      </w:r>
      <w:r>
        <w:rPr>
          <w:rFonts w:hint="default" w:ascii="Times New Roman" w:hAnsi="Times New Roman" w:eastAsia="仿宋_GB2312" w:cs="Times New Roman"/>
          <w:color w:val="auto"/>
          <w:sz w:val="32"/>
          <w:szCs w:val="32"/>
          <w:highlight w:val="none"/>
        </w:rPr>
        <w:t>业结构</w:t>
      </w:r>
      <w:r>
        <w:rPr>
          <w:rFonts w:hint="default" w:ascii="Times New Roman" w:hAnsi="Times New Roman" w:eastAsia="仿宋_GB2312" w:cs="Times New Roman"/>
          <w:color w:val="auto"/>
          <w:sz w:val="32"/>
          <w:szCs w:val="32"/>
          <w:highlight w:val="none"/>
          <w:lang w:eastAsia="zh"/>
        </w:rPr>
        <w:t>占比</w:t>
      </w:r>
      <w:r>
        <w:rPr>
          <w:rFonts w:hint="default" w:ascii="Times New Roman" w:hAnsi="Times New Roman" w:eastAsia="仿宋_GB2312" w:cs="Times New Roman"/>
          <w:color w:val="auto"/>
          <w:sz w:val="32"/>
          <w:szCs w:val="32"/>
          <w:highlight w:val="none"/>
        </w:rPr>
        <w:t>由2020年的</w:t>
      </w:r>
      <w:r>
        <w:rPr>
          <w:rFonts w:hint="default" w:ascii="Times New Roman" w:hAnsi="Times New Roman" w:eastAsia="仿宋_GB2312" w:cs="Times New Roman"/>
          <w:color w:val="auto"/>
          <w:sz w:val="32"/>
          <w:szCs w:val="32"/>
          <w:highlight w:val="none"/>
          <w:lang w:eastAsia="zh"/>
        </w:rPr>
        <w:t>33%提升至</w:t>
      </w:r>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eastAsia="zh"/>
        </w:rPr>
        <w:t>4</w:t>
      </w:r>
      <w:r>
        <w:rPr>
          <w:rFonts w:hint="default" w:ascii="Times New Roman" w:hAnsi="Times New Roman" w:eastAsia="仿宋_GB2312" w:cs="Times New Roman"/>
          <w:color w:val="auto"/>
          <w:sz w:val="32"/>
          <w:szCs w:val="32"/>
          <w:highlight w:val="none"/>
        </w:rPr>
        <w:t>年的</w:t>
      </w:r>
      <w:r>
        <w:rPr>
          <w:rFonts w:hint="default" w:ascii="Times New Roman" w:hAnsi="Times New Roman" w:eastAsia="仿宋_GB2312" w:cs="Times New Roman"/>
          <w:color w:val="auto"/>
          <w:sz w:val="32"/>
          <w:szCs w:val="32"/>
          <w:highlight w:val="none"/>
          <w:lang w:eastAsia="zh"/>
        </w:rPr>
        <w:t>38.4%</w:t>
      </w:r>
      <w:r>
        <w:rPr>
          <w:rFonts w:hint="default" w:ascii="Times New Roman" w:hAnsi="Times New Roman" w:eastAsia="仿宋_GB2312" w:cs="Times New Roman"/>
          <w:color w:val="auto"/>
          <w:sz w:val="32"/>
          <w:szCs w:val="32"/>
          <w:highlight w:val="none"/>
        </w:rPr>
        <w:t>。工业经济底盘持续夯实，规模以上工业企业数量实现倍增，总数达到61户。三绿源米业成功</w:t>
      </w:r>
      <w:r>
        <w:rPr>
          <w:rFonts w:hint="default" w:ascii="Times New Roman" w:hAnsi="Times New Roman" w:eastAsia="仿宋_GB2312" w:cs="Times New Roman"/>
          <w:color w:val="auto"/>
          <w:sz w:val="32"/>
          <w:szCs w:val="32"/>
          <w:highlight w:val="none"/>
          <w:lang w:eastAsia="zh"/>
        </w:rPr>
        <w:t>认定</w:t>
      </w:r>
      <w:r>
        <w:rPr>
          <w:rFonts w:hint="default" w:ascii="Times New Roman" w:hAnsi="Times New Roman" w:eastAsia="仿宋_GB2312" w:cs="Times New Roman"/>
          <w:color w:val="auto"/>
          <w:sz w:val="32"/>
          <w:szCs w:val="32"/>
          <w:highlight w:val="none"/>
        </w:rPr>
        <w:t>省级数字化车间，实现“零”</w:t>
      </w:r>
      <w:r>
        <w:rPr>
          <w:rFonts w:hint="default" w:ascii="Times New Roman" w:hAnsi="Times New Roman" w:eastAsia="仿宋_GB2312" w:cs="Times New Roman"/>
          <w:color w:val="auto"/>
          <w:sz w:val="32"/>
          <w:szCs w:val="32"/>
          <w:highlight w:val="none"/>
          <w:lang w:eastAsia="zh"/>
        </w:rPr>
        <w:t>的</w:t>
      </w:r>
      <w:r>
        <w:rPr>
          <w:rFonts w:hint="default" w:ascii="Times New Roman" w:hAnsi="Times New Roman" w:eastAsia="仿宋_GB2312" w:cs="Times New Roman"/>
          <w:color w:val="auto"/>
          <w:sz w:val="32"/>
          <w:szCs w:val="32"/>
          <w:highlight w:val="none"/>
        </w:rPr>
        <w:t>突破。整合全县稻米企业资源，桦川县稻米精深加工产业集群通过省级特色中小企业集群认定。</w:t>
      </w:r>
      <w:r>
        <w:rPr>
          <w:rFonts w:hint="default" w:ascii="Times New Roman" w:hAnsi="Times New Roman" w:eastAsia="仿宋_GB2312" w:cs="Times New Roman"/>
          <w:color w:val="auto"/>
          <w:sz w:val="32"/>
          <w:szCs w:val="32"/>
          <w:highlight w:val="none"/>
          <w:lang w:eastAsia="zh"/>
        </w:rPr>
        <w:t>“一区三园”建成面积559.37公顷，基础设施配套实现“九通一平”，入驻企业72家</w:t>
      </w:r>
      <w:r>
        <w:rPr>
          <w:rFonts w:hint="default" w:ascii="Times New Roman" w:hAnsi="Times New Roman" w:eastAsia="仿宋_GB2312" w:cs="Times New Roman"/>
          <w:color w:val="auto"/>
          <w:sz w:val="32"/>
          <w:szCs w:val="32"/>
          <w:highlight w:val="none"/>
        </w:rPr>
        <w:t>。现代服务业提档升级，实施米世界田园综合体</w:t>
      </w:r>
      <w:r>
        <w:rPr>
          <w:rFonts w:hint="default" w:ascii="Times New Roman" w:hAnsi="Times New Roman" w:eastAsia="仿宋_GB2312" w:cs="Times New Roman"/>
          <w:color w:val="auto"/>
          <w:sz w:val="32"/>
          <w:szCs w:val="32"/>
          <w:highlight w:val="none"/>
          <w:lang w:eastAsia="zh"/>
        </w:rPr>
        <w:t>、</w:t>
      </w:r>
      <w:r>
        <w:rPr>
          <w:rFonts w:hint="default" w:ascii="Times New Roman" w:hAnsi="Times New Roman" w:eastAsia="仿宋_GB2312" w:cs="Times New Roman"/>
          <w:color w:val="auto"/>
          <w:sz w:val="32"/>
          <w:szCs w:val="32"/>
          <w:highlight w:val="none"/>
        </w:rPr>
        <w:t>星火影视城等文化旅游项目，星火稻乡旅游景区</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黑龙江桦川国家森林公园</w:t>
      </w:r>
      <w:r>
        <w:rPr>
          <w:rFonts w:hint="default" w:ascii="Times New Roman" w:hAnsi="Times New Roman" w:eastAsia="仿宋_GB2312" w:cs="Times New Roman"/>
          <w:color w:val="auto"/>
          <w:sz w:val="32"/>
          <w:szCs w:val="32"/>
          <w:highlight w:val="none"/>
          <w:lang w:eastAsia="zh"/>
        </w:rPr>
        <w:t>晋升为</w:t>
      </w:r>
      <w:r>
        <w:rPr>
          <w:rFonts w:hint="default" w:ascii="Times New Roman" w:hAnsi="Times New Roman" w:eastAsia="仿宋_GB2312" w:cs="Times New Roman"/>
          <w:color w:val="auto"/>
          <w:sz w:val="32"/>
          <w:szCs w:val="32"/>
          <w:highlight w:val="none"/>
        </w:rPr>
        <w:t>国家</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A级、</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A级旅游景区</w:t>
      </w:r>
      <w:r>
        <w:rPr>
          <w:rFonts w:hint="default" w:ascii="Times New Roman" w:hAnsi="Times New Roman" w:eastAsia="仿宋_GB2312" w:cs="Times New Roman"/>
          <w:color w:val="auto"/>
          <w:sz w:val="32"/>
          <w:szCs w:val="32"/>
          <w:highlight w:val="none"/>
          <w:lang w:eastAsia="zh"/>
        </w:rPr>
        <w:t>，农事体验之旅入选国家级精品旅游路线</w:t>
      </w:r>
      <w:r>
        <w:rPr>
          <w:rFonts w:hint="default" w:ascii="Times New Roman" w:hAnsi="Times New Roman" w:eastAsia="仿宋_GB2312" w:cs="Times New Roman"/>
          <w:color w:val="auto"/>
          <w:sz w:val="32"/>
          <w:szCs w:val="32"/>
          <w:highlight w:val="none"/>
        </w:rPr>
        <w:t>。举办</w:t>
      </w:r>
      <w:r>
        <w:rPr>
          <w:rFonts w:hint="default" w:ascii="Times New Roman" w:hAnsi="Times New Roman" w:eastAsia="仿宋_GB2312" w:cs="Times New Roman"/>
          <w:color w:val="auto"/>
          <w:sz w:val="32"/>
          <w:szCs w:val="32"/>
          <w:highlight w:val="none"/>
          <w:lang w:eastAsia="zh"/>
        </w:rPr>
        <w:t>全国四季村晚之秋季村晚示范点展示、全省青少年女子篮球锦标赛</w:t>
      </w:r>
      <w:r>
        <w:rPr>
          <w:rFonts w:hint="default" w:ascii="Times New Roman" w:hAnsi="Times New Roman" w:eastAsia="仿宋_GB2312" w:cs="Times New Roman"/>
          <w:color w:val="auto"/>
          <w:sz w:val="32"/>
          <w:szCs w:val="32"/>
          <w:highlight w:val="none"/>
        </w:rPr>
        <w:t>等特色活动100余场，带动游客</w:t>
      </w:r>
      <w:r>
        <w:rPr>
          <w:rFonts w:hint="default" w:ascii="Times New Roman" w:hAnsi="Times New Roman" w:eastAsia="仿宋_GB2312" w:cs="Times New Roman"/>
          <w:color w:val="auto"/>
          <w:sz w:val="32"/>
          <w:szCs w:val="32"/>
          <w:highlight w:val="none"/>
          <w:lang w:eastAsia="zh"/>
        </w:rPr>
        <w:t>120</w:t>
      </w:r>
      <w:r>
        <w:rPr>
          <w:rFonts w:hint="default" w:ascii="Times New Roman" w:hAnsi="Times New Roman" w:eastAsia="仿宋_GB2312" w:cs="Times New Roman"/>
          <w:color w:val="auto"/>
          <w:sz w:val="32"/>
          <w:szCs w:val="32"/>
          <w:highlight w:val="none"/>
        </w:rPr>
        <w:t>余万人次，旅游综合收入年均增长</w:t>
      </w:r>
      <w:r>
        <w:rPr>
          <w:rFonts w:hint="default" w:ascii="Times New Roman" w:hAnsi="Times New Roman" w:eastAsia="仿宋_GB2312" w:cs="Times New Roman"/>
          <w:color w:val="auto"/>
          <w:sz w:val="32"/>
          <w:szCs w:val="32"/>
          <w:highlight w:val="none"/>
          <w:lang w:eastAsia="zh"/>
        </w:rPr>
        <w:t>26.81</w:t>
      </w:r>
      <w:r>
        <w:rPr>
          <w:rFonts w:hint="default" w:ascii="Times New Roman" w:hAnsi="Times New Roman" w:eastAsia="仿宋_GB2312" w:cs="Times New Roman"/>
          <w:color w:val="auto"/>
          <w:sz w:val="32"/>
          <w:szCs w:val="32"/>
          <w:highlight w:val="none"/>
        </w:rPr>
        <w:t>%。社会消费品零售总额</w:t>
      </w:r>
      <w:r>
        <w:rPr>
          <w:rFonts w:hint="default" w:ascii="Times New Roman" w:hAnsi="Times New Roman" w:eastAsia="仿宋_GB2312" w:cs="Times New Roman"/>
          <w:color w:val="auto"/>
          <w:sz w:val="32"/>
          <w:szCs w:val="32"/>
          <w:highlight w:val="none"/>
          <w:lang w:eastAsia="zh"/>
        </w:rPr>
        <w:t>突破10</w:t>
      </w:r>
      <w:r>
        <w:rPr>
          <w:rFonts w:hint="default" w:ascii="Times New Roman" w:hAnsi="Times New Roman" w:eastAsia="仿宋_GB2312" w:cs="Times New Roman"/>
          <w:color w:val="auto"/>
          <w:sz w:val="32"/>
          <w:szCs w:val="32"/>
          <w:highlight w:val="none"/>
        </w:rPr>
        <w:t>亿元，</w:t>
      </w:r>
      <w:r>
        <w:rPr>
          <w:rFonts w:hint="default" w:ascii="Times New Roman" w:hAnsi="Times New Roman" w:eastAsia="仿宋_GB2312" w:cs="Times New Roman"/>
          <w:color w:val="auto"/>
          <w:sz w:val="32"/>
          <w:szCs w:val="32"/>
          <w:highlight w:val="none"/>
          <w:lang w:eastAsia="zh"/>
        </w:rPr>
        <w:t>创历史新高</w:t>
      </w:r>
      <w:r>
        <w:rPr>
          <w:rFonts w:hint="default" w:ascii="Times New Roman" w:hAnsi="Times New Roman" w:eastAsia="仿宋_GB2312" w:cs="Times New Roman"/>
          <w:color w:val="auto"/>
          <w:sz w:val="32"/>
          <w:szCs w:val="32"/>
          <w:highlight w:val="none"/>
        </w:rPr>
        <w:t>。</w:t>
      </w:r>
    </w:p>
    <w:p w14:paraId="0C332144">
      <w:pPr>
        <w:pageBreakBefore w:val="0"/>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49" w:name="_Toc19216"/>
      <w:bookmarkStart w:id="50" w:name="_Toc7443"/>
      <w:bookmarkStart w:id="51" w:name="_Toc1791"/>
      <w:bookmarkStart w:id="52" w:name="_Toc19431"/>
      <w:bookmarkStart w:id="53" w:name="_Toc29149"/>
      <w:bookmarkStart w:id="54" w:name="_Toc32715"/>
      <w:bookmarkStart w:id="55" w:name="_Toc18417"/>
      <w:bookmarkStart w:id="56" w:name="_Toc22581"/>
      <w:bookmarkStart w:id="57" w:name="_Toc1160354097"/>
      <w:bookmarkStart w:id="58" w:name="_Toc17854"/>
      <w:bookmarkStart w:id="59" w:name="_Toc2112598935"/>
      <w:r>
        <w:rPr>
          <w:rFonts w:hint="default" w:ascii="Times New Roman" w:hAnsi="Times New Roman" w:eastAsia="仿宋_GB2312" w:cs="Times New Roman"/>
          <w:b w:val="0"/>
          <w:bCs w:val="0"/>
          <w:color w:val="auto"/>
          <w:sz w:val="32"/>
          <w:szCs w:val="32"/>
          <w:highlight w:val="none"/>
          <w:u w:val="none"/>
          <w:lang w:val="en-US" w:eastAsia="zh-CN" w:bidi="ar"/>
          <w:woUserID w:val="0"/>
        </w:rPr>
        <w:t>第</w:t>
      </w:r>
      <w:r>
        <w:rPr>
          <w:rFonts w:hint="default" w:ascii="Times New Roman" w:hAnsi="Times New Roman" w:eastAsia="仿宋_GB2312" w:cs="Times New Roman"/>
          <w:b w:val="0"/>
          <w:bCs w:val="0"/>
          <w:color w:val="auto"/>
          <w:sz w:val="32"/>
          <w:szCs w:val="32"/>
          <w:highlight w:val="none"/>
          <w:u w:val="none"/>
          <w:lang w:val="en-US" w:eastAsia="zh" w:bidi="ar"/>
          <w:woUserID w:val="0"/>
        </w:rPr>
        <w:t>三</w:t>
      </w:r>
      <w:r>
        <w:rPr>
          <w:rFonts w:hint="default" w:ascii="Times New Roman" w:hAnsi="Times New Roman" w:eastAsia="仿宋_GB2312" w:cs="Times New Roman"/>
          <w:b w:val="0"/>
          <w:bCs w:val="0"/>
          <w:color w:val="auto"/>
          <w:sz w:val="32"/>
          <w:szCs w:val="32"/>
          <w:highlight w:val="none"/>
          <w:u w:val="none"/>
          <w:lang w:val="en-US" w:eastAsia="zh-CN" w:bidi="ar"/>
          <w:woUserID w:val="0"/>
        </w:rPr>
        <w:t xml:space="preserve">节 </w:t>
      </w:r>
      <w:r>
        <w:rPr>
          <w:rFonts w:hint="default" w:ascii="Times New Roman" w:hAnsi="Times New Roman" w:eastAsia="仿宋_GB2312" w:cs="Times New Roman"/>
          <w:b w:val="0"/>
          <w:bCs w:val="0"/>
          <w:color w:val="auto"/>
          <w:sz w:val="32"/>
          <w:szCs w:val="32"/>
          <w:highlight w:val="none"/>
          <w:u w:val="none"/>
          <w:lang w:eastAsia="zh" w:bidi="ar"/>
          <w:woUserID w:val="0"/>
        </w:rPr>
        <w:t>科技创新能级初步显现</w:t>
      </w:r>
      <w:bookmarkEnd w:id="49"/>
      <w:bookmarkEnd w:id="50"/>
      <w:bookmarkEnd w:id="51"/>
      <w:bookmarkEnd w:id="52"/>
      <w:bookmarkEnd w:id="53"/>
      <w:bookmarkEnd w:id="54"/>
      <w:bookmarkEnd w:id="55"/>
      <w:bookmarkEnd w:id="56"/>
      <w:bookmarkEnd w:id="57"/>
      <w:bookmarkEnd w:id="58"/>
      <w:bookmarkEnd w:id="59"/>
    </w:p>
    <w:p w14:paraId="0A872A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建立科技型企业培育库，科技型中小企业达到2</w:t>
      </w:r>
      <w:r>
        <w:rPr>
          <w:rFonts w:hint="default" w:ascii="Times New Roman" w:hAnsi="Times New Roman" w:eastAsia="仿宋_GB2312" w:cs="Times New Roman"/>
          <w:color w:val="auto"/>
          <w:sz w:val="32"/>
          <w:szCs w:val="32"/>
          <w:highlight w:val="none"/>
          <w:lang w:eastAsia="zh-CN"/>
        </w:rPr>
        <w:t>7</w:t>
      </w:r>
      <w:r>
        <w:rPr>
          <w:rFonts w:hint="default" w:ascii="Times New Roman" w:hAnsi="Times New Roman" w:eastAsia="仿宋_GB2312" w:cs="Times New Roman"/>
          <w:color w:val="auto"/>
          <w:sz w:val="32"/>
          <w:szCs w:val="32"/>
          <w:highlight w:val="none"/>
        </w:rPr>
        <w:t>户，高新技术企业认证总量达到15户，专精特新企业</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rPr>
        <w:t>户。</w:t>
      </w:r>
      <w:r>
        <w:rPr>
          <w:rFonts w:hint="default" w:ascii="Times New Roman" w:hAnsi="Times New Roman" w:eastAsia="仿宋_GB2312" w:cs="Times New Roman"/>
          <w:color w:val="auto"/>
          <w:sz w:val="32"/>
          <w:szCs w:val="32"/>
          <w:highlight w:val="none"/>
          <w:lang w:eastAsia="zh"/>
        </w:rPr>
        <w:t>成功</w:t>
      </w:r>
      <w:r>
        <w:rPr>
          <w:rFonts w:hint="default" w:ascii="Times New Roman" w:hAnsi="Times New Roman" w:eastAsia="仿宋_GB2312" w:cs="Times New Roman"/>
          <w:color w:val="auto"/>
          <w:sz w:val="32"/>
          <w:szCs w:val="32"/>
          <w:highlight w:val="none"/>
        </w:rPr>
        <w:t>打造</w:t>
      </w:r>
      <w:r>
        <w:rPr>
          <w:rFonts w:hint="default" w:ascii="Times New Roman" w:hAnsi="Times New Roman" w:eastAsia="仿宋_GB2312" w:cs="Times New Roman"/>
          <w:color w:val="auto"/>
          <w:sz w:val="32"/>
          <w:szCs w:val="32"/>
          <w:highlight w:val="none"/>
          <w:lang w:val="en-US" w:eastAsia="zh-CN"/>
        </w:rPr>
        <w:t>育龙种业寒地粳稻生物育种产业技术研究院、</w:t>
      </w:r>
      <w:r>
        <w:rPr>
          <w:rFonts w:hint="default" w:ascii="Times New Roman" w:hAnsi="Times New Roman" w:eastAsia="仿宋_GB2312" w:cs="Times New Roman"/>
          <w:color w:val="auto"/>
          <w:sz w:val="32"/>
          <w:szCs w:val="32"/>
          <w:highlight w:val="none"/>
        </w:rPr>
        <w:t>田友大豆种子</w:t>
      </w:r>
      <w:r>
        <w:rPr>
          <w:rFonts w:hint="eastAsia" w:eastAsia="仿宋_GB2312" w:cs="Times New Roman"/>
          <w:color w:val="auto"/>
          <w:sz w:val="32"/>
          <w:szCs w:val="32"/>
          <w:highlight w:val="none"/>
          <w:lang w:eastAsia="zh-CN"/>
        </w:rPr>
        <w:t>育种</w:t>
      </w:r>
      <w:r>
        <w:rPr>
          <w:rFonts w:hint="default" w:ascii="Times New Roman" w:hAnsi="Times New Roman" w:eastAsia="仿宋_GB2312" w:cs="Times New Roman"/>
          <w:color w:val="auto"/>
          <w:sz w:val="32"/>
          <w:szCs w:val="32"/>
          <w:highlight w:val="none"/>
        </w:rPr>
        <w:t>工程技术研究中</w:t>
      </w:r>
      <w:r>
        <w:rPr>
          <w:rFonts w:hint="default" w:ascii="Times New Roman" w:hAnsi="Times New Roman" w:eastAsia="仿宋_GB2312" w:cs="Times New Roman"/>
          <w:color w:val="auto"/>
          <w:sz w:val="32"/>
          <w:szCs w:val="32"/>
          <w:highlight w:val="none"/>
          <w:lang w:eastAsia="zh-CN"/>
        </w:rPr>
        <w:t>心等</w:t>
      </w:r>
      <w:r>
        <w:rPr>
          <w:rFonts w:hint="default" w:ascii="Times New Roman" w:hAnsi="Times New Roman" w:eastAsia="仿宋_GB2312" w:cs="Times New Roman"/>
          <w:color w:val="auto"/>
          <w:sz w:val="32"/>
          <w:szCs w:val="32"/>
          <w:highlight w:val="none"/>
          <w:lang w:val="en-US" w:eastAsia="zh-CN"/>
        </w:rPr>
        <w:t>2家省级科技创新平台</w:t>
      </w:r>
      <w:r>
        <w:rPr>
          <w:rFonts w:hint="default" w:ascii="Times New Roman" w:hAnsi="Times New Roman" w:eastAsia="仿宋_GB2312" w:cs="Times New Roman"/>
          <w:color w:val="auto"/>
          <w:sz w:val="32"/>
          <w:szCs w:val="32"/>
          <w:highlight w:val="none"/>
        </w:rPr>
        <w:commentReference w:id="0"/>
      </w:r>
      <w:r>
        <w:rPr>
          <w:rFonts w:hint="default" w:ascii="Times New Roman" w:hAnsi="Times New Roman" w:eastAsia="仿宋_GB2312" w:cs="Times New Roman"/>
          <w:color w:val="auto"/>
          <w:sz w:val="32"/>
          <w:szCs w:val="32"/>
          <w:highlight w:val="none"/>
        </w:rPr>
        <w:commentReference w:id="1"/>
      </w:r>
      <w:r>
        <w:rPr>
          <w:rFonts w:hint="default" w:ascii="Times New Roman" w:hAnsi="Times New Roman" w:eastAsia="仿宋_GB2312" w:cs="Times New Roman"/>
          <w:color w:val="auto"/>
          <w:sz w:val="32"/>
          <w:szCs w:val="32"/>
          <w:highlight w:val="none"/>
        </w:rPr>
        <w:t>。全县制种企业科研投入</w:t>
      </w:r>
      <w:r>
        <w:rPr>
          <w:rFonts w:hint="default" w:ascii="Times New Roman" w:hAnsi="Times New Roman" w:eastAsia="仿宋_GB2312" w:cs="Times New Roman"/>
          <w:color w:val="auto"/>
          <w:sz w:val="32"/>
          <w:szCs w:val="32"/>
          <w:highlight w:val="none"/>
          <w:lang w:eastAsia="zh"/>
        </w:rPr>
        <w:t>近亿</w:t>
      </w:r>
      <w:r>
        <w:rPr>
          <w:rFonts w:hint="default" w:ascii="Times New Roman" w:hAnsi="Times New Roman" w:eastAsia="仿宋_GB2312" w:cs="Times New Roman"/>
          <w:color w:val="auto"/>
          <w:sz w:val="32"/>
          <w:szCs w:val="32"/>
          <w:highlight w:val="none"/>
        </w:rPr>
        <w:t>元，审定新品种56个，良种繁育面积达38万亩，育种量达到16.85万吨，良种覆盖率100%</w:t>
      </w:r>
      <w:r>
        <w:rPr>
          <w:rFonts w:hint="default" w:ascii="Times New Roman" w:hAnsi="Times New Roman" w:eastAsia="仿宋_GB2312" w:cs="Times New Roman"/>
          <w:color w:val="auto"/>
          <w:sz w:val="32"/>
          <w:szCs w:val="32"/>
          <w:highlight w:val="none"/>
          <w:lang w:eastAsia="zh"/>
        </w:rPr>
        <w:t>，</w:t>
      </w:r>
      <w:r>
        <w:rPr>
          <w:rFonts w:hint="default" w:ascii="Times New Roman" w:hAnsi="Times New Roman" w:eastAsia="仿宋_GB2312" w:cs="Times New Roman"/>
          <w:color w:val="auto"/>
          <w:sz w:val="32"/>
          <w:szCs w:val="32"/>
          <w:highlight w:val="none"/>
        </w:rPr>
        <w:t>农业科技贡献率达73%。</w:t>
      </w:r>
      <w:r>
        <w:rPr>
          <w:rFonts w:hint="default" w:ascii="Times New Roman" w:hAnsi="Times New Roman" w:eastAsia="仿宋_GB2312" w:cs="Times New Roman"/>
          <w:color w:val="auto"/>
          <w:sz w:val="32"/>
          <w:szCs w:val="32"/>
          <w:highlight w:val="none"/>
          <w:lang w:eastAsia="zh"/>
        </w:rPr>
        <w:t>深化院企合作，</w:t>
      </w:r>
      <w:r>
        <w:rPr>
          <w:rFonts w:hint="default" w:ascii="Times New Roman" w:hAnsi="Times New Roman" w:eastAsia="仿宋_GB2312" w:cs="Times New Roman"/>
          <w:color w:val="auto"/>
          <w:sz w:val="32"/>
          <w:szCs w:val="32"/>
          <w:highlight w:val="none"/>
        </w:rPr>
        <w:t>与中国农科院</w:t>
      </w:r>
      <w:r>
        <w:rPr>
          <w:rFonts w:hint="default" w:ascii="Times New Roman" w:hAnsi="Times New Roman" w:eastAsia="仿宋_GB2312" w:cs="Times New Roman"/>
          <w:color w:val="auto"/>
          <w:sz w:val="32"/>
          <w:szCs w:val="32"/>
          <w:highlight w:val="none"/>
          <w:lang w:eastAsia="zh"/>
        </w:rPr>
        <w:t>、</w:t>
      </w:r>
      <w:r>
        <w:rPr>
          <w:rFonts w:hint="default" w:ascii="Times New Roman" w:hAnsi="Times New Roman" w:eastAsia="仿宋_GB2312" w:cs="Times New Roman"/>
          <w:color w:val="auto"/>
          <w:sz w:val="32"/>
          <w:szCs w:val="32"/>
          <w:highlight w:val="none"/>
        </w:rPr>
        <w:t>中国水产科学研究院黑龙江省水产研究所对接，攻关米糠油、稻米油等精深加工技术，开发脱腥豆浆粉、玉米糊等6种新产品</w:t>
      </w:r>
      <w:r>
        <w:rPr>
          <w:rFonts w:hint="default" w:ascii="Times New Roman" w:hAnsi="Times New Roman" w:eastAsia="仿宋_GB2312" w:cs="Times New Roman"/>
          <w:color w:val="auto"/>
          <w:sz w:val="32"/>
          <w:szCs w:val="32"/>
          <w:highlight w:val="none"/>
          <w:lang w:eastAsia="zh"/>
        </w:rPr>
        <w:t>，</w:t>
      </w:r>
      <w:r>
        <w:rPr>
          <w:rFonts w:hint="default" w:ascii="Times New Roman" w:hAnsi="Times New Roman" w:eastAsia="仿宋_GB2312" w:cs="Times New Roman"/>
          <w:color w:val="auto"/>
          <w:sz w:val="32"/>
          <w:szCs w:val="32"/>
          <w:highlight w:val="none"/>
        </w:rPr>
        <w:t>成立寒</w:t>
      </w:r>
      <w:r>
        <w:rPr>
          <w:rFonts w:hint="default" w:ascii="Times New Roman" w:hAnsi="Times New Roman" w:eastAsia="仿宋_GB2312" w:cs="Times New Roman"/>
          <w:color w:val="auto"/>
          <w:sz w:val="32"/>
          <w:szCs w:val="32"/>
          <w:highlight w:val="none"/>
          <w:lang w:eastAsia="zh"/>
        </w:rPr>
        <w:t>地</w:t>
      </w:r>
      <w:r>
        <w:rPr>
          <w:rFonts w:hint="default" w:ascii="Times New Roman" w:hAnsi="Times New Roman" w:eastAsia="仿宋_GB2312" w:cs="Times New Roman"/>
          <w:color w:val="auto"/>
          <w:sz w:val="32"/>
          <w:szCs w:val="32"/>
          <w:highlight w:val="none"/>
        </w:rPr>
        <w:t>小龙虾研发中心，稻虾综合种养取得新进展。加快</w:t>
      </w:r>
      <w:r>
        <w:rPr>
          <w:rFonts w:hint="default" w:ascii="Times New Roman" w:hAnsi="Times New Roman" w:eastAsia="仿宋_GB2312" w:cs="Times New Roman"/>
          <w:color w:val="auto"/>
          <w:sz w:val="32"/>
          <w:szCs w:val="32"/>
          <w:highlight w:val="none"/>
          <w:lang w:eastAsia="zh"/>
        </w:rPr>
        <w:t>推动</w:t>
      </w:r>
      <w:r>
        <w:rPr>
          <w:rFonts w:hint="default" w:ascii="Times New Roman" w:hAnsi="Times New Roman" w:eastAsia="仿宋_GB2312" w:cs="Times New Roman"/>
          <w:color w:val="auto"/>
          <w:sz w:val="32"/>
          <w:szCs w:val="32"/>
          <w:highlight w:val="none"/>
        </w:rPr>
        <w:t>科技成果转化，登记省重大科技成果产业化项目</w:t>
      </w:r>
      <w:r>
        <w:rPr>
          <w:rFonts w:hint="default" w:ascii="Times New Roman" w:hAnsi="Times New Roman" w:eastAsia="仿宋_GB2312" w:cs="Times New Roman"/>
          <w:color w:val="auto"/>
          <w:sz w:val="32"/>
          <w:szCs w:val="32"/>
          <w:highlight w:val="none"/>
          <w:lang w:eastAsia="zh-CN"/>
        </w:rPr>
        <w:t>8</w:t>
      </w:r>
      <w:r>
        <w:rPr>
          <w:rFonts w:hint="default" w:ascii="Times New Roman" w:hAnsi="Times New Roman" w:eastAsia="仿宋_GB2312" w:cs="Times New Roman"/>
          <w:color w:val="auto"/>
          <w:sz w:val="32"/>
          <w:szCs w:val="32"/>
          <w:highlight w:val="none"/>
        </w:rPr>
        <w:t>个，年完成技术合同交易达3</w:t>
      </w:r>
      <w:r>
        <w:rPr>
          <w:rFonts w:hint="default" w:ascii="Times New Roman" w:hAnsi="Times New Roman" w:eastAsia="仿宋_GB2312" w:cs="Times New Roman"/>
          <w:color w:val="auto"/>
          <w:sz w:val="32"/>
          <w:szCs w:val="32"/>
          <w:highlight w:val="none"/>
          <w:lang w:eastAsia="zh-CN"/>
        </w:rPr>
        <w:t>7</w:t>
      </w:r>
      <w:r>
        <w:rPr>
          <w:rFonts w:hint="default" w:ascii="Times New Roman" w:hAnsi="Times New Roman" w:eastAsia="仿宋_GB2312" w:cs="Times New Roman"/>
          <w:color w:val="auto"/>
          <w:sz w:val="32"/>
          <w:szCs w:val="32"/>
          <w:highlight w:val="none"/>
        </w:rPr>
        <w:t>笔，交易额</w:t>
      </w:r>
      <w:r>
        <w:rPr>
          <w:rFonts w:hint="default" w:ascii="Times New Roman" w:hAnsi="Times New Roman" w:eastAsia="仿宋_GB2312" w:cs="Times New Roman"/>
          <w:color w:val="auto"/>
          <w:sz w:val="32"/>
          <w:szCs w:val="32"/>
          <w:highlight w:val="none"/>
          <w:lang w:val="en-US" w:eastAsia="zh-CN"/>
        </w:rPr>
        <w:t>超1亿元</w:t>
      </w:r>
      <w:r>
        <w:rPr>
          <w:rFonts w:hint="default" w:ascii="Times New Roman" w:hAnsi="Times New Roman" w:eastAsia="仿宋_GB2312" w:cs="Times New Roman"/>
          <w:color w:val="auto"/>
          <w:sz w:val="32"/>
          <w:szCs w:val="32"/>
          <w:highlight w:val="none"/>
          <w:lang w:eastAsia="zh"/>
        </w:rPr>
        <w:t>，</w:t>
      </w:r>
      <w:r>
        <w:rPr>
          <w:rFonts w:hint="default" w:ascii="Times New Roman" w:hAnsi="Times New Roman" w:eastAsia="仿宋_GB2312" w:cs="Times New Roman"/>
          <w:color w:val="auto"/>
          <w:sz w:val="32"/>
          <w:szCs w:val="32"/>
          <w:highlight w:val="none"/>
        </w:rPr>
        <w:t>申请知识产权27个。截至2024年底，桦川县拥有注册商标总数3100件，全县</w:t>
      </w:r>
      <w:r>
        <w:rPr>
          <w:rFonts w:hint="eastAsia" w:eastAsia="仿宋_GB2312" w:cs="Times New Roman"/>
          <w:color w:val="auto"/>
          <w:sz w:val="32"/>
          <w:szCs w:val="32"/>
          <w:highlight w:val="none"/>
          <w:lang w:eastAsia="zh-CN"/>
        </w:rPr>
        <w:t>专利</w:t>
      </w:r>
      <w:r>
        <w:rPr>
          <w:rFonts w:hint="default" w:ascii="Times New Roman" w:hAnsi="Times New Roman" w:eastAsia="仿宋_GB2312" w:cs="Times New Roman"/>
          <w:color w:val="auto"/>
          <w:sz w:val="32"/>
          <w:szCs w:val="32"/>
          <w:highlight w:val="none"/>
        </w:rPr>
        <w:t>授权量269个，其中发明专利授权量3个。</w:t>
      </w:r>
    </w:p>
    <w:p w14:paraId="12C7118C">
      <w:pPr>
        <w:pageBreakBefore w:val="0"/>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60" w:name="_Toc1008919369"/>
      <w:bookmarkStart w:id="61" w:name="_Toc5338"/>
      <w:bookmarkStart w:id="62" w:name="_Toc639744769"/>
      <w:bookmarkStart w:id="63" w:name="_Toc31467"/>
      <w:bookmarkStart w:id="64" w:name="_Toc20539"/>
      <w:bookmarkStart w:id="65" w:name="_Toc16500"/>
      <w:bookmarkStart w:id="66" w:name="_Toc24786"/>
      <w:bookmarkStart w:id="67" w:name="_Toc18743"/>
      <w:bookmarkStart w:id="68" w:name="_Toc19919"/>
      <w:bookmarkStart w:id="69" w:name="_Toc13278"/>
      <w:bookmarkStart w:id="70" w:name="_Toc6765"/>
      <w:r>
        <w:rPr>
          <w:rFonts w:hint="default" w:ascii="Times New Roman" w:hAnsi="Times New Roman" w:eastAsia="仿宋_GB2312" w:cs="Times New Roman"/>
          <w:b w:val="0"/>
          <w:bCs w:val="0"/>
          <w:color w:val="auto"/>
          <w:sz w:val="32"/>
          <w:szCs w:val="32"/>
          <w:highlight w:val="none"/>
          <w:u w:val="none"/>
          <w:lang w:val="en-US" w:eastAsia="zh-CN" w:bidi="ar"/>
          <w:woUserID w:val="0"/>
        </w:rPr>
        <w:t>第</w:t>
      </w:r>
      <w:r>
        <w:rPr>
          <w:rFonts w:hint="default" w:ascii="Times New Roman" w:hAnsi="Times New Roman" w:eastAsia="仿宋_GB2312" w:cs="Times New Roman"/>
          <w:b w:val="0"/>
          <w:bCs w:val="0"/>
          <w:color w:val="auto"/>
          <w:sz w:val="32"/>
          <w:szCs w:val="32"/>
          <w:highlight w:val="none"/>
          <w:u w:val="none"/>
          <w:lang w:val="en-US" w:eastAsia="zh" w:bidi="ar"/>
          <w:woUserID w:val="0"/>
        </w:rPr>
        <w:t>四</w:t>
      </w:r>
      <w:r>
        <w:rPr>
          <w:rFonts w:hint="default" w:ascii="Times New Roman" w:hAnsi="Times New Roman" w:eastAsia="仿宋_GB2312" w:cs="Times New Roman"/>
          <w:b w:val="0"/>
          <w:bCs w:val="0"/>
          <w:color w:val="auto"/>
          <w:sz w:val="32"/>
          <w:szCs w:val="32"/>
          <w:highlight w:val="none"/>
          <w:u w:val="none"/>
          <w:lang w:val="en-US" w:eastAsia="zh-CN" w:bidi="ar"/>
          <w:woUserID w:val="0"/>
        </w:rPr>
        <w:t xml:space="preserve">节 </w:t>
      </w:r>
      <w:r>
        <w:rPr>
          <w:rFonts w:hint="default" w:ascii="Times New Roman" w:hAnsi="Times New Roman" w:eastAsia="仿宋_GB2312" w:cs="Times New Roman"/>
          <w:b w:val="0"/>
          <w:bCs w:val="0"/>
          <w:color w:val="auto"/>
          <w:sz w:val="32"/>
          <w:szCs w:val="32"/>
          <w:highlight w:val="none"/>
          <w:u w:val="none"/>
          <w:lang w:eastAsia="zh" w:bidi="ar"/>
          <w:woUserID w:val="0"/>
        </w:rPr>
        <w:t>改革发展护航活力桦川</w:t>
      </w:r>
      <w:bookmarkEnd w:id="60"/>
      <w:bookmarkEnd w:id="61"/>
      <w:bookmarkEnd w:id="62"/>
      <w:bookmarkEnd w:id="63"/>
      <w:bookmarkEnd w:id="64"/>
      <w:bookmarkEnd w:id="65"/>
      <w:bookmarkEnd w:id="66"/>
      <w:bookmarkEnd w:id="67"/>
      <w:bookmarkEnd w:id="68"/>
      <w:bookmarkEnd w:id="69"/>
      <w:bookmarkEnd w:id="70"/>
    </w:p>
    <w:p w14:paraId="50CF2A2B">
      <w:pPr>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val="zh-CN"/>
        </w:rPr>
      </w:pPr>
      <w:r>
        <w:rPr>
          <w:rFonts w:hint="default" w:ascii="Times New Roman" w:hAnsi="Times New Roman" w:eastAsia="仿宋_GB2312" w:cs="Times New Roman"/>
          <w:color w:val="auto"/>
          <w:sz w:val="32"/>
          <w:szCs w:val="32"/>
          <w:highlight w:val="none"/>
          <w:lang w:val="zh-CN"/>
        </w:rPr>
        <w:t>深化行政审批改革，推进</w:t>
      </w:r>
      <w:r>
        <w:rPr>
          <w:rFonts w:hint="default" w:ascii="Times New Roman" w:hAnsi="Times New Roman" w:eastAsia="仿宋_GB2312" w:cs="Times New Roman"/>
          <w:color w:val="auto"/>
          <w:sz w:val="32"/>
          <w:szCs w:val="32"/>
          <w:highlight w:val="none"/>
          <w:lang w:val="zh-CN" w:eastAsia="zh"/>
        </w:rPr>
        <w:t>政务诚信建设、</w:t>
      </w:r>
      <w:r>
        <w:rPr>
          <w:rFonts w:hint="default" w:ascii="Times New Roman" w:hAnsi="Times New Roman" w:eastAsia="仿宋_GB2312" w:cs="Times New Roman"/>
          <w:color w:val="auto"/>
          <w:sz w:val="32"/>
          <w:szCs w:val="32"/>
          <w:highlight w:val="none"/>
          <w:lang w:val="zh-CN"/>
        </w:rPr>
        <w:t>“一枚印章管审批”试点建设工作，设立行政审批办公室</w:t>
      </w:r>
      <w:r>
        <w:rPr>
          <w:rFonts w:hint="default" w:ascii="Times New Roman" w:hAnsi="Times New Roman" w:eastAsia="仿宋_GB2312" w:cs="Times New Roman"/>
          <w:color w:val="auto"/>
          <w:sz w:val="32"/>
          <w:szCs w:val="32"/>
          <w:highlight w:val="none"/>
          <w:lang w:val="zh-CN" w:eastAsia="zh"/>
        </w:rPr>
        <w:t>，多措并举实现</w:t>
      </w:r>
      <w:r>
        <w:rPr>
          <w:rFonts w:hint="default" w:ascii="Times New Roman" w:hAnsi="Times New Roman" w:eastAsia="仿宋_GB2312" w:cs="Times New Roman"/>
          <w:color w:val="auto"/>
          <w:sz w:val="32"/>
          <w:szCs w:val="32"/>
          <w:highlight w:val="none"/>
          <w:lang w:val="zh-CN"/>
        </w:rPr>
        <w:t>“办事不求人”。率先将办理食品生产许可证等97项审批服务事项纳入“一照通办”改革范围，实现“一窗受理、一窗审批、一窗领取”。惠及企业</w:t>
      </w:r>
      <w:r>
        <w:rPr>
          <w:rFonts w:hint="default" w:ascii="Times New Roman" w:hAnsi="Times New Roman" w:eastAsia="仿宋_GB2312" w:cs="Times New Roman"/>
          <w:color w:val="auto"/>
          <w:sz w:val="32"/>
          <w:szCs w:val="32"/>
          <w:highlight w:val="none"/>
          <w:lang w:val="zh-CN" w:eastAsia="zh"/>
        </w:rPr>
        <w:t>的</w:t>
      </w:r>
      <w:r>
        <w:rPr>
          <w:rFonts w:hint="default" w:ascii="Times New Roman" w:hAnsi="Times New Roman" w:eastAsia="仿宋_GB2312" w:cs="Times New Roman"/>
          <w:color w:val="auto"/>
          <w:sz w:val="32"/>
          <w:szCs w:val="32"/>
          <w:highlight w:val="none"/>
          <w:lang w:val="zh-CN"/>
        </w:rPr>
        <w:t>改革事项办理总量</w:t>
      </w:r>
      <w:r>
        <w:rPr>
          <w:rFonts w:hint="default" w:ascii="Times New Roman" w:hAnsi="Times New Roman" w:eastAsia="仿宋_GB2312" w:cs="Times New Roman"/>
          <w:color w:val="auto"/>
          <w:sz w:val="32"/>
          <w:szCs w:val="32"/>
          <w:highlight w:val="none"/>
          <w:lang w:val="zh-CN" w:eastAsia="zh"/>
        </w:rPr>
        <w:t>达</w:t>
      </w:r>
      <w:r>
        <w:rPr>
          <w:rFonts w:hint="default" w:ascii="Times New Roman" w:hAnsi="Times New Roman" w:eastAsia="仿宋_GB2312" w:cs="Times New Roman"/>
          <w:color w:val="auto"/>
          <w:sz w:val="32"/>
          <w:szCs w:val="32"/>
          <w:highlight w:val="none"/>
          <w:lang w:val="zh-CN"/>
        </w:rPr>
        <w:t>2832件，行政审批时限从15个工作日</w:t>
      </w:r>
      <w:r>
        <w:rPr>
          <w:rFonts w:hint="default" w:ascii="Times New Roman" w:hAnsi="Times New Roman" w:eastAsia="仿宋_GB2312" w:cs="Times New Roman"/>
          <w:color w:val="auto"/>
          <w:sz w:val="32"/>
          <w:szCs w:val="32"/>
          <w:highlight w:val="none"/>
          <w:lang w:val="zh-CN" w:eastAsia="zh"/>
        </w:rPr>
        <w:t>压缩至</w:t>
      </w:r>
      <w:r>
        <w:rPr>
          <w:rFonts w:hint="default" w:ascii="Times New Roman" w:hAnsi="Times New Roman" w:eastAsia="仿宋_GB2312" w:cs="Times New Roman"/>
          <w:color w:val="auto"/>
          <w:sz w:val="32"/>
          <w:szCs w:val="32"/>
          <w:highlight w:val="none"/>
          <w:lang w:val="zh-CN"/>
        </w:rPr>
        <w:t>1个工作日，让更多市场主体“照后能营、持照即营”。推行企业登记全程电子化，实现企业设立、变更、注销等业务“零见面”办理，惠及1735家市场主体</w:t>
      </w:r>
      <w:r>
        <w:rPr>
          <w:rFonts w:hint="default" w:ascii="Times New Roman" w:hAnsi="Times New Roman" w:eastAsia="仿宋_GB2312" w:cs="Times New Roman"/>
          <w:color w:val="auto"/>
          <w:sz w:val="32"/>
          <w:szCs w:val="32"/>
          <w:highlight w:val="none"/>
          <w:lang w:val="zh-CN" w:eastAsia="zh"/>
        </w:rPr>
        <w:t>，</w:t>
      </w:r>
      <w:r>
        <w:rPr>
          <w:rFonts w:hint="default" w:ascii="Times New Roman" w:hAnsi="Times New Roman" w:eastAsia="仿宋_GB2312" w:cs="Times New Roman"/>
          <w:color w:val="auto"/>
          <w:sz w:val="32"/>
          <w:szCs w:val="32"/>
          <w:highlight w:val="none"/>
          <w:lang w:val="zh-CN"/>
        </w:rPr>
        <w:t>市场主体设立、变更、注销登记网办率</w:t>
      </w:r>
      <w:r>
        <w:rPr>
          <w:rFonts w:hint="default" w:ascii="Times New Roman" w:hAnsi="Times New Roman" w:eastAsia="仿宋_GB2312" w:cs="Times New Roman"/>
          <w:color w:val="auto"/>
          <w:sz w:val="32"/>
          <w:szCs w:val="32"/>
          <w:highlight w:val="none"/>
          <w:lang w:val="zh-CN" w:eastAsia="zh"/>
        </w:rPr>
        <w:t>达</w:t>
      </w:r>
      <w:r>
        <w:rPr>
          <w:rFonts w:hint="default" w:ascii="Times New Roman" w:hAnsi="Times New Roman" w:eastAsia="仿宋_GB2312" w:cs="Times New Roman"/>
          <w:color w:val="auto"/>
          <w:sz w:val="32"/>
          <w:szCs w:val="32"/>
          <w:highlight w:val="none"/>
          <w:lang w:val="zh-CN"/>
        </w:rPr>
        <w:t>99%以上</w:t>
      </w:r>
      <w:r>
        <w:rPr>
          <w:rFonts w:hint="default" w:ascii="Times New Roman" w:hAnsi="Times New Roman" w:eastAsia="仿宋_GB2312" w:cs="Times New Roman"/>
          <w:color w:val="auto"/>
          <w:sz w:val="32"/>
          <w:szCs w:val="32"/>
          <w:highlight w:val="none"/>
          <w:lang w:val="zh-CN" w:eastAsia="zh"/>
        </w:rPr>
        <w:t>，</w:t>
      </w:r>
      <w:r>
        <w:rPr>
          <w:rFonts w:hint="default" w:ascii="Times New Roman" w:hAnsi="Times New Roman" w:eastAsia="仿宋_GB2312" w:cs="Times New Roman"/>
          <w:color w:val="auto"/>
          <w:sz w:val="32"/>
          <w:szCs w:val="32"/>
          <w:highlight w:val="none"/>
          <w:lang w:val="zh-CN"/>
        </w:rPr>
        <w:t>企业</w:t>
      </w:r>
      <w:r>
        <w:rPr>
          <w:rFonts w:hint="default" w:ascii="Times New Roman" w:hAnsi="Times New Roman" w:eastAsia="仿宋_GB2312" w:cs="Times New Roman"/>
          <w:color w:val="auto"/>
          <w:sz w:val="32"/>
          <w:szCs w:val="32"/>
          <w:highlight w:val="none"/>
          <w:lang w:val="zh-CN" w:eastAsia="zh"/>
        </w:rPr>
        <w:t>登记注册</w:t>
      </w:r>
      <w:r>
        <w:rPr>
          <w:rFonts w:hint="default" w:ascii="Times New Roman" w:hAnsi="Times New Roman" w:eastAsia="仿宋_GB2312" w:cs="Times New Roman"/>
          <w:color w:val="auto"/>
          <w:sz w:val="32"/>
          <w:szCs w:val="32"/>
          <w:highlight w:val="none"/>
          <w:lang w:val="zh-CN"/>
        </w:rPr>
        <w:t>时间压缩至30分钟以内。推行营业执照办理、就业登记等8个服务事项整合至1个环节受理、1套材料审核，实现企业开办全流程智能化、自助化、自主化，通过全程电子化登记新登记市场主体10000余家，占新办市场主体的98%以上。</w:t>
      </w:r>
      <w:r>
        <w:rPr>
          <w:rFonts w:hint="default" w:ascii="Times New Roman" w:hAnsi="Times New Roman" w:eastAsia="仿宋_GB2312" w:cs="Times New Roman"/>
          <w:color w:val="auto"/>
          <w:sz w:val="32"/>
          <w:szCs w:val="32"/>
          <w:highlight w:val="none"/>
        </w:rPr>
        <w:t>“十四五”期间，新增市场主体10778户，同比增长4.23%</w:t>
      </w:r>
      <w:r>
        <w:rPr>
          <w:rFonts w:hint="default" w:ascii="Times New Roman" w:hAnsi="Times New Roman" w:eastAsia="仿宋_GB2312" w:cs="Times New Roman"/>
          <w:color w:val="auto"/>
          <w:sz w:val="32"/>
          <w:szCs w:val="32"/>
          <w:highlight w:val="none"/>
          <w:lang w:eastAsia="zh"/>
        </w:rPr>
        <w:t>。</w:t>
      </w:r>
    </w:p>
    <w:p w14:paraId="727FC9F9">
      <w:pPr>
        <w:pageBreakBefore w:val="0"/>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71" w:name="_Toc1208249680"/>
      <w:bookmarkStart w:id="72" w:name="_Toc32215"/>
      <w:bookmarkStart w:id="73" w:name="_Toc5485"/>
      <w:bookmarkStart w:id="74" w:name="_Toc9584"/>
      <w:bookmarkStart w:id="75" w:name="_Toc8921"/>
      <w:bookmarkStart w:id="76" w:name="_Toc24505"/>
      <w:bookmarkStart w:id="77" w:name="_Toc22324"/>
      <w:bookmarkStart w:id="78" w:name="_Toc13263"/>
      <w:bookmarkStart w:id="79" w:name="_Toc586644309"/>
      <w:bookmarkStart w:id="80" w:name="_Toc21675"/>
      <w:bookmarkStart w:id="81" w:name="_Toc26338"/>
      <w:r>
        <w:rPr>
          <w:rFonts w:hint="default" w:ascii="Times New Roman" w:hAnsi="Times New Roman" w:eastAsia="仿宋_GB2312" w:cs="Times New Roman"/>
          <w:b w:val="0"/>
          <w:bCs w:val="0"/>
          <w:color w:val="auto"/>
          <w:sz w:val="32"/>
          <w:szCs w:val="32"/>
          <w:highlight w:val="none"/>
          <w:u w:val="none"/>
          <w:lang w:val="en-US" w:eastAsia="zh-CN" w:bidi="ar"/>
          <w:woUserID w:val="0"/>
        </w:rPr>
        <w:t>第</w:t>
      </w:r>
      <w:r>
        <w:rPr>
          <w:rFonts w:hint="default" w:ascii="Times New Roman" w:hAnsi="Times New Roman" w:eastAsia="仿宋_GB2312" w:cs="Times New Roman"/>
          <w:b w:val="0"/>
          <w:bCs w:val="0"/>
          <w:color w:val="auto"/>
          <w:sz w:val="32"/>
          <w:szCs w:val="32"/>
          <w:highlight w:val="none"/>
          <w:u w:val="none"/>
          <w:lang w:val="en-US" w:eastAsia="zh" w:bidi="ar"/>
          <w:woUserID w:val="0"/>
        </w:rPr>
        <w:t>五</w:t>
      </w:r>
      <w:r>
        <w:rPr>
          <w:rFonts w:hint="default" w:ascii="Times New Roman" w:hAnsi="Times New Roman" w:eastAsia="仿宋_GB2312" w:cs="Times New Roman"/>
          <w:b w:val="0"/>
          <w:bCs w:val="0"/>
          <w:color w:val="auto"/>
          <w:sz w:val="32"/>
          <w:szCs w:val="32"/>
          <w:highlight w:val="none"/>
          <w:u w:val="none"/>
          <w:lang w:val="en-US" w:eastAsia="zh-CN" w:bidi="ar"/>
          <w:woUserID w:val="0"/>
        </w:rPr>
        <w:t xml:space="preserve">节 </w:t>
      </w:r>
      <w:r>
        <w:rPr>
          <w:rFonts w:hint="default" w:ascii="Times New Roman" w:hAnsi="Times New Roman" w:eastAsia="仿宋_GB2312" w:cs="Times New Roman"/>
          <w:b w:val="0"/>
          <w:bCs w:val="0"/>
          <w:color w:val="auto"/>
          <w:sz w:val="32"/>
          <w:szCs w:val="32"/>
          <w:highlight w:val="none"/>
          <w:u w:val="none"/>
          <w:lang w:eastAsia="zh" w:bidi="ar"/>
          <w:woUserID w:val="0"/>
        </w:rPr>
        <w:t>城市面貌加速焕新蝶变</w:t>
      </w:r>
      <w:bookmarkEnd w:id="71"/>
      <w:bookmarkEnd w:id="72"/>
      <w:bookmarkEnd w:id="73"/>
      <w:bookmarkEnd w:id="74"/>
      <w:bookmarkEnd w:id="75"/>
      <w:bookmarkEnd w:id="76"/>
      <w:bookmarkEnd w:id="77"/>
      <w:bookmarkEnd w:id="78"/>
      <w:bookmarkEnd w:id="79"/>
      <w:bookmarkEnd w:id="80"/>
      <w:bookmarkEnd w:id="81"/>
    </w:p>
    <w:p w14:paraId="4F7C72E5">
      <w:pPr>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
        </w:rPr>
      </w:pPr>
      <w:bookmarkStart w:id="82" w:name="_Toc531938543"/>
      <w:bookmarkStart w:id="83" w:name="_Toc144724421"/>
      <w:r>
        <w:rPr>
          <w:rFonts w:hint="default" w:ascii="Times New Roman" w:hAnsi="Times New Roman" w:eastAsia="仿宋_GB2312" w:cs="Times New Roman"/>
          <w:color w:val="auto"/>
          <w:sz w:val="32"/>
          <w:szCs w:val="32"/>
          <w:highlight w:val="none"/>
          <w:lang w:eastAsia="zh"/>
        </w:rPr>
        <w:t>“十四五”时期，大力推进交通、水利、信息等基础设施建设，网格化、全覆盖的一体化交通网络基本形成，与佳木斯市同城化的交通基础设施建设逐步完善。数智基础设施加速建设，全域光纤宽带实现全覆盖</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
        </w:rPr>
        <w:t>城区完成5G网络覆盖，建成桦川县全域视联感知系统，智慧安防能力全面加强。加强市政基础设施建设，实施管网改造等一批市政工程，翻新改造道路14条，改造路面10.2万平方米、人行道7.22万平方米。更新改造供热、供水、燃气等管网管线长度75</w:t>
      </w:r>
      <w:r>
        <w:rPr>
          <w:rFonts w:hint="default" w:ascii="Times New Roman" w:hAnsi="Times New Roman" w:eastAsia="仿宋_GB2312" w:cs="Times New Roman"/>
          <w:color w:val="auto"/>
          <w:sz w:val="32"/>
          <w:szCs w:val="32"/>
          <w:highlight w:val="none"/>
          <w:lang w:eastAsia="zh-CN"/>
        </w:rPr>
        <w:t>千米</w:t>
      </w:r>
      <w:r>
        <w:rPr>
          <w:rFonts w:hint="default" w:ascii="Times New Roman" w:hAnsi="Times New Roman" w:eastAsia="仿宋_GB2312" w:cs="Times New Roman"/>
          <w:color w:val="auto"/>
          <w:sz w:val="32"/>
          <w:szCs w:val="32"/>
          <w:highlight w:val="none"/>
          <w:lang w:eastAsia="zh"/>
        </w:rPr>
        <w:t>，城市雨污分流覆盖率增至94%。城区污水处理率达到98%，生活垃圾无害化处理率达到100%。全力推进城市绿化建设，完成沿江公园绿化工程、桦栖公园等建设项目，新增绿地36.45公顷，公园绿化活动</w:t>
      </w:r>
      <w:r>
        <w:rPr>
          <w:rFonts w:hint="eastAsia" w:eastAsia="仿宋_GB2312" w:cs="Times New Roman"/>
          <w:color w:val="auto"/>
          <w:sz w:val="32"/>
          <w:szCs w:val="32"/>
          <w:highlight w:val="none"/>
          <w:lang w:eastAsia="zh-CN"/>
        </w:rPr>
        <w:t>场地</w:t>
      </w:r>
      <w:r>
        <w:rPr>
          <w:rFonts w:hint="default" w:ascii="Times New Roman" w:hAnsi="Times New Roman" w:eastAsia="仿宋_GB2312" w:cs="Times New Roman"/>
          <w:color w:val="auto"/>
          <w:sz w:val="32"/>
          <w:szCs w:val="32"/>
          <w:highlight w:val="none"/>
          <w:lang w:eastAsia="zh"/>
        </w:rPr>
        <w:t>服务半径覆盖率85.2%。完成老旧小区改造60个，惠及群众3681户</w:t>
      </w:r>
      <w:r>
        <w:rPr>
          <w:rFonts w:hint="eastAsia" w:eastAsia="仿宋_GB2312" w:cs="Times New Roman"/>
          <w:color w:val="auto"/>
          <w:sz w:val="32"/>
          <w:szCs w:val="32"/>
          <w:highlight w:val="none"/>
          <w:lang w:eastAsia="zh-CN"/>
        </w:rPr>
        <w:t>、1</w:t>
      </w:r>
      <w:r>
        <w:rPr>
          <w:rFonts w:hint="default" w:ascii="Times New Roman" w:hAnsi="Times New Roman" w:eastAsia="仿宋_GB2312" w:cs="Times New Roman"/>
          <w:color w:val="auto"/>
          <w:sz w:val="32"/>
          <w:szCs w:val="32"/>
          <w:highlight w:val="none"/>
          <w:lang w:eastAsia="zh"/>
        </w:rPr>
        <w:t>万人。扎实开展人居环境整治，建成美丽乡村46个，完成农户卫生改厕750户，3个村被评为“全国乡村治理示范村”</w:t>
      </w:r>
      <w:r>
        <w:rPr>
          <w:rFonts w:hint="default" w:ascii="Times New Roman" w:hAnsi="Times New Roman" w:eastAsia="仿宋_GB2312" w:cs="Times New Roman"/>
          <w:color w:val="auto"/>
          <w:sz w:val="32"/>
          <w:szCs w:val="32"/>
          <w:highlight w:val="none"/>
          <w:lang w:eastAsia="zh-CN"/>
        </w:rPr>
        <w:t>，1</w:t>
      </w:r>
      <w:r>
        <w:rPr>
          <w:rFonts w:hint="default" w:ascii="Times New Roman" w:hAnsi="Times New Roman" w:eastAsia="仿宋_GB2312" w:cs="Times New Roman"/>
          <w:color w:val="auto"/>
          <w:sz w:val="32"/>
          <w:szCs w:val="32"/>
          <w:highlight w:val="none"/>
        </w:rPr>
        <w:t>个</w:t>
      </w:r>
      <w:r>
        <w:rPr>
          <w:rFonts w:hint="default" w:ascii="Times New Roman" w:hAnsi="Times New Roman" w:eastAsia="仿宋_GB2312" w:cs="Times New Roman"/>
          <w:color w:val="auto"/>
          <w:sz w:val="32"/>
          <w:szCs w:val="32"/>
          <w:highlight w:val="none"/>
          <w:lang w:eastAsia="zh"/>
        </w:rPr>
        <w:t>村被评为“中国美丽乡村”。</w:t>
      </w:r>
    </w:p>
    <w:p w14:paraId="0D692EDA">
      <w:pPr>
        <w:pageBreakBefore w:val="0"/>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84" w:name="_Toc14463"/>
      <w:bookmarkStart w:id="85" w:name="_Toc16113"/>
      <w:bookmarkStart w:id="86" w:name="_Toc22589"/>
      <w:bookmarkStart w:id="87" w:name="_Toc9099"/>
      <w:bookmarkStart w:id="88" w:name="_Toc29893"/>
      <w:bookmarkStart w:id="89" w:name="_Toc27735"/>
      <w:bookmarkStart w:id="90" w:name="_Toc51"/>
      <w:bookmarkStart w:id="91" w:name="_Toc15280"/>
      <w:r>
        <w:rPr>
          <w:rFonts w:hint="default" w:ascii="Times New Roman" w:hAnsi="Times New Roman" w:eastAsia="仿宋_GB2312" w:cs="Times New Roman"/>
          <w:b w:val="0"/>
          <w:bCs w:val="0"/>
          <w:color w:val="auto"/>
          <w:sz w:val="32"/>
          <w:szCs w:val="32"/>
          <w:highlight w:val="none"/>
          <w:u w:val="none"/>
          <w:lang w:val="en-US" w:eastAsia="zh-CN" w:bidi="ar"/>
          <w:woUserID w:val="0"/>
        </w:rPr>
        <w:t>第</w:t>
      </w:r>
      <w:r>
        <w:rPr>
          <w:rFonts w:hint="default" w:ascii="Times New Roman" w:hAnsi="Times New Roman" w:eastAsia="仿宋_GB2312" w:cs="Times New Roman"/>
          <w:b w:val="0"/>
          <w:bCs w:val="0"/>
          <w:color w:val="auto"/>
          <w:sz w:val="32"/>
          <w:szCs w:val="32"/>
          <w:highlight w:val="none"/>
          <w:u w:val="none"/>
          <w:lang w:val="en-US" w:eastAsia="zh" w:bidi="ar"/>
          <w:woUserID w:val="0"/>
        </w:rPr>
        <w:t>六</w:t>
      </w:r>
      <w:r>
        <w:rPr>
          <w:rFonts w:hint="default" w:ascii="Times New Roman" w:hAnsi="Times New Roman" w:eastAsia="仿宋_GB2312" w:cs="Times New Roman"/>
          <w:b w:val="0"/>
          <w:bCs w:val="0"/>
          <w:color w:val="auto"/>
          <w:sz w:val="32"/>
          <w:szCs w:val="32"/>
          <w:highlight w:val="none"/>
          <w:u w:val="none"/>
          <w:lang w:val="en-US" w:eastAsia="zh-CN" w:bidi="ar"/>
          <w:woUserID w:val="0"/>
        </w:rPr>
        <w:t xml:space="preserve">节 </w:t>
      </w:r>
      <w:r>
        <w:rPr>
          <w:rFonts w:hint="default" w:ascii="Times New Roman" w:hAnsi="Times New Roman" w:eastAsia="仿宋_GB2312" w:cs="Times New Roman"/>
          <w:b w:val="0"/>
          <w:bCs w:val="0"/>
          <w:color w:val="auto"/>
          <w:sz w:val="32"/>
          <w:szCs w:val="32"/>
          <w:highlight w:val="none"/>
          <w:u w:val="none"/>
          <w:lang w:eastAsia="zh" w:bidi="ar"/>
          <w:woUserID w:val="0"/>
        </w:rPr>
        <w:t>乡村振兴战略深入实施</w:t>
      </w:r>
      <w:bookmarkEnd w:id="82"/>
      <w:bookmarkEnd w:id="83"/>
      <w:bookmarkEnd w:id="84"/>
      <w:bookmarkEnd w:id="85"/>
      <w:bookmarkEnd w:id="86"/>
      <w:bookmarkEnd w:id="87"/>
      <w:bookmarkEnd w:id="88"/>
      <w:bookmarkEnd w:id="89"/>
      <w:bookmarkEnd w:id="90"/>
      <w:bookmarkEnd w:id="91"/>
    </w:p>
    <w:p w14:paraId="33065AE3">
      <w:pPr>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全面</w:t>
      </w:r>
      <w:r>
        <w:rPr>
          <w:rFonts w:hint="default" w:ascii="Times New Roman" w:hAnsi="Times New Roman" w:eastAsia="仿宋_GB2312" w:cs="Times New Roman"/>
          <w:color w:val="auto"/>
          <w:sz w:val="32"/>
          <w:szCs w:val="32"/>
          <w:highlight w:val="none"/>
          <w:lang w:eastAsia="zh"/>
        </w:rPr>
        <w:t>建设</w:t>
      </w:r>
      <w:r>
        <w:rPr>
          <w:rFonts w:hint="default" w:ascii="Times New Roman" w:hAnsi="Times New Roman" w:eastAsia="仿宋_GB2312" w:cs="Times New Roman"/>
          <w:color w:val="auto"/>
          <w:sz w:val="32"/>
          <w:szCs w:val="32"/>
          <w:highlight w:val="none"/>
        </w:rPr>
        <w:t>农产品加工孵化园，</w:t>
      </w:r>
      <w:r>
        <w:rPr>
          <w:rFonts w:hint="default" w:ascii="Times New Roman" w:hAnsi="Times New Roman" w:eastAsia="仿宋_GB2312" w:cs="Times New Roman"/>
          <w:color w:val="auto"/>
          <w:sz w:val="32"/>
          <w:szCs w:val="32"/>
          <w:highlight w:val="none"/>
          <w:lang w:eastAsia="zh"/>
        </w:rPr>
        <w:t>9家企业成功“退村入园”。</w:t>
      </w:r>
      <w:r>
        <w:rPr>
          <w:rFonts w:hint="default" w:ascii="Times New Roman" w:hAnsi="Times New Roman" w:eastAsia="仿宋_GB2312" w:cs="Times New Roman"/>
          <w:color w:val="auto"/>
          <w:sz w:val="32"/>
          <w:szCs w:val="32"/>
          <w:highlight w:val="none"/>
        </w:rPr>
        <w:t>着力延长稻米加工、稻米油等产业链条，粮食精深加工业产值达到22.4亿元。新型农业经营主体达1336个，其中国家级示范社3个、省级社（场）33个。积极推动基础设施向乡村延伸，建成农村生活垃圾一体化转运体系，新建垃圾转运站、分拣中心96个。大力实施农村供水保障工程，提升改造77个村屯饮水安全标准，受益人口8.72万人，实现从“有水喝”到“喝好水”的跨越。创建绿色有机种植示范基地，全县绿色食品认证面积达到110万亩，绿色食品企业、有机农产品企业达43家。实施9个高标准农田建设项目，建设高标准农田141.25万亩。畜牧产业综合能力明显提升，“一猪一鹅”格局形成，年出栏肥猪近30万头、家禽430万只。农药包装废弃物“有偿回收+APP管理”模式成效显著，回收处置率稳定在90%以上。秸秆综合利用率保持在90%以上，还田率61%以上，全县规模养殖场粪污处理设施装备配套率达到100%，成功创建国家农业绿色发展先行区、国家现代农业产业融合园。</w:t>
      </w:r>
    </w:p>
    <w:p w14:paraId="6AEDBBF7">
      <w:pPr>
        <w:pageBreakBefore w:val="0"/>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92" w:name="_Toc3704"/>
      <w:bookmarkStart w:id="93" w:name="_Toc16047"/>
      <w:bookmarkStart w:id="94" w:name="_Toc10025"/>
      <w:bookmarkStart w:id="95" w:name="_Toc15734"/>
      <w:bookmarkStart w:id="96" w:name="_Toc736809202"/>
      <w:bookmarkStart w:id="97" w:name="_Toc29565"/>
      <w:bookmarkStart w:id="98" w:name="_Toc8962"/>
      <w:bookmarkStart w:id="99" w:name="_Toc979117320"/>
      <w:bookmarkStart w:id="100" w:name="_Toc29935"/>
      <w:bookmarkStart w:id="101" w:name="_Toc24061"/>
      <w:bookmarkStart w:id="102" w:name="_Toc12370"/>
      <w:r>
        <w:rPr>
          <w:rFonts w:hint="default" w:ascii="Times New Roman" w:hAnsi="Times New Roman" w:eastAsia="仿宋_GB2312" w:cs="Times New Roman"/>
          <w:b w:val="0"/>
          <w:bCs w:val="0"/>
          <w:color w:val="auto"/>
          <w:sz w:val="32"/>
          <w:szCs w:val="32"/>
          <w:highlight w:val="none"/>
          <w:u w:val="none"/>
          <w:lang w:val="en-US" w:eastAsia="zh-CN" w:bidi="ar"/>
          <w:woUserID w:val="0"/>
        </w:rPr>
        <w:t>第</w:t>
      </w:r>
      <w:r>
        <w:rPr>
          <w:rFonts w:hint="default" w:ascii="Times New Roman" w:hAnsi="Times New Roman" w:eastAsia="仿宋_GB2312" w:cs="Times New Roman"/>
          <w:b w:val="0"/>
          <w:bCs w:val="0"/>
          <w:color w:val="auto"/>
          <w:sz w:val="32"/>
          <w:szCs w:val="32"/>
          <w:highlight w:val="none"/>
          <w:u w:val="none"/>
          <w:lang w:val="en-US" w:eastAsia="zh" w:bidi="ar"/>
          <w:woUserID w:val="0"/>
        </w:rPr>
        <w:t>七</w:t>
      </w:r>
      <w:r>
        <w:rPr>
          <w:rFonts w:hint="default" w:ascii="Times New Roman" w:hAnsi="Times New Roman" w:eastAsia="仿宋_GB2312" w:cs="Times New Roman"/>
          <w:b w:val="0"/>
          <w:bCs w:val="0"/>
          <w:color w:val="auto"/>
          <w:sz w:val="32"/>
          <w:szCs w:val="32"/>
          <w:highlight w:val="none"/>
          <w:u w:val="none"/>
          <w:lang w:val="en-US" w:eastAsia="zh-CN" w:bidi="ar"/>
          <w:woUserID w:val="0"/>
        </w:rPr>
        <w:t xml:space="preserve">节 </w:t>
      </w:r>
      <w:r>
        <w:rPr>
          <w:rFonts w:hint="default" w:ascii="Times New Roman" w:hAnsi="Times New Roman" w:eastAsia="仿宋_GB2312" w:cs="Times New Roman"/>
          <w:b w:val="0"/>
          <w:bCs w:val="0"/>
          <w:color w:val="auto"/>
          <w:sz w:val="32"/>
          <w:szCs w:val="32"/>
          <w:highlight w:val="none"/>
          <w:u w:val="none"/>
          <w:lang w:eastAsia="zh" w:bidi="ar"/>
          <w:woUserID w:val="0"/>
        </w:rPr>
        <w:t>生态桦川底色厚植重彩</w:t>
      </w:r>
      <w:bookmarkEnd w:id="92"/>
      <w:bookmarkEnd w:id="93"/>
      <w:bookmarkEnd w:id="94"/>
      <w:bookmarkEnd w:id="95"/>
      <w:bookmarkEnd w:id="96"/>
      <w:bookmarkEnd w:id="97"/>
      <w:bookmarkEnd w:id="98"/>
      <w:bookmarkEnd w:id="99"/>
      <w:bookmarkEnd w:id="100"/>
      <w:bookmarkEnd w:id="101"/>
      <w:bookmarkEnd w:id="102"/>
    </w:p>
    <w:p w14:paraId="0CBABEDC">
      <w:pPr>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加强大气污染防治，推动空气质量持续向好，全县年环境空气质量优良天数达354天，同比增长1.14%，优良天数比率96.7%，空气质量优良天数逐年提升。持续深入打好污染防治攻坚战，淘汰燃煤小锅炉16台。开展散煤污染治理，替代农村散煤1.85万户。实施土地保护行动，完成测土配方采集及化验土样1500个，采集耕地质量监测调查点30个，完成2023年县域耕地质量等级调查评价。完善水体污染防治，加强70个入河排污口日查监管工作，每年定期对9个县、乡镇级饮用水水源地</w:t>
      </w:r>
      <w:r>
        <w:rPr>
          <w:rFonts w:hint="default" w:ascii="Times New Roman" w:hAnsi="Times New Roman" w:eastAsia="仿宋_GB2312" w:cs="Times New Roman"/>
          <w:color w:val="auto"/>
          <w:sz w:val="32"/>
          <w:szCs w:val="32"/>
          <w:highlight w:val="none"/>
          <w:lang w:eastAsia="zh-CN"/>
        </w:rPr>
        <w:t>以及</w:t>
      </w:r>
      <w:r>
        <w:rPr>
          <w:rFonts w:hint="default" w:ascii="Times New Roman" w:hAnsi="Times New Roman" w:eastAsia="仿宋_GB2312" w:cs="Times New Roman"/>
          <w:color w:val="auto"/>
          <w:sz w:val="32"/>
          <w:szCs w:val="32"/>
          <w:highlight w:val="none"/>
        </w:rPr>
        <w:t>一江七河水质开展监测工作，确保水源地饮用水水质达标</w:t>
      </w:r>
      <w:r>
        <w:rPr>
          <w:rFonts w:hint="eastAsia"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保持松花江干流及支流水体优良比率达标，保持Ⅲ类水体水质优良比例100%。严格落实河长制、湖长制、林长制、田长制，建立健全环境治理责任体系。全县地表水（考核断面）达到或好于Ⅲ类水体比例100%，县级饮用水水源水质达标率100%。</w:t>
      </w:r>
    </w:p>
    <w:p w14:paraId="491B7A1A">
      <w:pPr>
        <w:pageBreakBefore w:val="0"/>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03" w:name="_Toc22060"/>
      <w:bookmarkStart w:id="104" w:name="_Toc1062346690"/>
      <w:bookmarkStart w:id="105" w:name="_Toc18199"/>
      <w:bookmarkStart w:id="106" w:name="_Toc19934"/>
      <w:bookmarkStart w:id="107" w:name="_Toc19888"/>
      <w:bookmarkStart w:id="108" w:name="_Toc13196"/>
      <w:bookmarkStart w:id="109" w:name="_Toc30043"/>
      <w:bookmarkStart w:id="110" w:name="_Toc1315804062"/>
      <w:bookmarkStart w:id="111" w:name="_Toc26139"/>
      <w:bookmarkStart w:id="112" w:name="_Toc10446"/>
      <w:bookmarkStart w:id="113" w:name="_Toc29858"/>
      <w:r>
        <w:rPr>
          <w:rFonts w:hint="default" w:ascii="Times New Roman" w:hAnsi="Times New Roman" w:eastAsia="仿宋_GB2312" w:cs="Times New Roman"/>
          <w:b w:val="0"/>
          <w:bCs w:val="0"/>
          <w:color w:val="auto"/>
          <w:sz w:val="32"/>
          <w:szCs w:val="32"/>
          <w:highlight w:val="none"/>
          <w:u w:val="none"/>
          <w:lang w:val="en-US" w:eastAsia="zh-CN" w:bidi="ar"/>
          <w:woUserID w:val="0"/>
        </w:rPr>
        <w:t>第</w:t>
      </w:r>
      <w:r>
        <w:rPr>
          <w:rFonts w:hint="default" w:ascii="Times New Roman" w:hAnsi="Times New Roman" w:eastAsia="仿宋_GB2312" w:cs="Times New Roman"/>
          <w:b w:val="0"/>
          <w:bCs w:val="0"/>
          <w:color w:val="auto"/>
          <w:sz w:val="32"/>
          <w:szCs w:val="32"/>
          <w:highlight w:val="none"/>
          <w:u w:val="none"/>
          <w:lang w:val="en-US" w:eastAsia="zh" w:bidi="ar"/>
          <w:woUserID w:val="0"/>
        </w:rPr>
        <w:t>八</w:t>
      </w:r>
      <w:r>
        <w:rPr>
          <w:rFonts w:hint="default" w:ascii="Times New Roman" w:hAnsi="Times New Roman" w:eastAsia="仿宋_GB2312" w:cs="Times New Roman"/>
          <w:b w:val="0"/>
          <w:bCs w:val="0"/>
          <w:color w:val="auto"/>
          <w:sz w:val="32"/>
          <w:szCs w:val="32"/>
          <w:highlight w:val="none"/>
          <w:u w:val="none"/>
          <w:lang w:val="en-US" w:eastAsia="zh-CN" w:bidi="ar"/>
          <w:woUserID w:val="0"/>
        </w:rPr>
        <w:t xml:space="preserve">节 </w:t>
      </w:r>
      <w:r>
        <w:rPr>
          <w:rFonts w:hint="default" w:ascii="Times New Roman" w:hAnsi="Times New Roman" w:eastAsia="仿宋_GB2312" w:cs="Times New Roman"/>
          <w:b w:val="0"/>
          <w:bCs w:val="0"/>
          <w:color w:val="auto"/>
          <w:sz w:val="32"/>
          <w:szCs w:val="32"/>
          <w:highlight w:val="none"/>
          <w:u w:val="none"/>
          <w:lang w:eastAsia="zh" w:bidi="ar"/>
          <w:woUserID w:val="0"/>
        </w:rPr>
        <w:t>幸福桦川全民可感可及</w:t>
      </w:r>
      <w:bookmarkEnd w:id="103"/>
      <w:bookmarkEnd w:id="104"/>
      <w:bookmarkEnd w:id="105"/>
      <w:bookmarkEnd w:id="106"/>
      <w:bookmarkEnd w:id="107"/>
      <w:bookmarkEnd w:id="108"/>
      <w:bookmarkEnd w:id="109"/>
      <w:bookmarkEnd w:id="110"/>
      <w:bookmarkEnd w:id="111"/>
      <w:bookmarkEnd w:id="112"/>
      <w:bookmarkEnd w:id="113"/>
    </w:p>
    <w:p w14:paraId="3AD3005B">
      <w:pPr>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集中力量办成惠民实事</w:t>
      </w:r>
      <w:r>
        <w:rPr>
          <w:rFonts w:hint="default" w:ascii="Times New Roman" w:hAnsi="Times New Roman" w:eastAsia="仿宋_GB2312" w:cs="Times New Roman"/>
          <w:color w:val="auto"/>
          <w:sz w:val="32"/>
          <w:szCs w:val="32"/>
          <w:highlight w:val="none"/>
          <w:lang w:eastAsia="zh"/>
        </w:rPr>
        <w:t>1174</w:t>
      </w:r>
      <w:r>
        <w:rPr>
          <w:rFonts w:hint="default" w:ascii="Times New Roman" w:hAnsi="Times New Roman" w:eastAsia="仿宋_GB2312" w:cs="Times New Roman"/>
          <w:color w:val="auto"/>
          <w:sz w:val="32"/>
          <w:szCs w:val="32"/>
          <w:highlight w:val="none"/>
        </w:rPr>
        <w:t>件，用于民生方面</w:t>
      </w:r>
      <w:r>
        <w:rPr>
          <w:rFonts w:hint="eastAsia" w:eastAsia="仿宋_GB2312" w:cs="Times New Roman"/>
          <w:color w:val="auto"/>
          <w:sz w:val="32"/>
          <w:szCs w:val="32"/>
          <w:highlight w:val="none"/>
          <w:lang w:eastAsia="zh-CN"/>
        </w:rPr>
        <w:t>的投入达132</w:t>
      </w:r>
      <w:r>
        <w:rPr>
          <w:rFonts w:hint="default" w:ascii="Times New Roman" w:hAnsi="Times New Roman" w:eastAsia="仿宋_GB2312" w:cs="Times New Roman"/>
          <w:color w:val="auto"/>
          <w:sz w:val="32"/>
          <w:szCs w:val="32"/>
          <w:highlight w:val="none"/>
          <w:lang w:eastAsia="zh"/>
        </w:rPr>
        <w:t>.21</w:t>
      </w:r>
      <w:r>
        <w:rPr>
          <w:rFonts w:hint="default" w:ascii="Times New Roman" w:hAnsi="Times New Roman" w:eastAsia="仿宋_GB2312" w:cs="Times New Roman"/>
          <w:color w:val="auto"/>
          <w:sz w:val="32"/>
          <w:szCs w:val="32"/>
          <w:highlight w:val="none"/>
        </w:rPr>
        <w:t>亿元，是“十三五”时期的</w:t>
      </w:r>
      <w:r>
        <w:rPr>
          <w:rFonts w:hint="default" w:ascii="Times New Roman" w:hAnsi="Times New Roman" w:eastAsia="仿宋_GB2312" w:cs="Times New Roman"/>
          <w:color w:val="auto"/>
          <w:sz w:val="32"/>
          <w:szCs w:val="32"/>
          <w:highlight w:val="none"/>
          <w:lang w:eastAsia="zh"/>
        </w:rPr>
        <w:t>1.25</w:t>
      </w:r>
      <w:r>
        <w:rPr>
          <w:rFonts w:hint="default" w:ascii="Times New Roman" w:hAnsi="Times New Roman" w:eastAsia="仿宋_GB2312" w:cs="Times New Roman"/>
          <w:color w:val="auto"/>
          <w:sz w:val="32"/>
          <w:szCs w:val="32"/>
          <w:highlight w:val="none"/>
        </w:rPr>
        <w:t>倍。累计新增城镇就业22.4万人。城乡居民基本养老保险制度全面建立，全县基本医疗保险参保率保持在95%以上。社会救助体系不断完善，累计救助6794人次，发放救助金825.09万元。</w:t>
      </w:r>
      <w:r>
        <w:rPr>
          <w:rFonts w:hint="default" w:ascii="Times New Roman" w:hAnsi="Times New Roman" w:eastAsia="仿宋_GB2312" w:cs="Times New Roman"/>
          <w:color w:val="auto"/>
          <w:sz w:val="32"/>
          <w:szCs w:val="32"/>
          <w:highlight w:val="none"/>
          <w:lang w:eastAsia="zh"/>
        </w:rPr>
        <w:t>教育事业全面发展，学前三年毛入园率达93%，普惠性幼儿园覆盖率达100%，义务教育巩固率达到100%</w:t>
      </w:r>
      <w:r>
        <w:rPr>
          <w:rFonts w:hint="default" w:ascii="Times New Roman" w:hAnsi="Times New Roman" w:eastAsia="仿宋_GB2312" w:cs="Times New Roman"/>
          <w:color w:val="auto"/>
          <w:sz w:val="32"/>
          <w:szCs w:val="32"/>
          <w:highlight w:val="none"/>
        </w:rPr>
        <w:t>。医疗卫生服务水平不断提升，完成10家乡镇卫生院标准化改造，建成1个民营县域医养中心，6个社区养老中心。养老服务体系建设成效显著，县域老年人实现免费体检，全县11家养老机构获评星级。文化体育事业繁荣发展，扎实推进非遗保护传承，樊万快板书确定为省级非物质文化遗产，李氏快板书说唱技法等2项技艺入选佳木斯市第七批非物质文化遗产名录，许氏面塑等5项技艺成功申报市级非遗项目。第四次全国文物普查实地复查工作全面完成</w:t>
      </w:r>
      <w:r>
        <w:rPr>
          <w:rFonts w:hint="default" w:ascii="Times New Roman" w:hAnsi="Times New Roman" w:eastAsia="仿宋_GB2312" w:cs="Times New Roman"/>
          <w:color w:val="auto"/>
          <w:sz w:val="32"/>
          <w:szCs w:val="32"/>
          <w:highlight w:val="none"/>
          <w:lang w:eastAsia="zh"/>
        </w:rPr>
        <w:t>，</w:t>
      </w:r>
      <w:r>
        <w:rPr>
          <w:rFonts w:hint="default" w:ascii="Times New Roman" w:hAnsi="Times New Roman" w:eastAsia="仿宋_GB2312" w:cs="Times New Roman"/>
          <w:color w:val="auto"/>
          <w:sz w:val="32"/>
          <w:szCs w:val="32"/>
          <w:highlight w:val="none"/>
        </w:rPr>
        <w:t>新发现不可移动文物11处</w:t>
      </w:r>
      <w:r>
        <w:rPr>
          <w:rFonts w:hint="default" w:ascii="Times New Roman" w:hAnsi="Times New Roman" w:eastAsia="仿宋_GB2312" w:cs="Times New Roman"/>
          <w:color w:val="auto"/>
          <w:sz w:val="32"/>
          <w:szCs w:val="32"/>
          <w:highlight w:val="none"/>
          <w:lang w:eastAsia="zh"/>
        </w:rPr>
        <w:t>。</w:t>
      </w:r>
      <w:r>
        <w:rPr>
          <w:rFonts w:hint="default" w:ascii="Times New Roman" w:hAnsi="Times New Roman" w:eastAsia="仿宋_GB2312" w:cs="Times New Roman"/>
          <w:color w:val="auto"/>
          <w:sz w:val="32"/>
          <w:szCs w:val="32"/>
          <w:highlight w:val="none"/>
        </w:rPr>
        <w:t>县图书馆成功晋级国家三级馆，</w:t>
      </w:r>
      <w:r>
        <w:rPr>
          <w:rFonts w:hint="default" w:ascii="Times New Roman" w:hAnsi="Times New Roman" w:eastAsia="仿宋_GB2312" w:cs="Times New Roman"/>
          <w:color w:val="auto"/>
          <w:sz w:val="32"/>
          <w:szCs w:val="32"/>
          <w:highlight w:val="none"/>
          <w:lang w:eastAsia="zh"/>
        </w:rPr>
        <w:t>新改建县博物馆全面免费开放，</w:t>
      </w:r>
      <w:r>
        <w:rPr>
          <w:rFonts w:hint="default" w:ascii="Times New Roman" w:hAnsi="Times New Roman" w:eastAsia="仿宋_GB2312" w:cs="Times New Roman"/>
          <w:color w:val="auto"/>
          <w:sz w:val="32"/>
          <w:szCs w:val="32"/>
          <w:highlight w:val="none"/>
        </w:rPr>
        <w:t>公共文化服务能级持续提升。不断完善体育设施建设，新建及维修升级村级文体广场18个，新建悦强社会足球场、泵道单车公园、笼式运动场等特色场</w:t>
      </w:r>
      <w:r>
        <w:rPr>
          <w:rFonts w:hint="default" w:ascii="Times New Roman" w:hAnsi="Times New Roman" w:eastAsia="仿宋_GB2312" w:cs="Times New Roman"/>
          <w:color w:val="auto"/>
          <w:sz w:val="32"/>
          <w:szCs w:val="32"/>
          <w:highlight w:val="none"/>
          <w:lang w:eastAsia="zh"/>
        </w:rPr>
        <w:t>地，升级打造网红体育场</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
        </w:rPr>
        <w:t>年度</w:t>
      </w:r>
      <w:r>
        <w:rPr>
          <w:rFonts w:hint="default" w:ascii="Times New Roman" w:hAnsi="Times New Roman" w:eastAsia="仿宋_GB2312" w:cs="Times New Roman"/>
          <w:color w:val="auto"/>
          <w:sz w:val="32"/>
          <w:szCs w:val="32"/>
          <w:highlight w:val="none"/>
        </w:rPr>
        <w:t>成功</w:t>
      </w:r>
      <w:r>
        <w:rPr>
          <w:rFonts w:hint="default" w:ascii="Times New Roman" w:hAnsi="Times New Roman" w:eastAsia="仿宋_GB2312" w:cs="Times New Roman"/>
          <w:color w:val="auto"/>
          <w:sz w:val="32"/>
          <w:szCs w:val="32"/>
          <w:highlight w:val="none"/>
          <w:lang w:eastAsia="zh"/>
        </w:rPr>
        <w:t>举办省市县</w:t>
      </w:r>
      <w:r>
        <w:rPr>
          <w:rFonts w:hint="default" w:ascii="Times New Roman" w:hAnsi="Times New Roman" w:eastAsia="仿宋_GB2312" w:cs="Times New Roman"/>
          <w:color w:val="auto"/>
          <w:sz w:val="32"/>
          <w:szCs w:val="32"/>
          <w:highlight w:val="none"/>
        </w:rPr>
        <w:t>等精品体育赛事</w:t>
      </w:r>
      <w:r>
        <w:rPr>
          <w:rFonts w:hint="default" w:ascii="Times New Roman" w:hAnsi="Times New Roman" w:eastAsia="仿宋_GB2312" w:cs="Times New Roman"/>
          <w:color w:val="auto"/>
          <w:sz w:val="32"/>
          <w:szCs w:val="32"/>
          <w:highlight w:val="none"/>
          <w:lang w:eastAsia="zh"/>
        </w:rPr>
        <w:t>不少于20场</w:t>
      </w:r>
      <w:r>
        <w:rPr>
          <w:rFonts w:hint="default" w:ascii="Times New Roman" w:hAnsi="Times New Roman" w:eastAsia="仿宋_GB2312" w:cs="Times New Roman"/>
          <w:color w:val="auto"/>
          <w:sz w:val="32"/>
          <w:szCs w:val="32"/>
          <w:highlight w:val="none"/>
        </w:rPr>
        <w:t>，为全民健身运动蓬勃开展筑牢坚实基础。</w:t>
      </w:r>
      <w:bookmarkStart w:id="114" w:name="_Toc487760248"/>
      <w:bookmarkStart w:id="115" w:name="_Toc820373556"/>
      <w:bookmarkStart w:id="116" w:name="_Toc13423"/>
      <w:bookmarkStart w:id="117" w:name="_Toc8254"/>
    </w:p>
    <w:p w14:paraId="20DF652B">
      <w:pPr>
        <w:pageBreakBefore w:val="0"/>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bCs/>
          <w:color w:val="auto"/>
          <w:sz w:val="32"/>
          <w:szCs w:val="32"/>
          <w:highlight w:val="none"/>
          <w:u w:val="none"/>
          <w:lang w:val="en-US" w:eastAsia="zh" w:bidi="ar"/>
          <w:woUserID w:val="0"/>
        </w:rPr>
      </w:pPr>
      <w:commentRangeStart w:id="2"/>
      <w:commentRangeStart w:id="3"/>
      <w:r>
        <w:rPr>
          <w:rFonts w:hint="default" w:ascii="Times New Roman" w:hAnsi="Times New Roman" w:eastAsia="仿宋_GB2312" w:cs="Times New Roman"/>
          <w:b w:val="0"/>
          <w:bCs w:val="0"/>
          <w:color w:val="auto"/>
          <w:sz w:val="32"/>
          <w:szCs w:val="32"/>
          <w:highlight w:val="none"/>
          <w:u w:val="none"/>
          <w:lang w:val="en-US" w:eastAsia="zh-CN" w:bidi="ar"/>
          <w:woUserID w:val="0"/>
        </w:rPr>
        <w:t>第</w:t>
      </w:r>
      <w:r>
        <w:rPr>
          <w:rFonts w:hint="default" w:ascii="Times New Roman" w:hAnsi="Times New Roman" w:eastAsia="仿宋_GB2312" w:cs="Times New Roman"/>
          <w:b w:val="0"/>
          <w:bCs w:val="0"/>
          <w:color w:val="auto"/>
          <w:sz w:val="32"/>
          <w:szCs w:val="32"/>
          <w:highlight w:val="none"/>
          <w:u w:val="none"/>
          <w:lang w:val="en-US" w:eastAsia="zh" w:bidi="ar"/>
          <w:woUserID w:val="0"/>
        </w:rPr>
        <w:t>九</w:t>
      </w:r>
      <w:r>
        <w:rPr>
          <w:rFonts w:hint="default" w:ascii="Times New Roman" w:hAnsi="Times New Roman" w:eastAsia="仿宋_GB2312" w:cs="Times New Roman"/>
          <w:b w:val="0"/>
          <w:bCs w:val="0"/>
          <w:color w:val="auto"/>
          <w:sz w:val="32"/>
          <w:szCs w:val="32"/>
          <w:highlight w:val="none"/>
          <w:u w:val="none"/>
          <w:lang w:val="en-US" w:eastAsia="zh-CN" w:bidi="ar"/>
          <w:woUserID w:val="0"/>
        </w:rPr>
        <w:t xml:space="preserve">节 </w:t>
      </w:r>
      <w:r>
        <w:rPr>
          <w:rFonts w:hint="default" w:ascii="Times New Roman" w:hAnsi="Times New Roman" w:eastAsia="仿宋_GB2312" w:cs="Times New Roman"/>
          <w:b w:val="0"/>
          <w:bCs w:val="0"/>
          <w:color w:val="auto"/>
          <w:sz w:val="32"/>
          <w:szCs w:val="32"/>
          <w:highlight w:val="none"/>
          <w:u w:val="none"/>
          <w:lang w:val="en-US" w:eastAsia="zh" w:bidi="ar"/>
          <w:woUserID w:val="0"/>
        </w:rPr>
        <w:t>平安桦川建设成果丰硕</w:t>
      </w:r>
      <w:commentRangeEnd w:id="2"/>
      <w:r>
        <w:rPr>
          <w:rFonts w:hint="default" w:ascii="Times New Roman" w:hAnsi="Times New Roman" w:eastAsia="仿宋_GB2312" w:cs="Times New Roman"/>
          <w:b w:val="0"/>
          <w:bCs w:val="0"/>
          <w:color w:val="auto"/>
          <w:sz w:val="32"/>
          <w:szCs w:val="32"/>
          <w:highlight w:val="none"/>
          <w:u w:val="none"/>
          <w:lang w:val="en-US" w:eastAsia="zh" w:bidi="ar"/>
          <w:woUserID w:val="0"/>
        </w:rPr>
        <w:commentReference w:id="2"/>
      </w:r>
      <w:commentRangeEnd w:id="3"/>
      <w:r>
        <w:rPr>
          <w:rFonts w:hint="default" w:ascii="Times New Roman" w:hAnsi="Times New Roman" w:eastAsia="仿宋_GB2312" w:cs="Times New Roman"/>
          <w:b w:val="0"/>
          <w:bCs w:val="0"/>
          <w:color w:val="auto"/>
          <w:sz w:val="32"/>
          <w:szCs w:val="32"/>
          <w:highlight w:val="none"/>
          <w:u w:val="none"/>
          <w:lang w:val="en-US" w:eastAsia="zh" w:bidi="ar"/>
          <w:woUserID w:val="0"/>
        </w:rPr>
        <w:commentReference w:id="3"/>
      </w:r>
      <w:bookmarkEnd w:id="114"/>
      <w:bookmarkEnd w:id="115"/>
      <w:bookmarkEnd w:id="116"/>
      <w:bookmarkEnd w:id="117"/>
    </w:p>
    <w:p w14:paraId="4A549789">
      <w:pPr>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全面贯彻落实总体国家安全观，建成县乡村三级国家安全人民防线小组115个，连续2年获全省防线建设二等奖。扎实推进常态化扫黑除恶，13条涉黑涉恶线索全部查结。严厉打击“黄赌毒”等各类形态犯罪，五年来破获刑事、治安案件共1793起，命案破案率连续21年</w:t>
      </w:r>
      <w:r>
        <w:rPr>
          <w:rFonts w:hint="default" w:ascii="Times New Roman" w:hAnsi="Times New Roman" w:eastAsia="仿宋_GB2312" w:cs="Times New Roman"/>
          <w:color w:val="auto"/>
          <w:sz w:val="32"/>
          <w:szCs w:val="32"/>
          <w:highlight w:val="none"/>
          <w:lang w:eastAsia="zh"/>
        </w:rPr>
        <w:t>实现</w:t>
      </w:r>
      <w:r>
        <w:rPr>
          <w:rFonts w:hint="default" w:ascii="Times New Roman" w:hAnsi="Times New Roman" w:eastAsia="仿宋_GB2312" w:cs="Times New Roman"/>
          <w:color w:val="auto"/>
          <w:sz w:val="32"/>
          <w:szCs w:val="32"/>
          <w:highlight w:val="none"/>
        </w:rPr>
        <w:t>100%，刑事、治安案件连续5年下降，星火乡被确定为全国“扫黄打非”进基层示范点。创新“四类重点人群”管理机制，对1992名重点人员落实“三定”措施。开展“八五”普法活动1200余次，建成126个公共法律服务平台、133个法治阵地，培育345名“法律明白人”，县委宣传部荣获全省“八五”普法表现突出单位荣誉称号。综治中心规范运行，整合4部门整建制入驻，23家单位“常驻+轮驻+随驻”，实现群众诉求“只进一扇门”。建立多元解纷机制，五年来化解纠纷5665件，化解率100%。开展7大治理攻坚行动，建立乡村（社区）、行业调委会136个，集贤村、星火村被评为全国乡村治理示范村。创新开展“四警一律”进网格、“一网连两格、一摊连两员”等系列活动，经验做法得到中央、省市推广。</w:t>
      </w:r>
    </w:p>
    <w:p w14:paraId="4F55C3E3">
      <w:pPr>
        <w:pageBreakBefore w:val="0"/>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bCs/>
          <w:color w:val="auto"/>
          <w:sz w:val="32"/>
          <w:szCs w:val="32"/>
          <w:highlight w:val="none"/>
          <w:u w:val="none"/>
          <w:lang w:val="en-US" w:eastAsia="zh" w:bidi="ar"/>
          <w:woUserID w:val="0"/>
        </w:rPr>
      </w:pPr>
      <w:commentRangeStart w:id="4"/>
      <w:commentRangeStart w:id="5"/>
      <w:bookmarkStart w:id="118" w:name="_Toc776310428"/>
      <w:bookmarkStart w:id="119" w:name="_Toc375944457"/>
      <w:bookmarkStart w:id="120" w:name="_Toc28080"/>
      <w:bookmarkStart w:id="121" w:name="_Toc19636"/>
      <w:r>
        <w:rPr>
          <w:rFonts w:hint="default" w:ascii="Times New Roman" w:hAnsi="Times New Roman" w:eastAsia="仿宋_GB2312" w:cs="Times New Roman"/>
          <w:b w:val="0"/>
          <w:bCs w:val="0"/>
          <w:color w:val="auto"/>
          <w:sz w:val="32"/>
          <w:szCs w:val="32"/>
          <w:highlight w:val="none"/>
          <w:u w:val="none"/>
          <w:lang w:val="en-US" w:eastAsia="zh-CN" w:bidi="ar"/>
          <w:woUserID w:val="0"/>
        </w:rPr>
        <w:t>第</w:t>
      </w:r>
      <w:r>
        <w:rPr>
          <w:rFonts w:hint="default" w:ascii="Times New Roman" w:hAnsi="Times New Roman" w:eastAsia="仿宋_GB2312" w:cs="Times New Roman"/>
          <w:b w:val="0"/>
          <w:bCs w:val="0"/>
          <w:color w:val="auto"/>
          <w:sz w:val="32"/>
          <w:szCs w:val="32"/>
          <w:highlight w:val="none"/>
          <w:u w:val="none"/>
          <w:lang w:val="en-US" w:eastAsia="zh" w:bidi="ar"/>
          <w:woUserID w:val="0"/>
        </w:rPr>
        <w:t>十</w:t>
      </w:r>
      <w:r>
        <w:rPr>
          <w:rFonts w:hint="default" w:ascii="Times New Roman" w:hAnsi="Times New Roman" w:eastAsia="仿宋_GB2312" w:cs="Times New Roman"/>
          <w:b w:val="0"/>
          <w:bCs w:val="0"/>
          <w:color w:val="auto"/>
          <w:sz w:val="32"/>
          <w:szCs w:val="32"/>
          <w:highlight w:val="none"/>
          <w:u w:val="none"/>
          <w:lang w:val="en-US" w:eastAsia="zh-CN" w:bidi="ar"/>
          <w:woUserID w:val="0"/>
        </w:rPr>
        <w:t xml:space="preserve">节 </w:t>
      </w:r>
      <w:r>
        <w:rPr>
          <w:rFonts w:hint="default" w:ascii="Times New Roman" w:hAnsi="Times New Roman" w:eastAsia="仿宋_GB2312" w:cs="Times New Roman"/>
          <w:b w:val="0"/>
          <w:bCs w:val="0"/>
          <w:color w:val="auto"/>
          <w:sz w:val="32"/>
          <w:szCs w:val="32"/>
          <w:highlight w:val="none"/>
          <w:u w:val="none"/>
          <w:lang w:val="en-US" w:eastAsia="zh" w:bidi="ar"/>
          <w:woUserID w:val="0"/>
        </w:rPr>
        <w:t>全面从严治党纵深发展</w:t>
      </w:r>
      <w:commentRangeEnd w:id="4"/>
      <w:r>
        <w:rPr>
          <w:rFonts w:hint="default" w:ascii="Times New Roman" w:hAnsi="Times New Roman" w:eastAsia="仿宋_GB2312" w:cs="Times New Roman"/>
          <w:b w:val="0"/>
          <w:bCs w:val="0"/>
          <w:color w:val="auto"/>
          <w:sz w:val="32"/>
          <w:szCs w:val="32"/>
          <w:highlight w:val="none"/>
          <w:u w:val="none"/>
          <w:lang w:val="en-US" w:eastAsia="zh" w:bidi="ar"/>
          <w:woUserID w:val="0"/>
        </w:rPr>
        <w:commentReference w:id="4"/>
      </w:r>
      <w:commentRangeEnd w:id="5"/>
      <w:r>
        <w:rPr>
          <w:rFonts w:hint="default" w:ascii="Times New Roman" w:hAnsi="Times New Roman" w:eastAsia="仿宋_GB2312" w:cs="Times New Roman"/>
          <w:b w:val="0"/>
          <w:bCs w:val="0"/>
          <w:color w:val="auto"/>
          <w:sz w:val="32"/>
          <w:szCs w:val="32"/>
          <w:highlight w:val="none"/>
          <w:u w:val="none"/>
          <w:lang w:val="en-US" w:eastAsia="zh" w:bidi="ar"/>
          <w:woUserID w:val="0"/>
        </w:rPr>
        <w:commentReference w:id="5"/>
      </w:r>
      <w:bookmarkEnd w:id="118"/>
      <w:bookmarkEnd w:id="119"/>
      <w:bookmarkEnd w:id="120"/>
      <w:bookmarkEnd w:id="121"/>
    </w:p>
    <w:p w14:paraId="0571622D">
      <w:pPr>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扎实开展党内集中教育，推动学习贯彻习近平新时代中国特色社会主义思想走深走实。持续深化能力作风建设，举办“</w:t>
      </w:r>
      <w:r>
        <w:rPr>
          <w:rFonts w:hint="default" w:ascii="Times New Roman" w:hAnsi="Times New Roman" w:eastAsia="仿宋_GB2312" w:cs="Times New Roman"/>
          <w:color w:val="auto"/>
          <w:sz w:val="32"/>
          <w:szCs w:val="32"/>
          <w:highlight w:val="none"/>
          <w:lang w:val="en-US" w:eastAsia="zh-CN"/>
        </w:rPr>
        <w:t>业务大讲堂</w:t>
      </w:r>
      <w:r>
        <w:rPr>
          <w:rFonts w:hint="default" w:ascii="Times New Roman" w:hAnsi="Times New Roman" w:eastAsia="仿宋_GB2312" w:cs="Times New Roman"/>
          <w:color w:val="auto"/>
          <w:sz w:val="32"/>
          <w:szCs w:val="32"/>
          <w:highlight w:val="none"/>
        </w:rPr>
        <w:t>”“练兵比武”5600余期，谋划创先争优项目1000余条，成功</w:t>
      </w:r>
      <w:r>
        <w:rPr>
          <w:rFonts w:hint="eastAsia" w:eastAsia="仿宋_GB2312" w:cs="Times New Roman"/>
          <w:color w:val="auto"/>
          <w:sz w:val="32"/>
          <w:szCs w:val="32"/>
          <w:highlight w:val="none"/>
          <w:lang w:eastAsia="zh-CN"/>
        </w:rPr>
        <w:t>争创</w:t>
      </w:r>
      <w:r>
        <w:rPr>
          <w:rFonts w:hint="default" w:ascii="Times New Roman" w:hAnsi="Times New Roman" w:eastAsia="仿宋_GB2312" w:cs="Times New Roman"/>
          <w:color w:val="auto"/>
          <w:sz w:val="32"/>
          <w:szCs w:val="32"/>
          <w:highlight w:val="none"/>
        </w:rPr>
        <w:t>国省荣誉313项，排名全市前列。坚持抓党建促乡村振兴，连续7年开展“夺旗争星”活动，打造基层党建示范点位52个，成功争取“整县提升”示范项目资金300万元和中央红色美丽村庄建设项目奖补资金400万元，各领域基层党组织全面进步。纪检监察体制改革取得新突破，在全省率先实现派驻机构集中办公，工作做法在中央纪委国家监委党风政风监督室专刊刊发。集中整治群众身边不正之风和腐败问题，农村集体“三资”管理问题整改整治成效得到省纪委监委督导组充分肯定。党管武装和国防动员工作持续加强，人武部党委被省军分区评为先进基层党组织。</w:t>
      </w:r>
    </w:p>
    <w:p w14:paraId="36228340">
      <w:pPr>
        <w:pStyle w:val="3"/>
        <w:keepNext/>
        <w:keepLines/>
        <w:pageBreakBefore w:val="0"/>
        <w:numPr>
          <w:ilvl w:val="0"/>
          <w:numId w:val="2"/>
        </w:numPr>
        <w:kinsoku/>
        <w:wordWrap/>
        <w:overflowPunct/>
        <w:topLinePunct w:val="0"/>
        <w:autoSpaceDE/>
        <w:autoSpaceDN/>
        <w:bidi w:val="0"/>
        <w:adjustRightInd/>
        <w:snapToGrid/>
        <w:spacing w:before="0" w:beforeAutospacing="0" w:after="0" w:line="560" w:lineRule="exact"/>
        <w:ind w:firstLine="0" w:firstLineChars="0"/>
        <w:jc w:val="center"/>
        <w:textAlignment w:val="auto"/>
        <w:outlineLvl w:val="1"/>
        <w:rPr>
          <w:rFonts w:hint="default" w:ascii="Times New Roman" w:hAnsi="Times New Roman" w:eastAsia="楷体" w:cs="Times New Roman"/>
          <w:b w:val="0"/>
          <w:bCs/>
          <w:color w:val="auto"/>
          <w:sz w:val="32"/>
          <w:szCs w:val="32"/>
          <w:highlight w:val="none"/>
          <w:lang w:bidi="ar"/>
        </w:rPr>
      </w:pPr>
      <w:bookmarkStart w:id="122" w:name="_Toc961"/>
      <w:bookmarkStart w:id="123" w:name="_Toc32691"/>
      <w:bookmarkStart w:id="124" w:name="_Toc26332"/>
      <w:bookmarkStart w:id="125" w:name="_Toc4224"/>
      <w:bookmarkStart w:id="126" w:name="_Toc10504"/>
      <w:bookmarkStart w:id="127" w:name="_Toc15665"/>
      <w:bookmarkStart w:id="128" w:name="_Toc10179"/>
      <w:bookmarkStart w:id="129" w:name="_Toc21724"/>
      <w:bookmarkStart w:id="130" w:name="_Toc5804"/>
      <w:bookmarkStart w:id="131" w:name="_Toc2741"/>
      <w:bookmarkStart w:id="132" w:name="_Toc6208"/>
      <w:bookmarkStart w:id="133" w:name="_Toc651400983"/>
      <w:bookmarkStart w:id="134" w:name="_Toc17410"/>
      <w:bookmarkStart w:id="135" w:name="_Toc883176903"/>
      <w:r>
        <w:rPr>
          <w:rFonts w:hint="default" w:ascii="Times New Roman" w:hAnsi="Times New Roman" w:eastAsia="楷体" w:cs="Times New Roman"/>
          <w:b w:val="0"/>
          <w:bCs/>
          <w:color w:val="auto"/>
          <w:sz w:val="32"/>
          <w:szCs w:val="32"/>
          <w:highlight w:val="none"/>
          <w:lang w:bidi="ar"/>
        </w:rPr>
        <w:t>“十五五”时期在全面建设社会主义</w:t>
      </w:r>
      <w:r>
        <w:rPr>
          <w:rFonts w:hint="default" w:ascii="Times New Roman" w:hAnsi="Times New Roman" w:eastAsia="楷体" w:cs="Times New Roman"/>
          <w:b w:val="0"/>
          <w:bCs/>
          <w:color w:val="auto"/>
          <w:sz w:val="32"/>
          <w:szCs w:val="32"/>
          <w:highlight w:val="none"/>
          <w:lang w:val="en-US" w:eastAsia="zh-CN" w:bidi="ar"/>
        </w:rPr>
        <w:t>现代化进程</w:t>
      </w:r>
      <w:bookmarkEnd w:id="122"/>
      <w:bookmarkEnd w:id="123"/>
      <w:bookmarkEnd w:id="124"/>
      <w:bookmarkEnd w:id="125"/>
      <w:bookmarkEnd w:id="126"/>
      <w:bookmarkEnd w:id="127"/>
      <w:bookmarkEnd w:id="128"/>
      <w:bookmarkEnd w:id="129"/>
      <w:bookmarkEnd w:id="130"/>
      <w:bookmarkEnd w:id="131"/>
      <w:bookmarkEnd w:id="132"/>
      <w:bookmarkStart w:id="136" w:name="_Toc22665"/>
      <w:bookmarkStart w:id="137" w:name="_Toc24094"/>
      <w:bookmarkStart w:id="138" w:name="_Toc29726"/>
      <w:bookmarkStart w:id="139" w:name="_Toc19203"/>
      <w:bookmarkStart w:id="140" w:name="_Toc12922"/>
      <w:bookmarkStart w:id="141" w:name="_Toc11136"/>
      <w:bookmarkStart w:id="142" w:name="_Toc14786"/>
      <w:bookmarkStart w:id="143" w:name="_Toc1836"/>
      <w:bookmarkStart w:id="144" w:name="_Toc25881"/>
      <w:bookmarkStart w:id="145" w:name="_Toc31660"/>
      <w:bookmarkStart w:id="146" w:name="_Toc8409"/>
      <w:bookmarkStart w:id="147" w:name="_Toc2140"/>
      <w:r>
        <w:rPr>
          <w:rFonts w:hint="default" w:ascii="Times New Roman" w:hAnsi="Times New Roman" w:eastAsia="楷体" w:cs="Times New Roman"/>
          <w:b w:val="0"/>
          <w:bCs/>
          <w:color w:val="auto"/>
          <w:sz w:val="32"/>
          <w:szCs w:val="32"/>
          <w:highlight w:val="none"/>
          <w:lang w:bidi="ar"/>
        </w:rPr>
        <w:t>中</w:t>
      </w:r>
    </w:p>
    <w:p w14:paraId="6E4573E1">
      <w:pPr>
        <w:pStyle w:val="3"/>
        <w:keepNext/>
        <w:keepLines/>
        <w:pageBreakBefore w:val="0"/>
        <w:numPr>
          <w:ilvl w:val="0"/>
          <w:numId w:val="0"/>
        </w:numPr>
        <w:kinsoku/>
        <w:wordWrap/>
        <w:overflowPunct/>
        <w:topLinePunct w:val="0"/>
        <w:autoSpaceDE/>
        <w:autoSpaceDN/>
        <w:bidi w:val="0"/>
        <w:adjustRightInd/>
        <w:snapToGrid/>
        <w:spacing w:before="0" w:beforeAutospacing="0" w:after="0" w:line="560" w:lineRule="exact"/>
        <w:jc w:val="center"/>
        <w:textAlignment w:val="auto"/>
        <w:outlineLvl w:val="1"/>
        <w:rPr>
          <w:rFonts w:hint="default" w:ascii="Times New Roman" w:hAnsi="Times New Roman" w:eastAsia="楷体" w:cs="Times New Roman"/>
          <w:b w:val="0"/>
          <w:bCs/>
          <w:color w:val="auto"/>
          <w:sz w:val="32"/>
          <w:szCs w:val="32"/>
          <w:highlight w:val="none"/>
          <w:lang w:bidi="ar"/>
        </w:rPr>
      </w:pPr>
      <w:r>
        <w:rPr>
          <w:rFonts w:hint="default" w:ascii="Times New Roman" w:hAnsi="Times New Roman" w:eastAsia="楷体" w:cs="Times New Roman"/>
          <w:b w:val="0"/>
          <w:bCs/>
          <w:color w:val="auto"/>
          <w:sz w:val="32"/>
          <w:szCs w:val="32"/>
          <w:highlight w:val="none"/>
          <w:lang w:val="en-US" w:eastAsia="zh-CN" w:bidi="ar"/>
        </w:rPr>
        <w:t>具</w:t>
      </w:r>
      <w:r>
        <w:rPr>
          <w:rFonts w:hint="default" w:ascii="Times New Roman" w:hAnsi="Times New Roman" w:eastAsia="楷体" w:cs="Times New Roman"/>
          <w:b w:val="0"/>
          <w:bCs/>
          <w:color w:val="auto"/>
          <w:sz w:val="32"/>
          <w:szCs w:val="32"/>
          <w:highlight w:val="none"/>
          <w:lang w:bidi="ar"/>
        </w:rPr>
        <w:t>有承前启后的重要地位</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0FB543B7">
      <w:pPr>
        <w:pageBreakBefore w:val="0"/>
        <w:kinsoku/>
        <w:wordWrap/>
        <w:overflowPunct/>
        <w:topLinePunct w:val="0"/>
        <w:autoSpaceDE/>
        <w:autoSpaceDN/>
        <w:bidi w:val="0"/>
        <w:adjustRightInd/>
        <w:snapToGrid/>
        <w:spacing w:beforeAutospacing="0"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“十五五”时期在全面建设社会主义现代化进程中具有承前启后的重要地位。“十五五”时期是我国</w:t>
      </w:r>
      <w:r>
        <w:rPr>
          <w:rFonts w:hint="eastAsia" w:eastAsia="仿宋_GB2312" w:cs="Times New Roman"/>
          <w:color w:val="auto"/>
          <w:sz w:val="32"/>
          <w:szCs w:val="32"/>
          <w:highlight w:val="none"/>
          <w:lang w:eastAsia="zh-CN"/>
        </w:rPr>
        <w:t>为基本实现社会主义现代化</w:t>
      </w:r>
      <w:r>
        <w:rPr>
          <w:rFonts w:hint="default" w:ascii="Times New Roman" w:hAnsi="Times New Roman" w:eastAsia="仿宋_GB2312" w:cs="Times New Roman"/>
          <w:color w:val="auto"/>
          <w:sz w:val="32"/>
          <w:szCs w:val="32"/>
          <w:highlight w:val="none"/>
        </w:rPr>
        <w:t>夯实基础、全面发力的关键时期，是新时代桦川县高质量发展把握机遇、乘势而上的关键时期。我们要始终秉持“一张蓝图绘到底，一茬接着一茬干”的理念，以钉钉子精神扎实推进规划编制各项工作，充分发挥优势条件，破除发展瓶颈制约，持续补短板强弱项，着力推动发展方式从资源驱动为主向创新引领为主转变、产业层级从中初级为主向中高端为主转变、对外开放从通道经济向进出口加工等多元化经济发展转变、区域发展从条块局部联动向全域整体协同优化转变、生态优势从绿色本底向绿色发展动能转变、人民生活从全面小康向共同富裕</w:t>
      </w:r>
      <w:r>
        <w:rPr>
          <w:rFonts w:hint="eastAsia" w:eastAsia="仿宋_GB2312" w:cs="Times New Roman"/>
          <w:color w:val="auto"/>
          <w:sz w:val="32"/>
          <w:szCs w:val="32"/>
          <w:highlight w:val="none"/>
          <w:lang w:eastAsia="zh-CN"/>
        </w:rPr>
        <w:t>迈进，向</w:t>
      </w:r>
      <w:r>
        <w:rPr>
          <w:rFonts w:hint="default" w:ascii="Times New Roman" w:hAnsi="Times New Roman" w:eastAsia="仿宋_GB2312" w:cs="Times New Roman"/>
          <w:color w:val="auto"/>
          <w:sz w:val="32"/>
          <w:szCs w:val="32"/>
          <w:highlight w:val="none"/>
        </w:rPr>
        <w:t>更高生活品质迈进，高质量发展取得新突破</w:t>
      </w:r>
      <w:r>
        <w:rPr>
          <w:rFonts w:hint="eastAsia"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各项事业开创新局面，为加快建设社会主义现代化强县奠定更加坚实的基础。</w:t>
      </w:r>
    </w:p>
    <w:p w14:paraId="508693B8">
      <w:pPr>
        <w:pStyle w:val="3"/>
        <w:pageBreakBefore w:val="0"/>
        <w:kinsoku/>
        <w:wordWrap/>
        <w:overflowPunct/>
        <w:topLinePunct w:val="0"/>
        <w:autoSpaceDE/>
        <w:autoSpaceDN/>
        <w:bidi w:val="0"/>
        <w:adjustRightInd/>
        <w:snapToGrid/>
        <w:spacing w:before="0" w:beforeAutospacing="0" w:after="0" w:line="560" w:lineRule="exact"/>
        <w:jc w:val="center"/>
        <w:textAlignment w:val="auto"/>
        <w:outlineLvl w:val="1"/>
        <w:rPr>
          <w:rFonts w:hint="default" w:ascii="Times New Roman" w:hAnsi="Times New Roman" w:eastAsia="楷体" w:cs="Times New Roman"/>
          <w:b w:val="0"/>
          <w:bCs/>
          <w:color w:val="auto"/>
          <w:sz w:val="32"/>
          <w:szCs w:val="32"/>
          <w:highlight w:val="none"/>
          <w:lang w:bidi="ar"/>
        </w:rPr>
      </w:pPr>
      <w:bookmarkStart w:id="148" w:name="_Toc15459"/>
      <w:bookmarkStart w:id="149" w:name="_Toc21909"/>
      <w:bookmarkStart w:id="150" w:name="_Toc22583"/>
      <w:bookmarkStart w:id="151" w:name="_Toc5141"/>
      <w:bookmarkStart w:id="152" w:name="_Toc31104"/>
      <w:bookmarkStart w:id="153" w:name="_Toc20464"/>
      <w:bookmarkStart w:id="154" w:name="_Toc15746"/>
      <w:bookmarkStart w:id="155" w:name="_Toc26873"/>
      <w:r>
        <w:rPr>
          <w:rFonts w:hint="default" w:ascii="Times New Roman" w:hAnsi="Times New Roman" w:eastAsia="楷体" w:cs="Times New Roman"/>
          <w:b w:val="0"/>
          <w:bCs/>
          <w:color w:val="auto"/>
          <w:sz w:val="32"/>
          <w:szCs w:val="32"/>
          <w:highlight w:val="none"/>
          <w:lang w:bidi="ar"/>
        </w:rPr>
        <w:t>第三</w:t>
      </w:r>
      <w:r>
        <w:rPr>
          <w:rFonts w:hint="default" w:ascii="Times New Roman" w:hAnsi="Times New Roman" w:eastAsia="楷体" w:cs="Times New Roman"/>
          <w:b w:val="0"/>
          <w:bCs/>
          <w:color w:val="auto"/>
          <w:sz w:val="32"/>
          <w:szCs w:val="32"/>
          <w:highlight w:val="none"/>
          <w:lang w:eastAsia="zh" w:bidi="ar"/>
          <w:woUserID w:val="0"/>
        </w:rPr>
        <w:t>章</w:t>
      </w:r>
      <w:r>
        <w:rPr>
          <w:rFonts w:hint="default" w:ascii="Times New Roman" w:hAnsi="Times New Roman" w:eastAsia="楷体" w:cs="Times New Roman"/>
          <w:b w:val="0"/>
          <w:bCs/>
          <w:color w:val="auto"/>
          <w:sz w:val="32"/>
          <w:szCs w:val="32"/>
          <w:highlight w:val="none"/>
          <w:lang w:bidi="ar"/>
        </w:rPr>
        <w:t xml:space="preserve"> “十五五”时期发展环境面临深刻复杂变化</w:t>
      </w:r>
      <w:bookmarkEnd w:id="148"/>
      <w:bookmarkEnd w:id="149"/>
      <w:bookmarkEnd w:id="150"/>
      <w:bookmarkEnd w:id="151"/>
      <w:bookmarkEnd w:id="152"/>
      <w:bookmarkEnd w:id="153"/>
      <w:bookmarkEnd w:id="154"/>
      <w:bookmarkEnd w:id="155"/>
    </w:p>
    <w:p w14:paraId="2ABFA14C">
      <w:pPr>
        <w:pageBreakBefore w:val="0"/>
        <w:widowControl/>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国际形势演变深刻影响国内发展，我国发展处于战略机遇和风险挑战并存、不确定难预料因素增多的时期，桦川发展面临新形势新变化、新机遇新挑战。</w:t>
      </w:r>
    </w:p>
    <w:p w14:paraId="3DB7C964">
      <w:pPr>
        <w:pageBreakBefore w:val="0"/>
        <w:widowControl/>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从国际看，</w:t>
      </w:r>
      <w:r>
        <w:rPr>
          <w:rFonts w:hint="default" w:ascii="Times New Roman" w:hAnsi="Times New Roman" w:eastAsia="仿宋_GB2312" w:cs="Times New Roman"/>
          <w:color w:val="auto"/>
          <w:sz w:val="32"/>
          <w:szCs w:val="32"/>
          <w:highlight w:val="none"/>
        </w:rPr>
        <w:t>世界百年变局加速演进，国际力量对比深刻调整，以人工智能、大数据、物联网、生物技术等为代表的前沿科技正以前所未有的速度和广度重塑全球经济格局与产业生态，新一轮科技革命和产业变革加速突破，我国具备主动运筹国际空间、塑造外部环境的诸多有利因素。同时，世界变乱交织、动荡加剧，地缘冲突易发多发；单边主义、保护主义抬头</w:t>
      </w:r>
      <w:r>
        <w:rPr>
          <w:rFonts w:hint="eastAsia"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霸权主义和强权政治威胁上升，国际经济贸易秩序遇到严重挑战，世界经济增长动能不足；大国博弈更加复杂激烈。</w:t>
      </w:r>
    </w:p>
    <w:p w14:paraId="3DE9A96C">
      <w:pPr>
        <w:pageBreakBefore w:val="0"/>
        <w:kinsoku/>
        <w:wordWrap/>
        <w:overflowPunct/>
        <w:topLinePunct w:val="0"/>
        <w:autoSpaceDE/>
        <w:autoSpaceDN/>
        <w:bidi w:val="0"/>
        <w:adjustRightInd/>
        <w:snapToGrid/>
        <w:spacing w:beforeAutospacing="0"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从国内看，</w:t>
      </w:r>
      <w:r>
        <w:rPr>
          <w:rFonts w:hint="default" w:ascii="Times New Roman" w:hAnsi="Times New Roman" w:eastAsia="仿宋_GB2312" w:cs="Times New Roman"/>
          <w:color w:val="auto"/>
          <w:sz w:val="32"/>
          <w:szCs w:val="32"/>
          <w:highlight w:val="none"/>
        </w:rPr>
        <w:t>我国发展不平衡不充分问题仍然突出，有效需求不足，新旧动能转换任务艰巨，农业农村现代化相对滞后，民生保障存在短板弱项，人口结构变化给经济发展、社会治理等提出新课题，但我国经济基础稳、优势多、韧性强、潜能大，长期向好的支撑条件和基本趋势没有变，中国特色社会主义制度优势、超大规模市场优势、完整产业体系优势、丰富人才资源优势更加彰显，有利于我</w:t>
      </w:r>
      <w:r>
        <w:rPr>
          <w:rFonts w:hint="default" w:ascii="Times New Roman" w:hAnsi="Times New Roman" w:eastAsia="仿宋_GB2312" w:cs="Times New Roman"/>
          <w:color w:val="auto"/>
          <w:sz w:val="32"/>
          <w:szCs w:val="32"/>
          <w:highlight w:val="none"/>
          <w:lang w:eastAsia="zh"/>
        </w:rPr>
        <w:t>县</w:t>
      </w:r>
      <w:r>
        <w:rPr>
          <w:rFonts w:hint="default" w:ascii="Times New Roman" w:hAnsi="Times New Roman" w:eastAsia="仿宋_GB2312" w:cs="Times New Roman"/>
          <w:color w:val="auto"/>
          <w:sz w:val="32"/>
          <w:szCs w:val="32"/>
          <w:highlight w:val="none"/>
        </w:rPr>
        <w:t>抢抓全国生产力布局优化调整契机，积极承接发达</w:t>
      </w:r>
      <w:r>
        <w:rPr>
          <w:rFonts w:hint="eastAsia" w:eastAsia="仿宋_GB2312" w:cs="Times New Roman"/>
          <w:color w:val="auto"/>
          <w:sz w:val="32"/>
          <w:szCs w:val="32"/>
          <w:highlight w:val="none"/>
          <w:lang w:eastAsia="zh-CN"/>
        </w:rPr>
        <w:t>省市</w:t>
      </w:r>
      <w:r>
        <w:rPr>
          <w:rFonts w:hint="default" w:ascii="Times New Roman" w:hAnsi="Times New Roman" w:eastAsia="仿宋_GB2312" w:cs="Times New Roman"/>
          <w:color w:val="auto"/>
          <w:sz w:val="32"/>
          <w:szCs w:val="32"/>
          <w:highlight w:val="none"/>
        </w:rPr>
        <w:t>产业转移，桦川可</w:t>
      </w:r>
      <w:r>
        <w:rPr>
          <w:rFonts w:hint="default" w:ascii="Times New Roman" w:hAnsi="Times New Roman" w:eastAsia="仿宋_GB2312" w:cs="Times New Roman"/>
          <w:color w:val="auto"/>
          <w:sz w:val="32"/>
          <w:szCs w:val="32"/>
          <w:highlight w:val="none"/>
          <w:lang w:eastAsia="zh"/>
        </w:rPr>
        <w:t>依托佳木斯市</w:t>
      </w:r>
      <w:r>
        <w:rPr>
          <w:rFonts w:hint="default" w:ascii="Times New Roman" w:hAnsi="Times New Roman" w:eastAsia="仿宋_GB2312" w:cs="Times New Roman"/>
          <w:color w:val="auto"/>
          <w:sz w:val="32"/>
          <w:szCs w:val="32"/>
          <w:highlight w:val="none"/>
        </w:rPr>
        <w:t>对俄出口优势，融入沿边产业协作网络。</w:t>
      </w:r>
      <w:r>
        <w:rPr>
          <w:rFonts w:hint="default" w:ascii="Times New Roman" w:hAnsi="Times New Roman" w:eastAsia="仿宋_GB2312" w:cs="Times New Roman"/>
          <w:color w:val="auto"/>
          <w:sz w:val="32"/>
          <w:szCs w:val="32"/>
          <w:highlight w:val="none"/>
          <w:lang w:eastAsia="zh"/>
        </w:rPr>
        <w:t>桦川县将</w:t>
      </w:r>
      <w:r>
        <w:rPr>
          <w:rFonts w:hint="default" w:ascii="Times New Roman" w:hAnsi="Times New Roman" w:eastAsia="仿宋_GB2312" w:cs="Times New Roman"/>
          <w:color w:val="auto"/>
          <w:sz w:val="32"/>
          <w:szCs w:val="32"/>
          <w:highlight w:val="none"/>
        </w:rPr>
        <w:t>坚决扛起维护国家“五大安全”重大政治责任，推动农业、生态、资源、产业、区位等各方面优势转化为高质量振兴发展实际效能。</w:t>
      </w:r>
    </w:p>
    <w:p w14:paraId="5042ED83">
      <w:pPr>
        <w:pageBreakBefore w:val="0"/>
        <w:widowControl/>
        <w:kinsoku/>
        <w:wordWrap/>
        <w:overflowPunct/>
        <w:topLinePunct w:val="0"/>
        <w:autoSpaceDE/>
        <w:autoSpaceDN/>
        <w:bidi w:val="0"/>
        <w:adjustRightInd/>
        <w:snapToGrid/>
        <w:spacing w:beforeAutospacing="0"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黑体" w:cs="Times New Roman"/>
          <w:color w:val="auto"/>
          <w:sz w:val="32"/>
          <w:szCs w:val="32"/>
          <w:highlight w:val="none"/>
        </w:rPr>
        <w:t>从全省看</w:t>
      </w:r>
      <w:r>
        <w:rPr>
          <w:rFonts w:hint="default" w:ascii="Times New Roman" w:hAnsi="Times New Roman" w:eastAsia="仿宋" w:cs="Times New Roman"/>
          <w:color w:val="auto"/>
          <w:sz w:val="32"/>
          <w:szCs w:val="32"/>
          <w:highlight w:val="none"/>
          <w14:ligatures w14:val="standardContextual"/>
        </w:rPr>
        <w:t>，</w:t>
      </w:r>
      <w:r>
        <w:rPr>
          <w:rFonts w:hint="default" w:ascii="Times New Roman" w:hAnsi="Times New Roman" w:eastAsia="仿宋_GB2312" w:cs="Times New Roman"/>
          <w:color w:val="auto"/>
          <w:sz w:val="32"/>
          <w:szCs w:val="32"/>
          <w:highlight w:val="none"/>
        </w:rPr>
        <w:t>习近平总书记亲临黑龙江视察并发表重要讲话，作出重要指示，明确赋予我省维护国家国防安全、粮食安全、生态安全、能源安全、产业安全“五大安全”的重大政治责任，以及“三基地一屏障一高地”的战略使命。党中央持续实施区域协调发展战略和区域重大战略，在“十五五”规划中首次将“促进</w:t>
      </w:r>
      <w:r>
        <w:rPr>
          <w:rFonts w:hint="eastAsia" w:eastAsia="仿宋_GB2312" w:cs="Times New Roman"/>
          <w:color w:val="auto"/>
          <w:sz w:val="32"/>
          <w:szCs w:val="32"/>
          <w:highlight w:val="none"/>
          <w:lang w:eastAsia="zh-CN"/>
        </w:rPr>
        <w:t>南北</w:t>
      </w:r>
      <w:r>
        <w:rPr>
          <w:rFonts w:hint="default" w:ascii="Times New Roman" w:hAnsi="Times New Roman" w:eastAsia="仿宋_GB2312" w:cs="Times New Roman"/>
          <w:color w:val="auto"/>
          <w:sz w:val="32"/>
          <w:szCs w:val="32"/>
          <w:highlight w:val="none"/>
        </w:rPr>
        <w:t>协调发展”提升至战略层面，为黑龙江充分发挥资源、生态、科研、产业、区位等优势注入新动力，也为高质量振兴发展提供了制度保障和政策窗口。在此背景下，桦川县作为黑龙江省东部的重要节点县域，具备承接全省对俄开放合作、参与跨境产业链供应链协同的区位基础。随着黑龙江在自贸试验区建设、制度型开放、营商环境优化等方面的改革深化，桦川有望在产业对接、招商引资、人才引进等方面获得更多制度红利与发展机遇，进一步吸引外部资本与技术落地，推动经济实现高质量突破</w:t>
      </w:r>
      <w:r>
        <w:rPr>
          <w:rFonts w:hint="default" w:ascii="Times New Roman" w:hAnsi="Times New Roman" w:eastAsia="仿宋_GB2312" w:cs="Times New Roman"/>
          <w:color w:val="auto"/>
          <w:sz w:val="32"/>
          <w:szCs w:val="32"/>
          <w:highlight w:val="none"/>
          <w:lang w:eastAsia="zh"/>
        </w:rPr>
        <w:t>。</w:t>
      </w:r>
    </w:p>
    <w:p w14:paraId="050184D1">
      <w:pPr>
        <w:pageBreakBefore w:val="0"/>
        <w:kinsoku/>
        <w:wordWrap/>
        <w:overflowPunct/>
        <w:topLinePunct w:val="0"/>
        <w:autoSpaceDE/>
        <w:autoSpaceDN/>
        <w:bidi w:val="0"/>
        <w:adjustRightInd/>
        <w:snapToGrid/>
        <w:spacing w:beforeAutospacing="0" w:line="56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黑体" w:cs="Times New Roman"/>
          <w:color w:val="auto"/>
          <w:sz w:val="32"/>
          <w:szCs w:val="32"/>
          <w:highlight w:val="none"/>
        </w:rPr>
        <w:t>从全市看</w:t>
      </w:r>
      <w:r>
        <w:rPr>
          <w:rFonts w:hint="default" w:ascii="Times New Roman" w:hAnsi="Times New Roman" w:eastAsia="仿宋" w:cs="Times New Roman"/>
          <w:color w:val="auto"/>
          <w:sz w:val="32"/>
          <w:szCs w:val="32"/>
          <w:highlight w:val="none"/>
          <w14:ligatures w14:val="standardContextual"/>
        </w:rPr>
        <w:t>，</w:t>
      </w:r>
      <w:r>
        <w:rPr>
          <w:rFonts w:hint="default" w:ascii="Times New Roman" w:hAnsi="Times New Roman" w:eastAsia="仿宋_GB2312" w:cs="Times New Roman"/>
          <w:color w:val="auto"/>
          <w:sz w:val="32"/>
          <w:szCs w:val="32"/>
          <w:highlight w:val="none"/>
        </w:rPr>
        <w:t>佳木斯</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有地缘、区位、生态、平台的良好优势，有地区生产总值迈入千亿级的物质基础，有新技术、新产业、新业态、新模式的蓬勃兴起，有知名度、美誉度、影响力日益增强的城市形象，正抢抓省委发展松花江流域经济</w:t>
      </w:r>
      <w:r>
        <w:rPr>
          <w:rFonts w:hint="eastAsia"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推进沿边开放开发合作区建设、布局建设东部地区新能源产业集群等重大机遇，深入实施“3510”总体工作布局，推动各类资源要素集聚，经济发展向上向好。</w:t>
      </w:r>
      <w:r>
        <w:rPr>
          <w:rFonts w:hint="default" w:ascii="Times New Roman" w:hAnsi="Times New Roman" w:eastAsia="仿宋_GB2312" w:cs="Times New Roman"/>
          <w:color w:val="auto"/>
          <w:sz w:val="32"/>
          <w:szCs w:val="32"/>
          <w:highlight w:val="none"/>
          <w:lang w:eastAsia="zh"/>
        </w:rPr>
        <w:t>佳木斯</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在产业升级、科技创新与公共服务等领域的深化发展，不仅为桦川</w:t>
      </w:r>
      <w:r>
        <w:rPr>
          <w:rFonts w:hint="default" w:ascii="Times New Roman" w:hAnsi="Times New Roman" w:eastAsia="仿宋_GB2312" w:cs="Times New Roman"/>
          <w:color w:val="auto"/>
          <w:sz w:val="32"/>
          <w:szCs w:val="32"/>
          <w:highlight w:val="none"/>
          <w:lang w:val="en-US" w:eastAsia="zh-CN"/>
        </w:rPr>
        <w:t>县</w:t>
      </w:r>
      <w:r>
        <w:rPr>
          <w:rFonts w:hint="default" w:ascii="Times New Roman" w:hAnsi="Times New Roman" w:eastAsia="仿宋_GB2312" w:cs="Times New Roman"/>
          <w:color w:val="auto"/>
          <w:sz w:val="32"/>
          <w:szCs w:val="32"/>
          <w:highlight w:val="none"/>
        </w:rPr>
        <w:t>承接产业转移、参与区域产业链分工协作提供了更为广阔的空间，更通过强大的辐射、溢出与牵引效应为桦川特色优势产业赋能升级与价值链跃升注入了外部驱动力</w:t>
      </w:r>
      <w:r>
        <w:rPr>
          <w:rFonts w:hint="default" w:ascii="Times New Roman" w:hAnsi="Times New Roman" w:eastAsia="仿宋_GB2312" w:cs="Times New Roman"/>
          <w:color w:val="auto"/>
          <w:sz w:val="32"/>
          <w:szCs w:val="32"/>
          <w:highlight w:val="none"/>
          <w:lang w:eastAsia="zh"/>
        </w:rPr>
        <w:t>，</w:t>
      </w:r>
      <w:r>
        <w:rPr>
          <w:rFonts w:hint="default" w:ascii="Times New Roman" w:hAnsi="Times New Roman" w:eastAsia="仿宋_GB2312" w:cs="Times New Roman"/>
          <w:color w:val="auto"/>
          <w:sz w:val="32"/>
          <w:szCs w:val="32"/>
          <w:highlight w:val="none"/>
        </w:rPr>
        <w:t>为桦川</w:t>
      </w:r>
      <w:r>
        <w:rPr>
          <w:rFonts w:hint="default" w:ascii="Times New Roman" w:hAnsi="Times New Roman" w:eastAsia="仿宋_GB2312" w:cs="Times New Roman"/>
          <w:color w:val="auto"/>
          <w:sz w:val="32"/>
          <w:szCs w:val="32"/>
          <w:highlight w:val="none"/>
          <w:lang w:val="en-US" w:eastAsia="zh-CN"/>
        </w:rPr>
        <w:t>县</w:t>
      </w:r>
      <w:r>
        <w:rPr>
          <w:rFonts w:hint="default" w:ascii="Times New Roman" w:hAnsi="Times New Roman" w:eastAsia="仿宋_GB2312" w:cs="Times New Roman"/>
          <w:color w:val="auto"/>
          <w:sz w:val="32"/>
          <w:szCs w:val="32"/>
          <w:highlight w:val="none"/>
        </w:rPr>
        <w:t>优化自身发展定位、提升城乡融合品质、增强综合吸引力提供了价值导向与强劲动能。</w:t>
      </w:r>
    </w:p>
    <w:p w14:paraId="1DDDF211">
      <w:pPr>
        <w:pageBreakBefore w:val="0"/>
        <w:widowControl/>
        <w:kinsoku/>
        <w:wordWrap/>
        <w:overflowPunct/>
        <w:topLinePunct w:val="0"/>
        <w:autoSpaceDE/>
        <w:autoSpaceDN/>
        <w:bidi w:val="0"/>
        <w:adjustRightInd/>
        <w:snapToGrid/>
        <w:spacing w:beforeAutospacing="0"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黑体" w:cs="Times New Roman"/>
          <w:color w:val="auto"/>
          <w:sz w:val="32"/>
          <w:szCs w:val="32"/>
          <w:highlight w:val="none"/>
        </w:rPr>
        <w:t>从我县看，</w:t>
      </w:r>
      <w:r>
        <w:rPr>
          <w:rFonts w:hint="default" w:ascii="Times New Roman" w:hAnsi="Times New Roman" w:eastAsia="仿宋_GB2312" w:cs="Times New Roman"/>
          <w:color w:val="auto"/>
          <w:sz w:val="32"/>
          <w:szCs w:val="32"/>
          <w:highlight w:val="none"/>
        </w:rPr>
        <w:t>桦川</w:t>
      </w:r>
      <w:r>
        <w:rPr>
          <w:rFonts w:hint="default" w:ascii="Times New Roman" w:hAnsi="Times New Roman" w:eastAsia="仿宋_GB2312" w:cs="Times New Roman"/>
          <w:color w:val="auto"/>
          <w:sz w:val="32"/>
          <w:szCs w:val="32"/>
          <w:highlight w:val="none"/>
          <w:lang w:val="en-US" w:eastAsia="zh-CN"/>
        </w:rPr>
        <w:t>县</w:t>
      </w:r>
      <w:r>
        <w:rPr>
          <w:rFonts w:hint="default" w:ascii="Times New Roman" w:hAnsi="Times New Roman" w:eastAsia="仿宋_GB2312" w:cs="Times New Roman"/>
          <w:color w:val="auto"/>
          <w:sz w:val="32"/>
          <w:szCs w:val="32"/>
          <w:highlight w:val="none"/>
        </w:rPr>
        <w:t>同城佳木斯</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，是佳木斯</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的“后花园”，承接佳木斯</w:t>
      </w:r>
      <w:r>
        <w:rPr>
          <w:rFonts w:hint="default" w:ascii="Times New Roman" w:hAnsi="Times New Roman" w:eastAsia="仿宋_GB2312" w:cs="Times New Roman"/>
          <w:color w:val="auto"/>
          <w:sz w:val="32"/>
          <w:szCs w:val="32"/>
          <w:highlight w:val="none"/>
          <w:lang w:val="en-US" w:eastAsia="zh-CN"/>
        </w:rPr>
        <w:t>市</w:t>
      </w:r>
      <w:r>
        <w:rPr>
          <w:rFonts w:hint="default" w:ascii="Times New Roman" w:hAnsi="Times New Roman" w:eastAsia="仿宋_GB2312" w:cs="Times New Roman"/>
          <w:color w:val="auto"/>
          <w:sz w:val="32"/>
          <w:szCs w:val="32"/>
          <w:highlight w:val="none"/>
        </w:rPr>
        <w:t>所有资源要素；作为国家重要商品粮生产基地和国家级水稻制种大县，桦川</w:t>
      </w:r>
      <w:r>
        <w:rPr>
          <w:rFonts w:hint="default" w:ascii="Times New Roman" w:hAnsi="Times New Roman" w:eastAsia="仿宋_GB2312" w:cs="Times New Roman"/>
          <w:color w:val="auto"/>
          <w:sz w:val="32"/>
          <w:szCs w:val="32"/>
          <w:highlight w:val="none"/>
          <w:lang w:val="en-US" w:eastAsia="zh-CN"/>
        </w:rPr>
        <w:t>县</w:t>
      </w:r>
      <w:r>
        <w:rPr>
          <w:rFonts w:hint="default" w:ascii="Times New Roman" w:hAnsi="Times New Roman" w:eastAsia="仿宋_GB2312" w:cs="Times New Roman"/>
          <w:color w:val="auto"/>
          <w:sz w:val="32"/>
          <w:szCs w:val="32"/>
          <w:highlight w:val="none"/>
        </w:rPr>
        <w:t>农业基础雄厚，黑土资源丰富，高标准农田占比高，种业繁育规模全省领先，在保障国家粮食安全、健全产业链韧性等方面的战略价值日益凸显；文旅资源独特，辽金文化、非遗文化、红色文化、民俗文化、农耕文化与生态资源相得益彰；工业发展潜力巨大，民营经济不断发展壮大，农机装备配套能力较强，对俄出口优势明显</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这些都为新时代桦川县高质量发展奠定了坚实基础。同时，我县还存在主导产业规模不足、重大项目支撑不足、农产品加工转化不足、科技成果转化不足、人才引进培育不足、</w:t>
      </w:r>
      <w:r>
        <w:rPr>
          <w:rFonts w:hint="default" w:ascii="Times New Roman" w:hAnsi="Times New Roman" w:eastAsia="仿宋_GB2312" w:cs="Times New Roman"/>
          <w:b w:val="0"/>
          <w:bCs w:val="0"/>
          <w:color w:val="auto"/>
          <w:sz w:val="32"/>
          <w:szCs w:val="32"/>
          <w:highlight w:val="none"/>
        </w:rPr>
        <w:t>基本公共服务供给不足等问题，产业链</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供应链、金融等领域还存在风险隐患。</w:t>
      </w:r>
    </w:p>
    <w:p w14:paraId="73EADDAF">
      <w:pPr>
        <w:pageBreakBefore w:val="0"/>
        <w:kinsoku/>
        <w:wordWrap/>
        <w:overflowPunct/>
        <w:topLinePunct w:val="0"/>
        <w:autoSpaceDE/>
        <w:autoSpaceDN/>
        <w:bidi w:val="0"/>
        <w:adjustRightInd/>
        <w:snapToGrid w:val="0"/>
        <w:spacing w:line="560" w:lineRule="exact"/>
        <w:jc w:val="center"/>
        <w:textAlignment w:val="auto"/>
        <w:outlineLvl w:val="0"/>
        <w:rPr>
          <w:rFonts w:hint="default" w:ascii="Times New Roman" w:hAnsi="Times New Roman" w:eastAsia="黑体" w:cs="Times New Roman"/>
          <w:b w:val="0"/>
          <w:bCs w:val="0"/>
          <w:color w:val="auto"/>
          <w:sz w:val="32"/>
          <w:szCs w:val="32"/>
          <w:highlight w:val="none"/>
          <w:lang w:val="en-US" w:eastAsia="zh-CN"/>
          <w14:ligatures w14:val="standardContextual"/>
        </w:rPr>
      </w:pPr>
      <w:bookmarkStart w:id="156" w:name="_Toc668827974"/>
      <w:bookmarkStart w:id="157" w:name="_Toc1945063347"/>
      <w:bookmarkStart w:id="158" w:name="_Toc18566"/>
      <w:bookmarkStart w:id="159" w:name="_Toc1073"/>
      <w:bookmarkStart w:id="160" w:name="_Toc4463"/>
      <w:bookmarkStart w:id="161" w:name="_Toc4443"/>
      <w:bookmarkStart w:id="162" w:name="_Toc6807"/>
      <w:bookmarkStart w:id="163" w:name="_Toc21376"/>
      <w:bookmarkStart w:id="164" w:name="_Toc2751"/>
      <w:bookmarkStart w:id="165" w:name="_Toc14265"/>
      <w:bookmarkStart w:id="166" w:name="_Toc6401"/>
      <w:bookmarkStart w:id="167" w:name="_Toc32697"/>
      <w:bookmarkStart w:id="168" w:name="_Toc23328"/>
      <w:bookmarkStart w:id="169" w:name="_Toc7597"/>
      <w:bookmarkStart w:id="170" w:name="_Hlk204423477"/>
      <w:r>
        <w:rPr>
          <w:rFonts w:hint="default" w:ascii="Times New Roman" w:hAnsi="Times New Roman" w:eastAsia="黑体" w:cs="Times New Roman"/>
          <w:b w:val="0"/>
          <w:bCs w:val="0"/>
          <w:color w:val="auto"/>
          <w:sz w:val="32"/>
          <w:szCs w:val="32"/>
          <w:highlight w:val="none"/>
          <w:lang w:val="en-US" w:eastAsia="zh-CN"/>
          <w14:ligatures w14:val="standardContextual"/>
        </w:rPr>
        <w:t>第二</w:t>
      </w:r>
      <w:r>
        <w:rPr>
          <w:rFonts w:hint="default" w:ascii="Times New Roman" w:hAnsi="Times New Roman" w:eastAsia="黑体" w:cs="Times New Roman"/>
          <w:b w:val="0"/>
          <w:bCs w:val="0"/>
          <w:color w:val="auto"/>
          <w:sz w:val="32"/>
          <w:szCs w:val="32"/>
          <w:highlight w:val="none"/>
          <w:lang w:val="en-US" w:eastAsia="zh"/>
          <w14:ligatures w14:val="standardContextual"/>
        </w:rPr>
        <w:t>篇</w:t>
      </w:r>
      <w:r>
        <w:rPr>
          <w:rFonts w:hint="default" w:ascii="Times New Roman" w:hAnsi="Times New Roman" w:eastAsia="黑体" w:cs="Times New Roman"/>
          <w:b w:val="0"/>
          <w:bCs w:val="0"/>
          <w:color w:val="auto"/>
          <w:sz w:val="32"/>
          <w:szCs w:val="32"/>
          <w:highlight w:val="none"/>
          <w:lang w:val="en-US" w:eastAsia="zh-CN"/>
          <w14:ligatures w14:val="standardContextual"/>
        </w:rPr>
        <w:t xml:space="preserve"> </w:t>
      </w:r>
      <w:bookmarkEnd w:id="156"/>
      <w:bookmarkEnd w:id="157"/>
      <w:r>
        <w:rPr>
          <w:rFonts w:hint="default" w:ascii="Times New Roman" w:hAnsi="Times New Roman" w:eastAsia="黑体" w:cs="Times New Roman"/>
          <w:b w:val="0"/>
          <w:bCs w:val="0"/>
          <w:color w:val="auto"/>
          <w:sz w:val="32"/>
          <w:szCs w:val="32"/>
          <w:highlight w:val="none"/>
          <w:lang w:val="en-US" w:eastAsia="zh-CN"/>
          <w14:ligatures w14:val="standardContextual"/>
        </w:rPr>
        <w:t>“十五五”时期高质量振兴发展的总体要求</w:t>
      </w:r>
      <w:bookmarkEnd w:id="158"/>
      <w:bookmarkEnd w:id="159"/>
      <w:bookmarkEnd w:id="160"/>
      <w:bookmarkEnd w:id="161"/>
      <w:bookmarkEnd w:id="162"/>
      <w:bookmarkEnd w:id="163"/>
      <w:bookmarkEnd w:id="164"/>
      <w:bookmarkEnd w:id="165"/>
      <w:bookmarkEnd w:id="166"/>
      <w:bookmarkEnd w:id="167"/>
      <w:bookmarkEnd w:id="168"/>
      <w:bookmarkEnd w:id="169"/>
    </w:p>
    <w:p w14:paraId="5F46CBB1">
      <w:pPr>
        <w:pStyle w:val="3"/>
        <w:pageBreakBefore w:val="0"/>
        <w:kinsoku/>
        <w:wordWrap/>
        <w:overflowPunct/>
        <w:topLinePunct w:val="0"/>
        <w:autoSpaceDE/>
        <w:autoSpaceDN/>
        <w:bidi w:val="0"/>
        <w:adjustRightInd/>
        <w:spacing w:before="0" w:after="0" w:line="560" w:lineRule="exact"/>
        <w:ind w:firstLine="0" w:firstLineChars="0"/>
        <w:jc w:val="center"/>
        <w:textAlignment w:val="auto"/>
        <w:rPr>
          <w:rFonts w:hint="default" w:ascii="Times New Roman" w:hAnsi="Times New Roman" w:eastAsia="楷体" w:cs="Times New Roman"/>
          <w:b w:val="0"/>
          <w:bCs w:val="0"/>
          <w:color w:val="auto"/>
          <w:sz w:val="32"/>
          <w:szCs w:val="32"/>
          <w:highlight w:val="none"/>
        </w:rPr>
      </w:pPr>
      <w:bookmarkStart w:id="171" w:name="_Toc21698"/>
      <w:bookmarkStart w:id="172" w:name="_Toc13646"/>
      <w:bookmarkStart w:id="173" w:name="_Toc30531"/>
      <w:bookmarkStart w:id="174" w:name="_Toc10079"/>
      <w:bookmarkStart w:id="175" w:name="_Toc908"/>
      <w:bookmarkStart w:id="176" w:name="_Toc4869"/>
      <w:bookmarkStart w:id="177" w:name="_Toc1202333216"/>
      <w:bookmarkStart w:id="178" w:name="_Toc199945704"/>
      <w:bookmarkStart w:id="179" w:name="_Toc14417"/>
      <w:bookmarkStart w:id="180" w:name="_Toc192615992"/>
      <w:bookmarkStart w:id="181" w:name="_Toc31090"/>
      <w:bookmarkStart w:id="182" w:name="_Toc12862"/>
      <w:bookmarkStart w:id="183" w:name="_Toc19810"/>
      <w:bookmarkStart w:id="184" w:name="_Toc27317"/>
      <w:bookmarkStart w:id="185" w:name="_Toc7986"/>
      <w:r>
        <w:rPr>
          <w:rFonts w:hint="default" w:ascii="Times New Roman" w:hAnsi="Times New Roman" w:eastAsia="楷体" w:cs="Times New Roman"/>
          <w:b w:val="0"/>
          <w:bCs w:val="0"/>
          <w:color w:val="auto"/>
          <w:sz w:val="32"/>
          <w:szCs w:val="32"/>
          <w:highlight w:val="none"/>
        </w:rPr>
        <w:t>第一</w:t>
      </w:r>
      <w:r>
        <w:rPr>
          <w:rFonts w:hint="default" w:ascii="Times New Roman" w:hAnsi="Times New Roman" w:eastAsia="楷体" w:cs="Times New Roman"/>
          <w:b w:val="0"/>
          <w:bCs w:val="0"/>
          <w:color w:val="auto"/>
          <w:sz w:val="32"/>
          <w:szCs w:val="32"/>
          <w:highlight w:val="none"/>
          <w:lang w:eastAsia="zh"/>
          <w:woUserID w:val="0"/>
        </w:rPr>
        <w:t>章</w:t>
      </w:r>
      <w:r>
        <w:rPr>
          <w:rFonts w:hint="default" w:ascii="Times New Roman" w:hAnsi="Times New Roman" w:eastAsia="楷体" w:cs="Times New Roman"/>
          <w:b w:val="0"/>
          <w:bCs w:val="0"/>
          <w:color w:val="auto"/>
          <w:sz w:val="32"/>
          <w:szCs w:val="32"/>
          <w:highlight w:val="none"/>
        </w:rPr>
        <w:t xml:space="preserve"> “十五五”时期经济社会发展的指导思想</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4DE8CF1C">
      <w:pPr>
        <w:pageBreakBefore w:val="0"/>
        <w:widowControl/>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坚持马克思列宁主义、毛泽东思想、邓小平理论、“三个代表”重要思想、科学发展观，全面贯彻习近平新时代中国特色社会主义思想，深入贯彻党的二十大和二十届历次全会精神，围绕全面建成社会主义现代化强国、实现第二个百年奋斗目标，以中国式现代化全面推进中华民族伟大复兴，统筹推进“五位一体”总体布局，协调推进“四个全面”战略布局，完整准确全面贯彻新发展理念，服务和融入新发展格局，坚持稳中求进工作总基调，全面落实党中央关于推动东北全面振兴的决策部署，牢牢把握桦川在全省、全市发展大局中的战略定位，坚决扛起维护国家“五大安全”、建好建强“三基地一屏障一高地”、实现全面振兴全方位振兴重大使命任务，主动融入“六个龙江”“八个振兴”战略布局，落实市委“3510”总体工作布局，坚持以“一城五业”</w:t>
      </w:r>
      <w:r>
        <w:rPr>
          <w:rFonts w:hint="default" w:ascii="Times New Roman" w:hAnsi="Times New Roman" w:eastAsia="仿宋_GB2312" w:cs="Times New Roman"/>
          <w:b w:val="0"/>
          <w:bCs w:val="0"/>
          <w:color w:val="auto"/>
          <w:sz w:val="32"/>
          <w:szCs w:val="32"/>
          <w:highlight w:val="none"/>
          <w:lang w:eastAsia="zh"/>
        </w:rPr>
        <w:t>为引领</w:t>
      </w:r>
      <w:r>
        <w:rPr>
          <w:rFonts w:hint="default" w:ascii="Times New Roman" w:hAnsi="Times New Roman" w:eastAsia="仿宋_GB2312" w:cs="Times New Roman"/>
          <w:b w:val="0"/>
          <w:bCs w:val="0"/>
          <w:color w:val="auto"/>
          <w:sz w:val="32"/>
          <w:szCs w:val="32"/>
          <w:highlight w:val="none"/>
        </w:rPr>
        <w:t>，</w:t>
      </w:r>
      <w:r>
        <w:rPr>
          <w:rFonts w:hint="default" w:ascii="Times New Roman" w:hAnsi="Times New Roman" w:eastAsia="仿宋_GB2312" w:cs="Times New Roman"/>
          <w:b w:val="0"/>
          <w:bCs w:val="0"/>
          <w:color w:val="auto"/>
          <w:sz w:val="32"/>
          <w:szCs w:val="32"/>
          <w:highlight w:val="none"/>
          <w:lang w:eastAsia="zh"/>
        </w:rPr>
        <w:t>以</w:t>
      </w:r>
      <w:r>
        <w:rPr>
          <w:rFonts w:hint="default" w:ascii="Times New Roman" w:hAnsi="Times New Roman" w:eastAsia="仿宋_GB2312" w:cs="Times New Roman"/>
          <w:b w:val="0"/>
          <w:bCs w:val="0"/>
          <w:color w:val="auto"/>
          <w:sz w:val="32"/>
          <w:szCs w:val="32"/>
          <w:highlight w:val="none"/>
        </w:rPr>
        <w:t>经济建设为中心，以推动高质量发展为主题，以改革创新为根本动力，以满足人民日益增长的美好生活需要为根本目的，以全面从严治党为根本保障，着力建设现代化产业体系，推动经济实现质的有效提升和量的合理增长，推动人的全面发展、全体人民共同富裕迈出坚实步伐，与全国同步基本实现社会主义现代化取得决定性进展。</w:t>
      </w:r>
    </w:p>
    <w:p w14:paraId="5186CC63">
      <w:pPr>
        <w:pStyle w:val="3"/>
        <w:pageBreakBefore w:val="0"/>
        <w:kinsoku/>
        <w:wordWrap/>
        <w:overflowPunct/>
        <w:topLinePunct w:val="0"/>
        <w:autoSpaceDE/>
        <w:autoSpaceDN/>
        <w:bidi w:val="0"/>
        <w:adjustRightInd/>
        <w:spacing w:before="0" w:after="0" w:line="560" w:lineRule="exact"/>
        <w:ind w:firstLine="0" w:firstLineChars="0"/>
        <w:jc w:val="center"/>
        <w:textAlignment w:val="auto"/>
        <w:rPr>
          <w:rFonts w:hint="default" w:ascii="Times New Roman" w:hAnsi="Times New Roman" w:eastAsia="楷体" w:cs="Times New Roman"/>
          <w:b w:val="0"/>
          <w:bCs w:val="0"/>
          <w:color w:val="auto"/>
          <w:sz w:val="32"/>
          <w:szCs w:val="32"/>
          <w:highlight w:val="none"/>
        </w:rPr>
      </w:pPr>
      <w:bookmarkStart w:id="186" w:name="_Toc29484"/>
      <w:bookmarkStart w:id="187" w:name="_Toc23562"/>
      <w:bookmarkStart w:id="188" w:name="_Toc5895"/>
      <w:bookmarkStart w:id="189" w:name="_Toc1135194103"/>
      <w:bookmarkStart w:id="190" w:name="_Toc18068"/>
      <w:bookmarkStart w:id="191" w:name="_Toc21391"/>
      <w:bookmarkStart w:id="192" w:name="_Toc1514421301"/>
      <w:bookmarkStart w:id="193" w:name="_Toc16023"/>
      <w:bookmarkStart w:id="194" w:name="_Toc3683"/>
      <w:bookmarkStart w:id="195" w:name="_Toc30272"/>
      <w:bookmarkStart w:id="196" w:name="_Toc31364"/>
      <w:bookmarkStart w:id="197" w:name="_Toc199945705"/>
      <w:bookmarkStart w:id="198" w:name="_Toc384"/>
      <w:bookmarkStart w:id="199" w:name="_Toc30985"/>
      <w:bookmarkStart w:id="200" w:name="_Toc28501"/>
      <w:r>
        <w:rPr>
          <w:rFonts w:hint="default" w:ascii="Times New Roman" w:hAnsi="Times New Roman" w:eastAsia="楷体" w:cs="Times New Roman"/>
          <w:b w:val="0"/>
          <w:bCs w:val="0"/>
          <w:color w:val="auto"/>
          <w:sz w:val="32"/>
          <w:szCs w:val="32"/>
          <w:highlight w:val="none"/>
        </w:rPr>
        <w:t>第二</w:t>
      </w:r>
      <w:r>
        <w:rPr>
          <w:rFonts w:hint="default" w:ascii="Times New Roman" w:hAnsi="Times New Roman" w:eastAsia="楷体" w:cs="Times New Roman"/>
          <w:b w:val="0"/>
          <w:bCs w:val="0"/>
          <w:color w:val="auto"/>
          <w:sz w:val="32"/>
          <w:szCs w:val="32"/>
          <w:highlight w:val="none"/>
          <w:lang w:eastAsia="zh"/>
        </w:rPr>
        <w:t>章</w:t>
      </w:r>
      <w:r>
        <w:rPr>
          <w:rFonts w:hint="default" w:ascii="Times New Roman" w:hAnsi="Times New Roman" w:eastAsia="楷体" w:cs="Times New Roman"/>
          <w:b w:val="0"/>
          <w:bCs w:val="0"/>
          <w:color w:val="auto"/>
          <w:sz w:val="32"/>
          <w:szCs w:val="32"/>
          <w:highlight w:val="none"/>
        </w:rPr>
        <w:t xml:space="preserve"> “十五五”时期经济社会发展</w:t>
      </w:r>
      <w:r>
        <w:rPr>
          <w:rFonts w:hint="default" w:ascii="Times New Roman" w:hAnsi="Times New Roman" w:eastAsia="楷体" w:cs="Times New Roman"/>
          <w:b w:val="0"/>
          <w:bCs w:val="0"/>
          <w:color w:val="auto"/>
          <w:sz w:val="32"/>
          <w:szCs w:val="32"/>
          <w:highlight w:val="none"/>
          <w:lang w:eastAsia="zh"/>
        </w:rPr>
        <w:t>必须遵循的</w:t>
      </w:r>
      <w:r>
        <w:rPr>
          <w:rFonts w:hint="default" w:ascii="Times New Roman" w:hAnsi="Times New Roman" w:eastAsia="楷体" w:cs="Times New Roman"/>
          <w:b w:val="0"/>
          <w:bCs w:val="0"/>
          <w:color w:val="auto"/>
          <w:sz w:val="32"/>
          <w:szCs w:val="32"/>
          <w:highlight w:val="none"/>
        </w:rPr>
        <w:t>原则</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14:paraId="78C076BD">
      <w:pPr>
        <w:pageBreakBefore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01" w:name="_Toc20304"/>
      <w:bookmarkStart w:id="202" w:name="_Toc8599"/>
      <w:bookmarkStart w:id="203" w:name="_Toc2072620237"/>
      <w:bookmarkStart w:id="204" w:name="_Toc18304"/>
      <w:bookmarkStart w:id="205" w:name="_Toc835341759"/>
      <w:bookmarkStart w:id="206" w:name="_Toc28711"/>
      <w:bookmarkStart w:id="207" w:name="_Toc17399"/>
      <w:bookmarkStart w:id="208" w:name="_Toc25554"/>
      <w:bookmarkStart w:id="209" w:name="_Toc128"/>
      <w:bookmarkStart w:id="210" w:name="_Toc19141"/>
      <w:bookmarkStart w:id="211" w:name="_Toc4043"/>
      <w:r>
        <w:rPr>
          <w:rFonts w:hint="default" w:ascii="Times New Roman" w:hAnsi="Times New Roman" w:eastAsia="仿宋_GB2312" w:cs="Times New Roman"/>
          <w:b w:val="0"/>
          <w:bCs w:val="0"/>
          <w:color w:val="auto"/>
          <w:sz w:val="32"/>
          <w:szCs w:val="32"/>
          <w:highlight w:val="none"/>
          <w:u w:val="none"/>
          <w:lang w:val="en-US" w:eastAsia="zh-CN" w:bidi="ar"/>
          <w:woUserID w:val="0"/>
        </w:rPr>
        <w:t xml:space="preserve">第一节 </w:t>
      </w:r>
      <w:r>
        <w:rPr>
          <w:rFonts w:hint="default" w:ascii="Times New Roman" w:hAnsi="Times New Roman" w:eastAsia="仿宋_GB2312" w:cs="Times New Roman"/>
          <w:b w:val="0"/>
          <w:bCs w:val="0"/>
          <w:color w:val="auto"/>
          <w:sz w:val="32"/>
          <w:szCs w:val="32"/>
          <w:highlight w:val="none"/>
          <w:u w:val="none"/>
          <w:lang w:eastAsia="zh" w:bidi="ar"/>
          <w:woUserID w:val="0"/>
        </w:rPr>
        <w:t>坚持党的全面领导</w:t>
      </w:r>
      <w:bookmarkEnd w:id="201"/>
      <w:bookmarkEnd w:id="202"/>
      <w:bookmarkEnd w:id="203"/>
      <w:bookmarkEnd w:id="204"/>
      <w:bookmarkEnd w:id="205"/>
      <w:bookmarkEnd w:id="206"/>
      <w:bookmarkEnd w:id="207"/>
      <w:bookmarkEnd w:id="208"/>
      <w:bookmarkEnd w:id="209"/>
      <w:bookmarkEnd w:id="210"/>
      <w:bookmarkEnd w:id="211"/>
    </w:p>
    <w:p w14:paraId="2C3BF83C">
      <w:pPr>
        <w:pageBreakBefore w:val="0"/>
        <w:widowControl/>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坚决维护以习近平同志为核心的党中央权威和集中统一领导，全面贯彻习近平总书记重要讲话重要指示精神和党中央决策部署，提高各级党委（党组）把方向、谋大局、定政策、促改革能力，把党的全面领导贯穿到经济社会发展各方面全过程，为推进中国式现代化桦川实践提供根本保证。</w:t>
      </w:r>
    </w:p>
    <w:p w14:paraId="597B057B">
      <w:pPr>
        <w:pageBreakBefore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12" w:name="_Toc26159"/>
      <w:bookmarkStart w:id="213" w:name="_Toc9769"/>
      <w:bookmarkStart w:id="214" w:name="_Toc17321"/>
      <w:bookmarkStart w:id="215" w:name="_Toc21008"/>
      <w:bookmarkStart w:id="216" w:name="_Toc5273"/>
      <w:bookmarkStart w:id="217" w:name="_Toc20652"/>
      <w:bookmarkStart w:id="218" w:name="_Toc24330"/>
      <w:bookmarkStart w:id="219" w:name="_Toc1676047435"/>
      <w:bookmarkStart w:id="220" w:name="_Toc7603"/>
      <w:bookmarkStart w:id="221" w:name="_Toc156228638"/>
      <w:bookmarkStart w:id="222" w:name="_Toc16297"/>
      <w:r>
        <w:rPr>
          <w:rFonts w:hint="default" w:ascii="Times New Roman" w:hAnsi="Times New Roman" w:eastAsia="仿宋_GB2312" w:cs="Times New Roman"/>
          <w:b w:val="0"/>
          <w:bCs w:val="0"/>
          <w:color w:val="auto"/>
          <w:sz w:val="32"/>
          <w:szCs w:val="32"/>
          <w:highlight w:val="none"/>
          <w:u w:val="none"/>
          <w:lang w:val="en-US" w:eastAsia="zh-CN" w:bidi="ar"/>
          <w:woUserID w:val="0"/>
        </w:rPr>
        <w:t>第</w:t>
      </w:r>
      <w:r>
        <w:rPr>
          <w:rFonts w:hint="default" w:ascii="Times New Roman" w:hAnsi="Times New Roman" w:eastAsia="仿宋_GB2312" w:cs="Times New Roman"/>
          <w:b w:val="0"/>
          <w:bCs w:val="0"/>
          <w:color w:val="auto"/>
          <w:sz w:val="32"/>
          <w:szCs w:val="32"/>
          <w:highlight w:val="none"/>
          <w:u w:val="none"/>
          <w:lang w:val="en-US" w:eastAsia="zh" w:bidi="ar"/>
          <w:woUserID w:val="0"/>
        </w:rPr>
        <w:t>二</w:t>
      </w:r>
      <w:r>
        <w:rPr>
          <w:rFonts w:hint="default" w:ascii="Times New Roman" w:hAnsi="Times New Roman" w:eastAsia="仿宋_GB2312" w:cs="Times New Roman"/>
          <w:b w:val="0"/>
          <w:bCs w:val="0"/>
          <w:color w:val="auto"/>
          <w:sz w:val="32"/>
          <w:szCs w:val="32"/>
          <w:highlight w:val="none"/>
          <w:u w:val="none"/>
          <w:lang w:val="en-US" w:eastAsia="zh-CN" w:bidi="ar"/>
          <w:woUserID w:val="0"/>
        </w:rPr>
        <w:t xml:space="preserve">节 </w:t>
      </w:r>
      <w:r>
        <w:rPr>
          <w:rFonts w:hint="default" w:ascii="Times New Roman" w:hAnsi="Times New Roman" w:eastAsia="仿宋_GB2312" w:cs="Times New Roman"/>
          <w:b w:val="0"/>
          <w:bCs w:val="0"/>
          <w:color w:val="auto"/>
          <w:sz w:val="32"/>
          <w:szCs w:val="32"/>
          <w:highlight w:val="none"/>
          <w:u w:val="none"/>
          <w:lang w:eastAsia="zh" w:bidi="ar"/>
          <w:woUserID w:val="0"/>
        </w:rPr>
        <w:t>坚持人民至上</w:t>
      </w:r>
      <w:bookmarkEnd w:id="212"/>
      <w:bookmarkEnd w:id="213"/>
      <w:bookmarkEnd w:id="214"/>
      <w:bookmarkEnd w:id="215"/>
      <w:bookmarkEnd w:id="216"/>
      <w:bookmarkEnd w:id="217"/>
      <w:bookmarkEnd w:id="218"/>
      <w:bookmarkEnd w:id="219"/>
      <w:bookmarkEnd w:id="220"/>
      <w:bookmarkEnd w:id="221"/>
      <w:bookmarkEnd w:id="222"/>
    </w:p>
    <w:p w14:paraId="737AAD38">
      <w:pPr>
        <w:pageBreakBefore w:val="0"/>
        <w:widowControl/>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始终把人民对美好生活的向往作为奋斗目标，把保障和改善民生作为振兴发展的出发点和落脚点，尊重人民主体地位，维护人民根本利益，促进社会公平正义，推动经济和社会发</w:t>
      </w:r>
      <w:r>
        <w:rPr>
          <w:rFonts w:hint="default" w:ascii="Times New Roman" w:hAnsi="Times New Roman" w:eastAsia="仿宋_GB2312" w:cs="Times New Roman"/>
          <w:b w:val="0"/>
          <w:bCs w:val="0"/>
          <w:color w:val="auto"/>
          <w:sz w:val="32"/>
          <w:szCs w:val="32"/>
          <w:highlight w:val="none"/>
          <w:lang w:eastAsia="zh"/>
        </w:rPr>
        <w:t>展</w:t>
      </w:r>
      <w:r>
        <w:rPr>
          <w:rFonts w:hint="default" w:ascii="Times New Roman" w:hAnsi="Times New Roman" w:eastAsia="仿宋_GB2312" w:cs="Times New Roman"/>
          <w:b w:val="0"/>
          <w:bCs w:val="0"/>
          <w:color w:val="auto"/>
          <w:sz w:val="32"/>
          <w:szCs w:val="32"/>
          <w:highlight w:val="none"/>
        </w:rPr>
        <w:t>、物质文明和精神文明相得益彰，让现代化建设成果更多更公平惠及桦川人民。</w:t>
      </w:r>
    </w:p>
    <w:p w14:paraId="744BA5A8">
      <w:pPr>
        <w:pageBreakBefore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23" w:name="_Toc8751"/>
      <w:bookmarkStart w:id="224" w:name="_Toc25110"/>
      <w:bookmarkStart w:id="225" w:name="_Toc4680"/>
      <w:bookmarkStart w:id="226" w:name="_Toc26730"/>
      <w:bookmarkStart w:id="227" w:name="_Toc23357"/>
      <w:bookmarkStart w:id="228" w:name="_Toc14302"/>
      <w:bookmarkStart w:id="229" w:name="_Toc1190371268"/>
      <w:bookmarkStart w:id="230" w:name="_Toc2595"/>
      <w:bookmarkStart w:id="231" w:name="_Toc3204"/>
      <w:bookmarkStart w:id="232" w:name="_Toc1600"/>
      <w:bookmarkStart w:id="233" w:name="_Toc1542459393"/>
      <w:r>
        <w:rPr>
          <w:rFonts w:hint="default" w:ascii="Times New Roman" w:hAnsi="Times New Roman" w:eastAsia="仿宋_GB2312" w:cs="Times New Roman"/>
          <w:b w:val="0"/>
          <w:bCs w:val="0"/>
          <w:color w:val="auto"/>
          <w:sz w:val="32"/>
          <w:szCs w:val="32"/>
          <w:highlight w:val="none"/>
          <w:u w:val="none"/>
          <w:lang w:val="en-US" w:eastAsia="zh-CN" w:bidi="ar"/>
          <w:woUserID w:val="0"/>
        </w:rPr>
        <w:t>第</w:t>
      </w:r>
      <w:r>
        <w:rPr>
          <w:rFonts w:hint="default" w:ascii="Times New Roman" w:hAnsi="Times New Roman" w:eastAsia="仿宋_GB2312" w:cs="Times New Roman"/>
          <w:b w:val="0"/>
          <w:bCs w:val="0"/>
          <w:color w:val="auto"/>
          <w:sz w:val="32"/>
          <w:szCs w:val="32"/>
          <w:highlight w:val="none"/>
          <w:u w:val="none"/>
          <w:lang w:val="en-US" w:eastAsia="zh" w:bidi="ar"/>
          <w:woUserID w:val="0"/>
        </w:rPr>
        <w:t>三</w:t>
      </w:r>
      <w:r>
        <w:rPr>
          <w:rFonts w:hint="default" w:ascii="Times New Roman" w:hAnsi="Times New Roman" w:eastAsia="仿宋_GB2312" w:cs="Times New Roman"/>
          <w:b w:val="0"/>
          <w:bCs w:val="0"/>
          <w:color w:val="auto"/>
          <w:sz w:val="32"/>
          <w:szCs w:val="32"/>
          <w:highlight w:val="none"/>
          <w:u w:val="none"/>
          <w:lang w:val="en-US" w:eastAsia="zh-CN" w:bidi="ar"/>
          <w:woUserID w:val="0"/>
        </w:rPr>
        <w:t xml:space="preserve">节 </w:t>
      </w:r>
      <w:r>
        <w:rPr>
          <w:rFonts w:hint="default" w:ascii="Times New Roman" w:hAnsi="Times New Roman" w:eastAsia="仿宋_GB2312" w:cs="Times New Roman"/>
          <w:b w:val="0"/>
          <w:bCs w:val="0"/>
          <w:color w:val="auto"/>
          <w:sz w:val="32"/>
          <w:szCs w:val="32"/>
          <w:highlight w:val="none"/>
          <w:u w:val="none"/>
          <w:lang w:eastAsia="zh" w:bidi="ar"/>
          <w:woUserID w:val="0"/>
        </w:rPr>
        <w:t>坚持高质量发展</w:t>
      </w:r>
      <w:bookmarkEnd w:id="223"/>
      <w:bookmarkEnd w:id="224"/>
      <w:bookmarkEnd w:id="225"/>
      <w:bookmarkEnd w:id="226"/>
      <w:bookmarkEnd w:id="227"/>
      <w:bookmarkEnd w:id="228"/>
      <w:bookmarkEnd w:id="229"/>
      <w:bookmarkEnd w:id="230"/>
      <w:bookmarkEnd w:id="231"/>
      <w:bookmarkEnd w:id="232"/>
      <w:bookmarkEnd w:id="233"/>
    </w:p>
    <w:p w14:paraId="5D98596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以新发展理念引领振兴发展，因地制宜发展新质生产力，统筹扩大内需和深化供给侧结构性改革，加快转方式、调结构、提质量、增效益，促进经济结构优化升级，培育新动能</w:t>
      </w:r>
      <w:r>
        <w:rPr>
          <w:rFonts w:hint="default" w:ascii="Times New Roman" w:hAnsi="Times New Roman" w:eastAsia="仿宋_GB2312" w:cs="Times New Roman"/>
          <w:b w:val="0"/>
          <w:bCs w:val="0"/>
          <w:color w:val="auto"/>
          <w:sz w:val="32"/>
          <w:szCs w:val="32"/>
          <w:highlight w:val="none"/>
          <w:lang w:eastAsia="zh"/>
        </w:rPr>
        <w:t>、</w:t>
      </w:r>
      <w:r>
        <w:rPr>
          <w:rFonts w:hint="default" w:ascii="Times New Roman" w:hAnsi="Times New Roman" w:eastAsia="仿宋_GB2312" w:cs="Times New Roman"/>
          <w:b w:val="0"/>
          <w:bCs w:val="0"/>
          <w:color w:val="auto"/>
          <w:sz w:val="32"/>
          <w:szCs w:val="32"/>
          <w:highlight w:val="none"/>
        </w:rPr>
        <w:t>塑造新优势，推动经济持续健康发展和社会全面进步。</w:t>
      </w:r>
    </w:p>
    <w:p w14:paraId="25BE56C1">
      <w:pPr>
        <w:pageBreakBefore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34" w:name="_Toc24383"/>
      <w:bookmarkStart w:id="235" w:name="_Toc2376"/>
      <w:bookmarkStart w:id="236" w:name="_Toc3284"/>
      <w:bookmarkStart w:id="237" w:name="_Toc9798"/>
      <w:bookmarkStart w:id="238" w:name="_Toc30077"/>
      <w:bookmarkStart w:id="239" w:name="_Toc252672056"/>
      <w:bookmarkStart w:id="240" w:name="_Toc15886"/>
      <w:bookmarkStart w:id="241" w:name="_Toc7619"/>
      <w:bookmarkStart w:id="242" w:name="_Toc6855"/>
      <w:bookmarkStart w:id="243" w:name="_Toc7266"/>
      <w:bookmarkStart w:id="244" w:name="_Toc1664055306"/>
      <w:r>
        <w:rPr>
          <w:rFonts w:hint="default" w:ascii="Times New Roman" w:hAnsi="Times New Roman" w:eastAsia="仿宋_GB2312" w:cs="Times New Roman"/>
          <w:b w:val="0"/>
          <w:bCs w:val="0"/>
          <w:color w:val="auto"/>
          <w:sz w:val="32"/>
          <w:szCs w:val="32"/>
          <w:highlight w:val="none"/>
          <w:u w:val="none"/>
          <w:lang w:val="en-US" w:eastAsia="zh-CN" w:bidi="ar"/>
          <w:woUserID w:val="0"/>
        </w:rPr>
        <w:t>第</w:t>
      </w:r>
      <w:r>
        <w:rPr>
          <w:rFonts w:hint="default" w:ascii="Times New Roman" w:hAnsi="Times New Roman" w:eastAsia="仿宋_GB2312" w:cs="Times New Roman"/>
          <w:b w:val="0"/>
          <w:bCs w:val="0"/>
          <w:color w:val="auto"/>
          <w:sz w:val="32"/>
          <w:szCs w:val="32"/>
          <w:highlight w:val="none"/>
          <w:u w:val="none"/>
          <w:lang w:val="en-US" w:eastAsia="zh" w:bidi="ar"/>
          <w:woUserID w:val="0"/>
        </w:rPr>
        <w:t>四</w:t>
      </w:r>
      <w:r>
        <w:rPr>
          <w:rFonts w:hint="default" w:ascii="Times New Roman" w:hAnsi="Times New Roman" w:eastAsia="仿宋_GB2312" w:cs="Times New Roman"/>
          <w:b w:val="0"/>
          <w:bCs w:val="0"/>
          <w:color w:val="auto"/>
          <w:sz w:val="32"/>
          <w:szCs w:val="32"/>
          <w:highlight w:val="none"/>
          <w:u w:val="none"/>
          <w:lang w:val="en-US" w:eastAsia="zh-CN" w:bidi="ar"/>
          <w:woUserID w:val="0"/>
        </w:rPr>
        <w:t xml:space="preserve">节 </w:t>
      </w:r>
      <w:r>
        <w:rPr>
          <w:rFonts w:hint="default" w:ascii="Times New Roman" w:hAnsi="Times New Roman" w:eastAsia="仿宋_GB2312" w:cs="Times New Roman"/>
          <w:b w:val="0"/>
          <w:bCs w:val="0"/>
          <w:color w:val="auto"/>
          <w:sz w:val="32"/>
          <w:szCs w:val="32"/>
          <w:highlight w:val="none"/>
          <w:u w:val="none"/>
          <w:lang w:eastAsia="zh" w:bidi="ar"/>
          <w:woUserID w:val="0"/>
        </w:rPr>
        <w:t>坚持深化改革开放</w:t>
      </w:r>
      <w:bookmarkEnd w:id="234"/>
      <w:bookmarkEnd w:id="235"/>
      <w:bookmarkEnd w:id="236"/>
      <w:bookmarkEnd w:id="237"/>
      <w:bookmarkEnd w:id="238"/>
      <w:bookmarkEnd w:id="239"/>
      <w:bookmarkEnd w:id="240"/>
      <w:bookmarkEnd w:id="241"/>
      <w:bookmarkEnd w:id="242"/>
      <w:bookmarkEnd w:id="243"/>
      <w:bookmarkEnd w:id="244"/>
    </w:p>
    <w:p w14:paraId="28FED9EC">
      <w:pPr>
        <w:pageBreakBefore w:val="0"/>
        <w:widowControl/>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进一步解放思想、更新观念，增强创新意识、前沿意识、市场意识、争先意识，推进深层次改革，扩大高水平开放，着力破除制约高质量发展的体制机制屏障，持续为经济社会发展注入新动力新活力。</w:t>
      </w:r>
    </w:p>
    <w:p w14:paraId="13E24997">
      <w:pPr>
        <w:pageBreakBefore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45" w:name="_Toc374247389"/>
      <w:bookmarkStart w:id="246" w:name="_Toc3333"/>
      <w:bookmarkStart w:id="247" w:name="_Toc18884"/>
      <w:bookmarkStart w:id="248" w:name="_Toc16593"/>
      <w:bookmarkStart w:id="249" w:name="_Toc545136554"/>
      <w:bookmarkStart w:id="250" w:name="_Toc7944"/>
      <w:bookmarkStart w:id="251" w:name="_Toc6672"/>
      <w:bookmarkStart w:id="252" w:name="_Toc12140"/>
      <w:bookmarkStart w:id="253" w:name="_Toc4926"/>
      <w:bookmarkStart w:id="254" w:name="_Toc171"/>
      <w:bookmarkStart w:id="255" w:name="_Toc26281"/>
      <w:r>
        <w:rPr>
          <w:rFonts w:hint="default" w:ascii="Times New Roman" w:hAnsi="Times New Roman" w:eastAsia="仿宋_GB2312" w:cs="Times New Roman"/>
          <w:b w:val="0"/>
          <w:bCs w:val="0"/>
          <w:color w:val="auto"/>
          <w:sz w:val="32"/>
          <w:szCs w:val="32"/>
          <w:highlight w:val="none"/>
          <w:u w:val="none"/>
          <w:lang w:val="en-US" w:eastAsia="zh-CN" w:bidi="ar"/>
          <w:woUserID w:val="0"/>
        </w:rPr>
        <w:t>第</w:t>
      </w:r>
      <w:r>
        <w:rPr>
          <w:rFonts w:hint="default" w:ascii="Times New Roman" w:hAnsi="Times New Roman" w:eastAsia="仿宋_GB2312" w:cs="Times New Roman"/>
          <w:b w:val="0"/>
          <w:bCs w:val="0"/>
          <w:color w:val="auto"/>
          <w:sz w:val="32"/>
          <w:szCs w:val="32"/>
          <w:highlight w:val="none"/>
          <w:u w:val="none"/>
          <w:lang w:val="en-US" w:eastAsia="zh" w:bidi="ar"/>
          <w:woUserID w:val="0"/>
        </w:rPr>
        <w:t>五</w:t>
      </w:r>
      <w:r>
        <w:rPr>
          <w:rFonts w:hint="default" w:ascii="Times New Roman" w:hAnsi="Times New Roman" w:eastAsia="仿宋_GB2312" w:cs="Times New Roman"/>
          <w:b w:val="0"/>
          <w:bCs w:val="0"/>
          <w:color w:val="auto"/>
          <w:sz w:val="32"/>
          <w:szCs w:val="32"/>
          <w:highlight w:val="none"/>
          <w:u w:val="none"/>
          <w:lang w:val="en-US" w:eastAsia="zh-CN" w:bidi="ar"/>
          <w:woUserID w:val="0"/>
        </w:rPr>
        <w:t xml:space="preserve">节 </w:t>
      </w:r>
      <w:r>
        <w:rPr>
          <w:rFonts w:hint="default" w:ascii="Times New Roman" w:hAnsi="Times New Roman" w:eastAsia="仿宋_GB2312" w:cs="Times New Roman"/>
          <w:b w:val="0"/>
          <w:bCs w:val="0"/>
          <w:color w:val="auto"/>
          <w:sz w:val="32"/>
          <w:szCs w:val="32"/>
          <w:highlight w:val="none"/>
          <w:u w:val="none"/>
          <w:lang w:eastAsia="zh" w:bidi="ar"/>
          <w:woUserID w:val="0"/>
        </w:rPr>
        <w:t>坚持有效市场和有为政府相结合</w:t>
      </w:r>
      <w:bookmarkEnd w:id="245"/>
      <w:bookmarkEnd w:id="246"/>
      <w:bookmarkEnd w:id="247"/>
      <w:bookmarkEnd w:id="248"/>
      <w:bookmarkEnd w:id="249"/>
      <w:bookmarkEnd w:id="250"/>
      <w:bookmarkEnd w:id="251"/>
      <w:bookmarkEnd w:id="252"/>
      <w:bookmarkEnd w:id="253"/>
      <w:bookmarkEnd w:id="254"/>
      <w:bookmarkEnd w:id="255"/>
    </w:p>
    <w:p w14:paraId="63905F4B">
      <w:pPr>
        <w:pageBreakBefore w:val="0"/>
        <w:widowControl/>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充分发挥市场在资源配置中的决定性作用，更好发挥政府作用，融入和服务构建统一、开放、竞争、有序的市场体系，加快建设法治经济、信用经济，完善法规、政策、诚信体系，打造市场化、法治化、国际化一流营商环境，形成充满活力、规范有序的经济秩序。</w:t>
      </w:r>
    </w:p>
    <w:p w14:paraId="67ED4BE0">
      <w:pPr>
        <w:pageBreakBefore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56" w:name="_Toc17038"/>
      <w:bookmarkStart w:id="257" w:name="_Toc6602"/>
      <w:bookmarkStart w:id="258" w:name="_Toc31296"/>
      <w:bookmarkStart w:id="259" w:name="_Toc318"/>
      <w:bookmarkStart w:id="260" w:name="_Toc8009"/>
      <w:bookmarkStart w:id="261" w:name="_Toc21602"/>
      <w:bookmarkStart w:id="262" w:name="_Toc151700675"/>
      <w:bookmarkStart w:id="263" w:name="_Toc20250"/>
      <w:bookmarkStart w:id="264" w:name="_Toc29982"/>
      <w:bookmarkStart w:id="265" w:name="_Toc30206"/>
      <w:bookmarkStart w:id="266" w:name="_Toc200718002"/>
      <w:r>
        <w:rPr>
          <w:rFonts w:hint="default" w:ascii="Times New Roman" w:hAnsi="Times New Roman" w:eastAsia="仿宋_GB2312" w:cs="Times New Roman"/>
          <w:b w:val="0"/>
          <w:bCs w:val="0"/>
          <w:color w:val="auto"/>
          <w:sz w:val="32"/>
          <w:szCs w:val="32"/>
          <w:highlight w:val="none"/>
          <w:u w:val="none"/>
          <w:lang w:val="en-US" w:eastAsia="zh-CN" w:bidi="ar"/>
          <w:woUserID w:val="0"/>
        </w:rPr>
        <w:t>第</w:t>
      </w:r>
      <w:r>
        <w:rPr>
          <w:rFonts w:hint="default" w:ascii="Times New Roman" w:hAnsi="Times New Roman" w:eastAsia="仿宋_GB2312" w:cs="Times New Roman"/>
          <w:b w:val="0"/>
          <w:bCs w:val="0"/>
          <w:color w:val="auto"/>
          <w:sz w:val="32"/>
          <w:szCs w:val="32"/>
          <w:highlight w:val="none"/>
          <w:u w:val="none"/>
          <w:lang w:val="en-US" w:eastAsia="zh" w:bidi="ar"/>
          <w:woUserID w:val="0"/>
        </w:rPr>
        <w:t>六</w:t>
      </w:r>
      <w:r>
        <w:rPr>
          <w:rFonts w:hint="default" w:ascii="Times New Roman" w:hAnsi="Times New Roman" w:eastAsia="仿宋_GB2312" w:cs="Times New Roman"/>
          <w:b w:val="0"/>
          <w:bCs w:val="0"/>
          <w:color w:val="auto"/>
          <w:sz w:val="32"/>
          <w:szCs w:val="32"/>
          <w:highlight w:val="none"/>
          <w:u w:val="none"/>
          <w:lang w:val="en-US" w:eastAsia="zh-CN" w:bidi="ar"/>
          <w:woUserID w:val="0"/>
        </w:rPr>
        <w:t xml:space="preserve">节 </w:t>
      </w:r>
      <w:r>
        <w:rPr>
          <w:rFonts w:hint="default" w:ascii="Times New Roman" w:hAnsi="Times New Roman" w:eastAsia="仿宋_GB2312" w:cs="Times New Roman"/>
          <w:b w:val="0"/>
          <w:bCs w:val="0"/>
          <w:color w:val="auto"/>
          <w:sz w:val="32"/>
          <w:szCs w:val="32"/>
          <w:highlight w:val="none"/>
          <w:u w:val="none"/>
          <w:lang w:eastAsia="zh" w:bidi="ar"/>
          <w:woUserID w:val="0"/>
        </w:rPr>
        <w:t>坚持统筹发展和安全</w:t>
      </w:r>
      <w:bookmarkEnd w:id="256"/>
      <w:bookmarkEnd w:id="257"/>
      <w:bookmarkEnd w:id="258"/>
      <w:bookmarkEnd w:id="259"/>
      <w:bookmarkEnd w:id="260"/>
      <w:bookmarkEnd w:id="261"/>
      <w:bookmarkEnd w:id="262"/>
      <w:bookmarkEnd w:id="263"/>
      <w:bookmarkEnd w:id="264"/>
      <w:bookmarkEnd w:id="265"/>
      <w:bookmarkEnd w:id="266"/>
    </w:p>
    <w:p w14:paraId="01590734">
      <w:pPr>
        <w:pageBreakBefore w:val="0"/>
        <w:widowControl/>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贯彻落实总体国家安全观，在发展中固安全，在安全中谋发展，把安全发展贯穿经济社会发展各领域和全过程，强化底线思维，有效防范化解各类风险，提高本质安全水平，增强维护国家“五大安全”能力，增强经济和社会韧性，以新安全格局保障新发展格局。</w:t>
      </w:r>
    </w:p>
    <w:p w14:paraId="07FE1A6D">
      <w:pPr>
        <w:pageBreakBefore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67" w:name="_Toc20182"/>
      <w:bookmarkStart w:id="268" w:name="_Toc10439"/>
      <w:bookmarkStart w:id="269" w:name="_Toc29805"/>
      <w:bookmarkStart w:id="270" w:name="_Toc19194"/>
      <w:bookmarkStart w:id="271" w:name="_Toc12326"/>
      <w:bookmarkStart w:id="272" w:name="_Toc11582"/>
      <w:bookmarkStart w:id="273" w:name="_Toc24183"/>
      <w:bookmarkStart w:id="274" w:name="_Toc28923"/>
      <w:bookmarkStart w:id="275" w:name="_Toc580"/>
      <w:r>
        <w:rPr>
          <w:rFonts w:hint="default" w:ascii="Times New Roman" w:hAnsi="Times New Roman" w:eastAsia="仿宋_GB2312" w:cs="Times New Roman"/>
          <w:b w:val="0"/>
          <w:bCs w:val="0"/>
          <w:color w:val="auto"/>
          <w:sz w:val="32"/>
          <w:szCs w:val="32"/>
          <w:highlight w:val="none"/>
          <w:u w:val="none"/>
          <w:lang w:val="en-US" w:eastAsia="zh-CN" w:bidi="ar"/>
          <w:woUserID w:val="0"/>
        </w:rPr>
        <w:t>第</w:t>
      </w:r>
      <w:r>
        <w:rPr>
          <w:rFonts w:hint="default" w:ascii="Times New Roman" w:hAnsi="Times New Roman" w:eastAsia="仿宋_GB2312" w:cs="Times New Roman"/>
          <w:b w:val="0"/>
          <w:bCs w:val="0"/>
          <w:color w:val="auto"/>
          <w:sz w:val="32"/>
          <w:szCs w:val="32"/>
          <w:highlight w:val="none"/>
          <w:u w:val="none"/>
          <w:lang w:val="en-US" w:eastAsia="zh" w:bidi="ar"/>
          <w:woUserID w:val="0"/>
        </w:rPr>
        <w:t>七</w:t>
      </w:r>
      <w:r>
        <w:rPr>
          <w:rFonts w:hint="default" w:ascii="Times New Roman" w:hAnsi="Times New Roman" w:eastAsia="仿宋_GB2312" w:cs="Times New Roman"/>
          <w:b w:val="0"/>
          <w:bCs w:val="0"/>
          <w:color w:val="auto"/>
          <w:sz w:val="32"/>
          <w:szCs w:val="32"/>
          <w:highlight w:val="none"/>
          <w:u w:val="none"/>
          <w:lang w:val="en-US" w:eastAsia="zh-CN" w:bidi="ar"/>
          <w:woUserID w:val="0"/>
        </w:rPr>
        <w:t xml:space="preserve">节 </w:t>
      </w:r>
      <w:r>
        <w:rPr>
          <w:rFonts w:hint="default" w:ascii="Times New Roman" w:hAnsi="Times New Roman" w:eastAsia="仿宋_GB2312" w:cs="Times New Roman"/>
          <w:b w:val="0"/>
          <w:bCs w:val="0"/>
          <w:color w:val="auto"/>
          <w:sz w:val="32"/>
          <w:szCs w:val="32"/>
          <w:highlight w:val="none"/>
          <w:u w:val="none"/>
          <w:lang w:eastAsia="zh" w:bidi="ar"/>
          <w:woUserID w:val="0"/>
        </w:rPr>
        <w:t>坚持创先争优</w:t>
      </w:r>
      <w:bookmarkEnd w:id="267"/>
      <w:bookmarkEnd w:id="268"/>
      <w:bookmarkEnd w:id="269"/>
      <w:bookmarkEnd w:id="270"/>
      <w:bookmarkEnd w:id="271"/>
      <w:bookmarkEnd w:id="272"/>
      <w:bookmarkEnd w:id="273"/>
      <w:bookmarkEnd w:id="274"/>
      <w:bookmarkEnd w:id="275"/>
    </w:p>
    <w:p w14:paraId="6AA31C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rPr>
        <w:t>加强全局性谋划、整体性推进、创造性落实，昂扬敢闯敢试、敢为人先的精气神，巩固提升稳中有进、进中向好的发展态势，推动在优势领域和关键环节取得重大突破，全省当排头、全国争上游，以奋进者的姿态打开高质量振兴发展新天地。</w:t>
      </w:r>
    </w:p>
    <w:p w14:paraId="3BFF7ABF">
      <w:pPr>
        <w:pageBreakBefore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val="en-US" w:eastAsia="zh" w:bidi="ar"/>
          <w:woUserID w:val="0"/>
        </w:rPr>
      </w:pPr>
      <w:bookmarkStart w:id="276" w:name="_Toc1598298545"/>
      <w:bookmarkStart w:id="277" w:name="_Toc3460"/>
      <w:bookmarkStart w:id="278" w:name="_Toc13284"/>
      <w:bookmarkStart w:id="279" w:name="_Toc761209462"/>
      <w:bookmarkStart w:id="280" w:name="_Toc21951"/>
      <w:bookmarkStart w:id="281" w:name="_Toc23248"/>
      <w:bookmarkStart w:id="282" w:name="_Toc28709"/>
      <w:bookmarkStart w:id="283" w:name="_Toc20045"/>
      <w:bookmarkStart w:id="284" w:name="_Toc29350"/>
      <w:bookmarkStart w:id="285" w:name="_Toc11922"/>
      <w:bookmarkStart w:id="286" w:name="_Toc5602"/>
      <w:r>
        <w:rPr>
          <w:rFonts w:hint="default" w:ascii="Times New Roman" w:hAnsi="Times New Roman" w:eastAsia="仿宋_GB2312" w:cs="Times New Roman"/>
          <w:b w:val="0"/>
          <w:bCs w:val="0"/>
          <w:color w:val="auto"/>
          <w:sz w:val="32"/>
          <w:szCs w:val="32"/>
          <w:highlight w:val="none"/>
          <w:u w:val="none"/>
          <w:lang w:val="en-US" w:eastAsia="zh-CN" w:bidi="ar"/>
          <w:woUserID w:val="0"/>
        </w:rPr>
        <w:t>第</w:t>
      </w:r>
      <w:r>
        <w:rPr>
          <w:rFonts w:hint="default" w:ascii="Times New Roman" w:hAnsi="Times New Roman" w:eastAsia="仿宋_GB2312" w:cs="Times New Roman"/>
          <w:b w:val="0"/>
          <w:bCs w:val="0"/>
          <w:color w:val="auto"/>
          <w:sz w:val="32"/>
          <w:szCs w:val="32"/>
          <w:highlight w:val="none"/>
          <w:u w:val="none"/>
          <w:lang w:val="en-US" w:eastAsia="zh" w:bidi="ar"/>
          <w:woUserID w:val="0"/>
        </w:rPr>
        <w:t>八</w:t>
      </w:r>
      <w:r>
        <w:rPr>
          <w:rFonts w:hint="default" w:ascii="Times New Roman" w:hAnsi="Times New Roman" w:eastAsia="仿宋_GB2312" w:cs="Times New Roman"/>
          <w:b w:val="0"/>
          <w:bCs w:val="0"/>
          <w:color w:val="auto"/>
          <w:sz w:val="32"/>
          <w:szCs w:val="32"/>
          <w:highlight w:val="none"/>
          <w:u w:val="none"/>
          <w:lang w:val="en-US" w:eastAsia="zh-CN" w:bidi="ar"/>
          <w:woUserID w:val="0"/>
        </w:rPr>
        <w:t xml:space="preserve">节 </w:t>
      </w:r>
      <w:r>
        <w:rPr>
          <w:rFonts w:hint="default" w:ascii="Times New Roman" w:hAnsi="Times New Roman" w:eastAsia="仿宋_GB2312" w:cs="Times New Roman"/>
          <w:b w:val="0"/>
          <w:bCs w:val="0"/>
          <w:color w:val="auto"/>
          <w:sz w:val="32"/>
          <w:szCs w:val="32"/>
          <w:highlight w:val="none"/>
          <w:u w:val="none"/>
          <w:lang w:val="en-US" w:eastAsia="zh" w:bidi="ar"/>
          <w:woUserID w:val="0"/>
        </w:rPr>
        <w:t>坚持一张蓝图绘到底</w:t>
      </w:r>
      <w:bookmarkEnd w:id="276"/>
      <w:bookmarkEnd w:id="277"/>
      <w:bookmarkEnd w:id="278"/>
      <w:bookmarkEnd w:id="279"/>
      <w:bookmarkEnd w:id="280"/>
      <w:bookmarkEnd w:id="281"/>
      <w:bookmarkEnd w:id="282"/>
      <w:bookmarkEnd w:id="283"/>
      <w:bookmarkEnd w:id="284"/>
      <w:bookmarkEnd w:id="285"/>
      <w:bookmarkEnd w:id="286"/>
    </w:p>
    <w:p w14:paraId="40856CC0">
      <w:pPr>
        <w:pageBreakBefore w:val="0"/>
        <w:widowControl/>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保持定力，务实重干，办好抓机遇用机遇、应变局开新局的事，办好打基础利长远、锻长板补短板的事，办好顺民意解民忧、惠民生暖民心的事，善作善成、再接再厉、接续奋斗、久久为功，一步一个脚印把宏伟蓝图变为美好现实。</w:t>
      </w:r>
    </w:p>
    <w:p w14:paraId="556A5261">
      <w:pPr>
        <w:pStyle w:val="3"/>
        <w:pageBreakBefore w:val="0"/>
        <w:kinsoku/>
        <w:wordWrap/>
        <w:overflowPunct/>
        <w:topLinePunct w:val="0"/>
        <w:autoSpaceDE/>
        <w:autoSpaceDN/>
        <w:bidi w:val="0"/>
        <w:adjustRightInd/>
        <w:snapToGrid/>
        <w:spacing w:before="0" w:after="0" w:line="560" w:lineRule="exact"/>
        <w:ind w:firstLine="0" w:firstLineChars="0"/>
        <w:jc w:val="center"/>
        <w:textAlignment w:val="auto"/>
        <w:rPr>
          <w:rFonts w:hint="default" w:ascii="Times New Roman" w:hAnsi="Times New Roman" w:eastAsia="楷体" w:cs="Times New Roman"/>
          <w:b w:val="0"/>
          <w:bCs/>
          <w:color w:val="auto"/>
          <w:sz w:val="32"/>
          <w:szCs w:val="32"/>
          <w:highlight w:val="none"/>
        </w:rPr>
      </w:pPr>
      <w:bookmarkStart w:id="287" w:name="_Toc8202"/>
      <w:bookmarkStart w:id="288" w:name="_Toc25291"/>
      <w:bookmarkStart w:id="289" w:name="_Toc2025"/>
      <w:bookmarkStart w:id="290" w:name="_Toc19394"/>
      <w:bookmarkStart w:id="291" w:name="_Toc1141223334"/>
      <w:bookmarkStart w:id="292" w:name="_Toc199945706"/>
      <w:bookmarkStart w:id="293" w:name="_Toc8520"/>
      <w:bookmarkStart w:id="294" w:name="_Toc28913"/>
      <w:bookmarkStart w:id="295" w:name="_Toc7608"/>
      <w:bookmarkStart w:id="296" w:name="_Toc19625"/>
      <w:bookmarkStart w:id="297" w:name="_Toc693462572"/>
      <w:bookmarkStart w:id="298" w:name="_Toc8629"/>
      <w:bookmarkStart w:id="299" w:name="_Toc9382"/>
      <w:bookmarkStart w:id="300" w:name="_Toc23990"/>
      <w:bookmarkStart w:id="301" w:name="_Toc3908"/>
      <w:r>
        <w:rPr>
          <w:rFonts w:hint="default" w:ascii="Times New Roman" w:hAnsi="Times New Roman" w:eastAsia="楷体" w:cs="Times New Roman"/>
          <w:b w:val="0"/>
          <w:bCs/>
          <w:color w:val="auto"/>
          <w:sz w:val="32"/>
          <w:szCs w:val="32"/>
          <w:highlight w:val="none"/>
        </w:rPr>
        <w:t>第三</w:t>
      </w:r>
      <w:r>
        <w:rPr>
          <w:rFonts w:hint="default" w:ascii="Times New Roman" w:hAnsi="Times New Roman" w:eastAsia="楷体" w:cs="Times New Roman"/>
          <w:b w:val="0"/>
          <w:bCs/>
          <w:color w:val="auto"/>
          <w:sz w:val="32"/>
          <w:szCs w:val="32"/>
          <w:highlight w:val="none"/>
          <w:lang w:eastAsia="zh"/>
          <w:woUserID w:val="0"/>
        </w:rPr>
        <w:t>章</w:t>
      </w:r>
      <w:r>
        <w:rPr>
          <w:rFonts w:hint="default" w:ascii="Times New Roman" w:hAnsi="Times New Roman" w:eastAsia="楷体" w:cs="Times New Roman"/>
          <w:b w:val="0"/>
          <w:bCs/>
          <w:color w:val="auto"/>
          <w:sz w:val="32"/>
          <w:szCs w:val="32"/>
          <w:highlight w:val="none"/>
        </w:rPr>
        <w:t xml:space="preserve"> “十五五”时期经济社会发展的战略定位</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p w14:paraId="4D7F3167">
      <w:pPr>
        <w:pageBreakBefore w:val="0"/>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302" w:name="_Toc18905"/>
      <w:bookmarkStart w:id="303" w:name="_Toc27109"/>
      <w:bookmarkStart w:id="304" w:name="_Toc16111"/>
      <w:bookmarkStart w:id="305" w:name="_Toc7345"/>
      <w:bookmarkStart w:id="306" w:name="_Toc23180"/>
      <w:bookmarkStart w:id="307" w:name="_Toc23814"/>
      <w:bookmarkStart w:id="308" w:name="_Toc2010655482"/>
      <w:bookmarkStart w:id="309" w:name="_Toc25879"/>
      <w:bookmarkStart w:id="310" w:name="_Toc6908"/>
      <w:bookmarkStart w:id="311" w:name="_Toc492059247"/>
      <w:bookmarkStart w:id="312" w:name="_Toc19913"/>
      <w:r>
        <w:rPr>
          <w:rFonts w:hint="default" w:ascii="Times New Roman" w:hAnsi="Times New Roman" w:eastAsia="仿宋_GB2312" w:cs="Times New Roman"/>
          <w:b w:val="0"/>
          <w:bCs/>
          <w:color w:val="auto"/>
          <w:sz w:val="32"/>
          <w:szCs w:val="32"/>
          <w:highlight w:val="none"/>
          <w:u w:val="none"/>
          <w:lang w:val="en-US" w:eastAsia="zh-CN" w:bidi="ar"/>
          <w:woUserID w:val="0"/>
        </w:rPr>
        <w:t>第</w:t>
      </w:r>
      <w:r>
        <w:rPr>
          <w:rFonts w:hint="default" w:ascii="Times New Roman" w:hAnsi="Times New Roman" w:eastAsia="仿宋_GB2312" w:cs="Times New Roman"/>
          <w:b w:val="0"/>
          <w:bCs/>
          <w:color w:val="auto"/>
          <w:sz w:val="32"/>
          <w:szCs w:val="32"/>
          <w:highlight w:val="none"/>
          <w:u w:val="none"/>
          <w:lang w:val="en-US" w:eastAsia="zh" w:bidi="ar"/>
          <w:woUserID w:val="0"/>
        </w:rPr>
        <w:t>一</w:t>
      </w:r>
      <w:r>
        <w:rPr>
          <w:rFonts w:hint="default" w:ascii="Times New Roman" w:hAnsi="Times New Roman" w:eastAsia="仿宋_GB2312" w:cs="Times New Roman"/>
          <w:b w:val="0"/>
          <w:bCs/>
          <w:color w:val="auto"/>
          <w:sz w:val="32"/>
          <w:szCs w:val="32"/>
          <w:highlight w:val="none"/>
          <w:u w:val="none"/>
          <w:lang w:val="en-US" w:eastAsia="zh-CN" w:bidi="ar"/>
          <w:woUserID w:val="0"/>
        </w:rPr>
        <w:t xml:space="preserve">节 </w:t>
      </w:r>
      <w:r>
        <w:rPr>
          <w:rFonts w:hint="default" w:ascii="Times New Roman" w:hAnsi="Times New Roman" w:eastAsia="仿宋_GB2312" w:cs="Times New Roman"/>
          <w:b w:val="0"/>
          <w:bCs/>
          <w:color w:val="auto"/>
          <w:sz w:val="32"/>
          <w:szCs w:val="32"/>
          <w:highlight w:val="none"/>
          <w:u w:val="none"/>
          <w:lang w:eastAsia="zh" w:bidi="ar"/>
          <w:woUserID w:val="0"/>
        </w:rPr>
        <w:t>打造现代化大农业发展先行区</w:t>
      </w:r>
      <w:bookmarkEnd w:id="302"/>
      <w:bookmarkEnd w:id="303"/>
      <w:bookmarkEnd w:id="304"/>
      <w:bookmarkEnd w:id="305"/>
      <w:bookmarkEnd w:id="306"/>
      <w:bookmarkEnd w:id="307"/>
      <w:bookmarkEnd w:id="308"/>
      <w:bookmarkEnd w:id="309"/>
      <w:bookmarkEnd w:id="310"/>
      <w:bookmarkEnd w:id="311"/>
      <w:bookmarkEnd w:id="312"/>
    </w:p>
    <w:p w14:paraId="7E5774EE">
      <w:pPr>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auto"/>
          <w:sz w:val="32"/>
          <w:szCs w:val="32"/>
          <w:highlight w:val="none"/>
        </w:rPr>
      </w:pPr>
      <w:r>
        <w:rPr>
          <w:rFonts w:hint="default" w:ascii="Times New Roman" w:hAnsi="Times New Roman" w:eastAsia="仿宋_GB2312" w:cs="Times New Roman"/>
          <w:b w:val="0"/>
          <w:bCs/>
          <w:color w:val="auto"/>
          <w:sz w:val="32"/>
          <w:szCs w:val="32"/>
          <w:highlight w:val="none"/>
          <w:lang w:eastAsia="zh"/>
        </w:rPr>
        <w:t>坚持农业农村优先发展，</w:t>
      </w:r>
      <w:r>
        <w:rPr>
          <w:rFonts w:hint="default" w:ascii="Times New Roman" w:hAnsi="Times New Roman" w:eastAsia="仿宋_GB2312" w:cs="Times New Roman"/>
          <w:b w:val="0"/>
          <w:bCs/>
          <w:color w:val="auto"/>
          <w:sz w:val="32"/>
          <w:szCs w:val="32"/>
          <w:highlight w:val="none"/>
        </w:rPr>
        <w:t>立足国家粮食安全战略与农业</w:t>
      </w:r>
      <w:r>
        <w:rPr>
          <w:rFonts w:hint="default" w:ascii="Times New Roman" w:hAnsi="Times New Roman" w:eastAsia="仿宋_GB2312" w:cs="Times New Roman"/>
          <w:b w:val="0"/>
          <w:bCs/>
          <w:color w:val="auto"/>
          <w:sz w:val="32"/>
          <w:szCs w:val="32"/>
          <w:highlight w:val="none"/>
          <w:lang w:eastAsia="zh"/>
        </w:rPr>
        <w:t>产业</w:t>
      </w:r>
      <w:r>
        <w:rPr>
          <w:rFonts w:hint="default" w:ascii="Times New Roman" w:hAnsi="Times New Roman" w:eastAsia="仿宋_GB2312" w:cs="Times New Roman"/>
          <w:b w:val="0"/>
          <w:bCs/>
          <w:color w:val="auto"/>
          <w:sz w:val="32"/>
          <w:szCs w:val="32"/>
          <w:highlight w:val="none"/>
        </w:rPr>
        <w:t>发展布局，</w:t>
      </w:r>
      <w:r>
        <w:rPr>
          <w:rFonts w:hint="default" w:ascii="Times New Roman" w:hAnsi="Times New Roman" w:eastAsia="仿宋_GB2312" w:cs="Times New Roman"/>
          <w:b w:val="0"/>
          <w:bCs/>
          <w:color w:val="auto"/>
          <w:sz w:val="32"/>
          <w:szCs w:val="32"/>
          <w:highlight w:val="none"/>
          <w:lang w:eastAsia="zh"/>
        </w:rPr>
        <w:t>坚持夯实产能、筑牢根基，</w:t>
      </w:r>
      <w:r>
        <w:rPr>
          <w:rFonts w:hint="default" w:ascii="Times New Roman" w:hAnsi="Times New Roman" w:eastAsia="仿宋_GB2312" w:cs="Times New Roman"/>
          <w:b w:val="0"/>
          <w:bCs/>
          <w:color w:val="auto"/>
          <w:sz w:val="32"/>
          <w:szCs w:val="32"/>
          <w:highlight w:val="none"/>
        </w:rPr>
        <w:t>以黑土地保护为核心，以科技赋能和绿色低碳为导向，构建科技驱动、产业融合、生态优先的现代农业体系，重点推进高标准农田建设、智慧农业应用和种业创新示范，强化农产品精深加工与品牌塑造，</w:t>
      </w:r>
      <w:r>
        <w:rPr>
          <w:rFonts w:hint="default" w:ascii="Times New Roman" w:hAnsi="Times New Roman" w:eastAsia="仿宋_GB2312" w:cs="Times New Roman"/>
          <w:b w:val="0"/>
          <w:bCs/>
          <w:color w:val="auto"/>
          <w:sz w:val="32"/>
          <w:szCs w:val="32"/>
          <w:highlight w:val="none"/>
          <w:lang w:eastAsia="zh"/>
        </w:rPr>
        <w:t>全</w:t>
      </w:r>
      <w:r>
        <w:rPr>
          <w:rFonts w:hint="default" w:ascii="Times New Roman" w:hAnsi="Times New Roman" w:eastAsia="仿宋_GB2312" w:cs="Times New Roman"/>
          <w:b w:val="0"/>
          <w:bCs/>
          <w:color w:val="auto"/>
          <w:sz w:val="32"/>
          <w:szCs w:val="32"/>
          <w:highlight w:val="none"/>
        </w:rPr>
        <w:t>力建设全国智慧农业先行区和国家区域性良种繁育基地，着力打造现代化大农业发展先行区，率先实现农业现代化，为保障国家粮食安全和引领区域农业转型升级提供坚实支撑。</w:t>
      </w:r>
    </w:p>
    <w:p w14:paraId="1FF2D5CC">
      <w:pPr>
        <w:pageBreakBefore w:val="0"/>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313" w:name="_Toc21697"/>
      <w:bookmarkStart w:id="314" w:name="_Toc999571156"/>
      <w:bookmarkStart w:id="315" w:name="_Toc24403"/>
      <w:bookmarkStart w:id="316" w:name="_Toc21499"/>
      <w:bookmarkStart w:id="317" w:name="_Toc20188"/>
      <w:bookmarkStart w:id="318" w:name="_Toc713368790"/>
      <w:bookmarkStart w:id="319" w:name="_Toc16331"/>
      <w:bookmarkStart w:id="320" w:name="_Toc16587"/>
      <w:bookmarkStart w:id="321" w:name="_Toc6050"/>
      <w:bookmarkStart w:id="322" w:name="_Toc17779"/>
      <w:bookmarkStart w:id="323" w:name="_Toc21991"/>
      <w:r>
        <w:rPr>
          <w:rFonts w:hint="default" w:ascii="Times New Roman" w:hAnsi="Times New Roman" w:eastAsia="仿宋_GB2312" w:cs="Times New Roman"/>
          <w:b w:val="0"/>
          <w:bCs/>
          <w:color w:val="auto"/>
          <w:sz w:val="32"/>
          <w:szCs w:val="32"/>
          <w:highlight w:val="none"/>
          <w:u w:val="none"/>
          <w:lang w:val="en-US" w:eastAsia="zh-CN" w:bidi="ar"/>
          <w:woUserID w:val="0"/>
        </w:rPr>
        <w:t>第</w:t>
      </w:r>
      <w:r>
        <w:rPr>
          <w:rFonts w:hint="default" w:ascii="Times New Roman" w:hAnsi="Times New Roman" w:eastAsia="仿宋_GB2312" w:cs="Times New Roman"/>
          <w:b w:val="0"/>
          <w:bCs/>
          <w:color w:val="auto"/>
          <w:sz w:val="32"/>
          <w:szCs w:val="32"/>
          <w:highlight w:val="none"/>
          <w:u w:val="none"/>
          <w:lang w:val="en-US" w:eastAsia="zh" w:bidi="ar"/>
          <w:woUserID w:val="0"/>
        </w:rPr>
        <w:t>二</w:t>
      </w:r>
      <w:r>
        <w:rPr>
          <w:rFonts w:hint="default" w:ascii="Times New Roman" w:hAnsi="Times New Roman" w:eastAsia="仿宋_GB2312" w:cs="Times New Roman"/>
          <w:b w:val="0"/>
          <w:bCs/>
          <w:color w:val="auto"/>
          <w:sz w:val="32"/>
          <w:szCs w:val="32"/>
          <w:highlight w:val="none"/>
          <w:u w:val="none"/>
          <w:lang w:val="en-US" w:eastAsia="zh-CN" w:bidi="ar"/>
          <w:woUserID w:val="0"/>
        </w:rPr>
        <w:t xml:space="preserve">节 </w:t>
      </w:r>
      <w:r>
        <w:rPr>
          <w:rFonts w:hint="default" w:ascii="Times New Roman" w:hAnsi="Times New Roman" w:eastAsia="仿宋_GB2312" w:cs="Times New Roman"/>
          <w:b w:val="0"/>
          <w:bCs/>
          <w:color w:val="auto"/>
          <w:sz w:val="32"/>
          <w:szCs w:val="32"/>
          <w:highlight w:val="none"/>
          <w:u w:val="none"/>
          <w:lang w:eastAsia="zh" w:bidi="ar"/>
          <w:woUserID w:val="0"/>
        </w:rPr>
        <w:t>构建农文体旅融合发展示范区</w:t>
      </w:r>
      <w:bookmarkEnd w:id="313"/>
      <w:bookmarkEnd w:id="314"/>
      <w:bookmarkEnd w:id="315"/>
      <w:bookmarkEnd w:id="316"/>
      <w:bookmarkEnd w:id="317"/>
      <w:bookmarkEnd w:id="318"/>
      <w:bookmarkEnd w:id="319"/>
      <w:bookmarkEnd w:id="320"/>
      <w:bookmarkEnd w:id="321"/>
      <w:bookmarkEnd w:id="322"/>
      <w:bookmarkEnd w:id="323"/>
    </w:p>
    <w:p w14:paraId="122D0A3C">
      <w:pPr>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auto"/>
          <w:sz w:val="32"/>
          <w:szCs w:val="32"/>
          <w:highlight w:val="none"/>
        </w:rPr>
      </w:pPr>
      <w:r>
        <w:rPr>
          <w:rFonts w:hint="default" w:ascii="Times New Roman" w:hAnsi="Times New Roman" w:eastAsia="仿宋_GB2312" w:cs="Times New Roman"/>
          <w:b w:val="0"/>
          <w:bCs/>
          <w:color w:val="auto"/>
          <w:sz w:val="32"/>
          <w:szCs w:val="32"/>
          <w:highlight w:val="none"/>
        </w:rPr>
        <w:t>立足得天独厚的寒地黑土、江河湿地、田园风光以及厚重的历史文化、红色文化、民俗文化，以生态宜居为底色，以文化传承为灵魂，深度推进农业景观、自然生态与历史文化、康养旅游、民俗度假、户外运动、体育赛事等产业多元融合，打造农文体旅融合发展示范区，走出一条文旅兴县新路径。</w:t>
      </w:r>
    </w:p>
    <w:p w14:paraId="6FEFAF3E">
      <w:pPr>
        <w:pageBreakBefore w:val="0"/>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324" w:name="_Toc9629"/>
      <w:bookmarkStart w:id="325" w:name="_Toc210272008"/>
      <w:bookmarkStart w:id="326" w:name="_Toc776"/>
      <w:bookmarkStart w:id="327" w:name="_Toc1704481316"/>
      <w:bookmarkStart w:id="328" w:name="_Toc32311"/>
      <w:bookmarkStart w:id="329" w:name="_Toc27226"/>
      <w:bookmarkStart w:id="330" w:name="_Toc26361"/>
      <w:bookmarkStart w:id="331" w:name="_Toc24173"/>
      <w:bookmarkStart w:id="332" w:name="_Toc25113"/>
      <w:bookmarkStart w:id="333" w:name="_Toc18942"/>
      <w:bookmarkStart w:id="334" w:name="_Toc29549"/>
      <w:r>
        <w:rPr>
          <w:rFonts w:hint="default" w:ascii="Times New Roman" w:hAnsi="Times New Roman" w:eastAsia="仿宋_GB2312" w:cs="Times New Roman"/>
          <w:b w:val="0"/>
          <w:bCs/>
          <w:color w:val="auto"/>
          <w:sz w:val="32"/>
          <w:szCs w:val="32"/>
          <w:highlight w:val="none"/>
          <w:u w:val="none"/>
          <w:lang w:val="en-US" w:eastAsia="zh-CN" w:bidi="ar"/>
          <w:woUserID w:val="0"/>
        </w:rPr>
        <w:t>第</w:t>
      </w:r>
      <w:r>
        <w:rPr>
          <w:rFonts w:hint="default" w:ascii="Times New Roman" w:hAnsi="Times New Roman" w:eastAsia="仿宋_GB2312" w:cs="Times New Roman"/>
          <w:b w:val="0"/>
          <w:bCs/>
          <w:color w:val="auto"/>
          <w:sz w:val="32"/>
          <w:szCs w:val="32"/>
          <w:highlight w:val="none"/>
          <w:u w:val="none"/>
          <w:lang w:val="en-US" w:eastAsia="zh" w:bidi="ar"/>
          <w:woUserID w:val="0"/>
        </w:rPr>
        <w:t>三</w:t>
      </w:r>
      <w:r>
        <w:rPr>
          <w:rFonts w:hint="default" w:ascii="Times New Roman" w:hAnsi="Times New Roman" w:eastAsia="仿宋_GB2312" w:cs="Times New Roman"/>
          <w:b w:val="0"/>
          <w:bCs/>
          <w:color w:val="auto"/>
          <w:sz w:val="32"/>
          <w:szCs w:val="32"/>
          <w:highlight w:val="none"/>
          <w:u w:val="none"/>
          <w:lang w:val="en-US" w:eastAsia="zh-CN" w:bidi="ar"/>
          <w:woUserID w:val="0"/>
        </w:rPr>
        <w:t xml:space="preserve">节 </w:t>
      </w:r>
      <w:r>
        <w:rPr>
          <w:rFonts w:hint="default" w:ascii="Times New Roman" w:hAnsi="Times New Roman" w:eastAsia="仿宋_GB2312" w:cs="Times New Roman"/>
          <w:b w:val="0"/>
          <w:bCs/>
          <w:color w:val="auto"/>
          <w:sz w:val="32"/>
          <w:szCs w:val="32"/>
          <w:highlight w:val="none"/>
          <w:u w:val="none"/>
          <w:lang w:eastAsia="zh" w:bidi="ar"/>
          <w:woUserID w:val="0"/>
        </w:rPr>
        <w:t>建设城乡协调联动发展样板区</w:t>
      </w:r>
      <w:bookmarkEnd w:id="324"/>
      <w:bookmarkEnd w:id="325"/>
      <w:bookmarkEnd w:id="326"/>
      <w:bookmarkEnd w:id="327"/>
      <w:bookmarkEnd w:id="328"/>
      <w:bookmarkEnd w:id="329"/>
      <w:bookmarkEnd w:id="330"/>
      <w:bookmarkEnd w:id="331"/>
      <w:bookmarkEnd w:id="332"/>
      <w:bookmarkEnd w:id="333"/>
      <w:bookmarkEnd w:id="334"/>
    </w:p>
    <w:p w14:paraId="0710484D">
      <w:pPr>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auto"/>
          <w:sz w:val="32"/>
          <w:szCs w:val="32"/>
          <w:highlight w:val="none"/>
        </w:rPr>
      </w:pPr>
      <w:r>
        <w:rPr>
          <w:rFonts w:hint="default" w:ascii="Times New Roman" w:hAnsi="Times New Roman" w:eastAsia="仿宋_GB2312" w:cs="Times New Roman"/>
          <w:b w:val="0"/>
          <w:bCs/>
          <w:color w:val="auto"/>
          <w:sz w:val="32"/>
          <w:szCs w:val="32"/>
          <w:highlight w:val="none"/>
        </w:rPr>
        <w:t>坚持以人为本的新型城镇化理念，深入落实国省区域协调发展战略，优化城乡发展布局，推动基础设施互联互通和公共服务均衡配置，引导人口、资本、技术等产业要素自由流动，持续改善城乡人居环境，提升社会治理水平，加快建设秀美、通达、宜居的现代化城市，形成城乡功能衔接、产业互动支撑、社会和谐共融的一体化发展新格局。</w:t>
      </w:r>
    </w:p>
    <w:p w14:paraId="046DF2C6">
      <w:pPr>
        <w:pageBreakBefore w:val="0"/>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335" w:name="_Toc21633"/>
      <w:bookmarkStart w:id="336" w:name="_Toc30348"/>
      <w:bookmarkStart w:id="337" w:name="_Toc1782"/>
      <w:bookmarkStart w:id="338" w:name="_Toc17545"/>
      <w:bookmarkStart w:id="339" w:name="_Toc25949"/>
      <w:bookmarkStart w:id="340" w:name="_Toc181053954"/>
      <w:bookmarkStart w:id="341" w:name="_Toc31375"/>
      <w:bookmarkStart w:id="342" w:name="_Toc19412"/>
      <w:bookmarkStart w:id="343" w:name="_Toc13889"/>
      <w:bookmarkStart w:id="344" w:name="_Toc733629903"/>
      <w:bookmarkStart w:id="345" w:name="_Toc2520"/>
      <w:r>
        <w:rPr>
          <w:rFonts w:hint="default" w:ascii="Times New Roman" w:hAnsi="Times New Roman" w:eastAsia="仿宋_GB2312" w:cs="Times New Roman"/>
          <w:b w:val="0"/>
          <w:bCs/>
          <w:color w:val="auto"/>
          <w:sz w:val="32"/>
          <w:szCs w:val="32"/>
          <w:highlight w:val="none"/>
          <w:u w:val="none"/>
          <w:lang w:val="en-US" w:eastAsia="zh-CN" w:bidi="ar"/>
          <w:woUserID w:val="0"/>
        </w:rPr>
        <w:t>第</w:t>
      </w:r>
      <w:r>
        <w:rPr>
          <w:rFonts w:hint="default" w:ascii="Times New Roman" w:hAnsi="Times New Roman" w:eastAsia="仿宋_GB2312" w:cs="Times New Roman"/>
          <w:b w:val="0"/>
          <w:bCs/>
          <w:color w:val="auto"/>
          <w:sz w:val="32"/>
          <w:szCs w:val="32"/>
          <w:highlight w:val="none"/>
          <w:u w:val="none"/>
          <w:lang w:val="en-US" w:eastAsia="zh" w:bidi="ar"/>
          <w:woUserID w:val="0"/>
        </w:rPr>
        <w:t>四</w:t>
      </w:r>
      <w:r>
        <w:rPr>
          <w:rFonts w:hint="default" w:ascii="Times New Roman" w:hAnsi="Times New Roman" w:eastAsia="仿宋_GB2312" w:cs="Times New Roman"/>
          <w:b w:val="0"/>
          <w:bCs/>
          <w:color w:val="auto"/>
          <w:sz w:val="32"/>
          <w:szCs w:val="32"/>
          <w:highlight w:val="none"/>
          <w:u w:val="none"/>
          <w:lang w:val="en-US" w:eastAsia="zh-CN" w:bidi="ar"/>
          <w:woUserID w:val="0"/>
        </w:rPr>
        <w:t xml:space="preserve">节 </w:t>
      </w:r>
      <w:r>
        <w:rPr>
          <w:rFonts w:hint="default" w:ascii="Times New Roman" w:hAnsi="Times New Roman" w:eastAsia="仿宋_GB2312" w:cs="Times New Roman"/>
          <w:b w:val="0"/>
          <w:bCs/>
          <w:color w:val="auto"/>
          <w:sz w:val="32"/>
          <w:szCs w:val="32"/>
          <w:highlight w:val="none"/>
          <w:u w:val="none"/>
          <w:lang w:eastAsia="zh" w:bidi="ar"/>
          <w:woUserID w:val="0"/>
        </w:rPr>
        <w:t>打造佳市城郊产业配套功能区</w:t>
      </w:r>
      <w:bookmarkEnd w:id="335"/>
      <w:bookmarkEnd w:id="336"/>
      <w:bookmarkEnd w:id="337"/>
      <w:bookmarkEnd w:id="338"/>
      <w:bookmarkEnd w:id="339"/>
      <w:bookmarkEnd w:id="340"/>
      <w:bookmarkEnd w:id="341"/>
      <w:bookmarkEnd w:id="342"/>
      <w:bookmarkEnd w:id="343"/>
      <w:bookmarkEnd w:id="344"/>
      <w:bookmarkEnd w:id="345"/>
    </w:p>
    <w:p w14:paraId="5A212676">
      <w:pPr>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auto"/>
          <w:sz w:val="32"/>
          <w:szCs w:val="32"/>
          <w:highlight w:val="none"/>
        </w:rPr>
      </w:pPr>
      <w:r>
        <w:rPr>
          <w:rFonts w:hint="default" w:ascii="Times New Roman" w:hAnsi="Times New Roman" w:eastAsia="仿宋_GB2312" w:cs="Times New Roman"/>
          <w:b w:val="0"/>
          <w:bCs/>
          <w:color w:val="auto"/>
          <w:sz w:val="32"/>
          <w:szCs w:val="32"/>
          <w:highlight w:val="none"/>
        </w:rPr>
        <w:t>依托毗邻佳木斯市中心城区的独特区位与便捷交通优势，以完善的基础设施和高效的物流体系为支撑，以两个产业园区为载体，重点承接中心城市的产业外溢与功能疏解，大力发展农产品精深加工、仓储冷链物流、农机装备制造、智能制造配套、生物医药、新型化工等业态，形成与中心城市功能互补、产业协同、联动发展的现代化城郊经济</w:t>
      </w:r>
      <w:r>
        <w:rPr>
          <w:rFonts w:hint="default" w:ascii="Times New Roman" w:hAnsi="Times New Roman" w:eastAsia="仿宋_GB2312" w:cs="Times New Roman"/>
          <w:b w:val="0"/>
          <w:bCs/>
          <w:color w:val="auto"/>
          <w:sz w:val="32"/>
          <w:szCs w:val="32"/>
          <w:highlight w:val="none"/>
          <w:lang w:eastAsia="zh"/>
        </w:rPr>
        <w:t>功能区</w:t>
      </w:r>
      <w:r>
        <w:rPr>
          <w:rFonts w:hint="default" w:ascii="Times New Roman" w:hAnsi="Times New Roman" w:eastAsia="仿宋_GB2312" w:cs="Times New Roman"/>
          <w:b w:val="0"/>
          <w:bCs/>
          <w:color w:val="auto"/>
          <w:sz w:val="32"/>
          <w:szCs w:val="32"/>
          <w:highlight w:val="none"/>
        </w:rPr>
        <w:t>，为县域经济社会发展注入强劲动力。</w:t>
      </w:r>
    </w:p>
    <w:p w14:paraId="1F7DDA4E">
      <w:pPr>
        <w:pStyle w:val="3"/>
        <w:pageBreakBefore w:val="0"/>
        <w:kinsoku/>
        <w:wordWrap/>
        <w:overflowPunct/>
        <w:topLinePunct w:val="0"/>
        <w:autoSpaceDE/>
        <w:autoSpaceDN/>
        <w:bidi w:val="0"/>
        <w:adjustRightInd/>
        <w:snapToGrid/>
        <w:spacing w:before="0" w:after="0" w:line="560" w:lineRule="exact"/>
        <w:ind w:firstLine="0" w:firstLineChars="0"/>
        <w:jc w:val="center"/>
        <w:textAlignment w:val="auto"/>
        <w:rPr>
          <w:rFonts w:hint="default" w:ascii="Times New Roman" w:hAnsi="Times New Roman" w:eastAsia="楷体" w:cs="Times New Roman"/>
          <w:b w:val="0"/>
          <w:bCs/>
          <w:color w:val="auto"/>
          <w:sz w:val="32"/>
          <w:szCs w:val="32"/>
          <w:highlight w:val="none"/>
        </w:rPr>
      </w:pPr>
      <w:bookmarkStart w:id="346" w:name="_Toc2312"/>
      <w:bookmarkStart w:id="347" w:name="_Toc18415"/>
      <w:bookmarkStart w:id="348" w:name="_Toc2215"/>
      <w:bookmarkStart w:id="349" w:name="_Toc29544"/>
      <w:bookmarkStart w:id="350" w:name="_Toc12090"/>
      <w:bookmarkStart w:id="351" w:name="_Toc199945707"/>
      <w:bookmarkStart w:id="352" w:name="_Toc22171"/>
      <w:bookmarkStart w:id="353" w:name="_Toc25685"/>
      <w:bookmarkStart w:id="354" w:name="_Toc1574"/>
      <w:bookmarkStart w:id="355" w:name="_Toc23266"/>
      <w:bookmarkStart w:id="356" w:name="_Toc594075134"/>
      <w:bookmarkStart w:id="357" w:name="_Toc13377"/>
      <w:bookmarkStart w:id="358" w:name="_Toc23495"/>
      <w:bookmarkStart w:id="359" w:name="_Toc1223905917"/>
      <w:bookmarkStart w:id="360" w:name="_Toc8808"/>
      <w:r>
        <w:rPr>
          <w:rFonts w:hint="default" w:ascii="Times New Roman" w:hAnsi="Times New Roman" w:eastAsia="楷体" w:cs="Times New Roman"/>
          <w:b w:val="0"/>
          <w:bCs/>
          <w:color w:val="auto"/>
          <w:sz w:val="32"/>
          <w:szCs w:val="32"/>
          <w:highlight w:val="none"/>
        </w:rPr>
        <w:t>第四</w:t>
      </w:r>
      <w:r>
        <w:rPr>
          <w:rFonts w:hint="default" w:ascii="Times New Roman" w:hAnsi="Times New Roman" w:eastAsia="楷体" w:cs="Times New Roman"/>
          <w:b w:val="0"/>
          <w:bCs/>
          <w:color w:val="auto"/>
          <w:sz w:val="32"/>
          <w:szCs w:val="32"/>
          <w:highlight w:val="none"/>
          <w:lang w:eastAsia="zh"/>
          <w:woUserID w:val="0"/>
        </w:rPr>
        <w:t>章</w:t>
      </w:r>
      <w:r>
        <w:rPr>
          <w:rFonts w:hint="default" w:ascii="Times New Roman" w:hAnsi="Times New Roman" w:eastAsia="楷体" w:cs="Times New Roman"/>
          <w:b w:val="0"/>
          <w:bCs/>
          <w:color w:val="auto"/>
          <w:sz w:val="32"/>
          <w:szCs w:val="32"/>
          <w:highlight w:val="none"/>
        </w:rPr>
        <w:t xml:space="preserve"> “十五五”时期经济社会发展的主要目标</w:t>
      </w:r>
      <w:bookmarkEnd w:id="170"/>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14:paraId="2F8F7C2E">
      <w:pPr>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auto"/>
          <w:sz w:val="32"/>
          <w:szCs w:val="32"/>
          <w:highlight w:val="none"/>
        </w:rPr>
      </w:pPr>
      <w:r>
        <w:rPr>
          <w:rFonts w:hint="default" w:ascii="Times New Roman" w:hAnsi="Times New Roman" w:eastAsia="仿宋_GB2312" w:cs="Times New Roman"/>
          <w:b w:val="0"/>
          <w:bCs/>
          <w:color w:val="auto"/>
          <w:sz w:val="32"/>
          <w:szCs w:val="32"/>
          <w:highlight w:val="none"/>
        </w:rPr>
        <w:t>准确把握“十五五”时期的阶段性要求，立足“十五五”发展定位，加快推进桦川经济社会高质量发展。到2030年，新时代社会主义现代化强县建设实现新的跨越发展，全面振兴取得重大进展。</w:t>
      </w:r>
    </w:p>
    <w:p w14:paraId="618360DD">
      <w:pPr>
        <w:pageBreakBefore w:val="0"/>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361" w:name="_Toc1031485751"/>
      <w:bookmarkStart w:id="362" w:name="_Toc32725"/>
      <w:bookmarkStart w:id="363" w:name="_Toc1108454025"/>
      <w:bookmarkStart w:id="364" w:name="_Toc21040"/>
      <w:bookmarkStart w:id="365" w:name="_Toc29670"/>
      <w:bookmarkStart w:id="366" w:name="_Toc22284"/>
      <w:bookmarkStart w:id="367" w:name="_Toc14332"/>
      <w:bookmarkStart w:id="368" w:name="_Toc10067"/>
      <w:bookmarkStart w:id="369" w:name="_Toc6579"/>
      <w:bookmarkStart w:id="370" w:name="_Toc20155"/>
      <w:bookmarkStart w:id="371" w:name="_Toc14209"/>
      <w:r>
        <w:rPr>
          <w:rFonts w:hint="default" w:ascii="Times New Roman" w:hAnsi="Times New Roman" w:eastAsia="仿宋_GB2312" w:cs="Times New Roman"/>
          <w:b w:val="0"/>
          <w:bCs/>
          <w:color w:val="auto"/>
          <w:sz w:val="32"/>
          <w:szCs w:val="32"/>
          <w:highlight w:val="none"/>
          <w:u w:val="none"/>
          <w:lang w:val="en-US" w:eastAsia="zh-CN" w:bidi="ar"/>
          <w:woUserID w:val="0"/>
        </w:rPr>
        <w:t>第</w:t>
      </w:r>
      <w:r>
        <w:rPr>
          <w:rFonts w:hint="default" w:ascii="Times New Roman" w:hAnsi="Times New Roman" w:eastAsia="仿宋_GB2312" w:cs="Times New Roman"/>
          <w:b w:val="0"/>
          <w:bCs/>
          <w:color w:val="auto"/>
          <w:sz w:val="32"/>
          <w:szCs w:val="32"/>
          <w:highlight w:val="none"/>
          <w:u w:val="none"/>
          <w:lang w:val="en-US" w:eastAsia="zh" w:bidi="ar"/>
          <w:woUserID w:val="0"/>
        </w:rPr>
        <w:t>一</w:t>
      </w:r>
      <w:r>
        <w:rPr>
          <w:rFonts w:hint="default" w:ascii="Times New Roman" w:hAnsi="Times New Roman" w:eastAsia="仿宋_GB2312" w:cs="Times New Roman"/>
          <w:b w:val="0"/>
          <w:bCs/>
          <w:color w:val="auto"/>
          <w:sz w:val="32"/>
          <w:szCs w:val="32"/>
          <w:highlight w:val="none"/>
          <w:u w:val="none"/>
          <w:lang w:val="en-US" w:eastAsia="zh-CN" w:bidi="ar"/>
          <w:woUserID w:val="0"/>
        </w:rPr>
        <w:t xml:space="preserve">节 </w:t>
      </w:r>
      <w:r>
        <w:rPr>
          <w:rFonts w:hint="default" w:ascii="Times New Roman" w:hAnsi="Times New Roman" w:eastAsia="仿宋_GB2312" w:cs="Times New Roman"/>
          <w:b w:val="0"/>
          <w:bCs/>
          <w:color w:val="auto"/>
          <w:sz w:val="32"/>
          <w:szCs w:val="32"/>
          <w:highlight w:val="none"/>
          <w:u w:val="none"/>
          <w:lang w:eastAsia="zh" w:bidi="ar"/>
          <w:woUserID w:val="0"/>
        </w:rPr>
        <w:t>县域经济高质量发展实现新跨越</w:t>
      </w:r>
      <w:bookmarkEnd w:id="361"/>
      <w:bookmarkEnd w:id="362"/>
      <w:bookmarkEnd w:id="363"/>
      <w:bookmarkEnd w:id="364"/>
      <w:bookmarkEnd w:id="365"/>
      <w:bookmarkEnd w:id="366"/>
      <w:bookmarkEnd w:id="367"/>
      <w:bookmarkEnd w:id="368"/>
      <w:bookmarkEnd w:id="369"/>
      <w:bookmarkEnd w:id="370"/>
      <w:bookmarkEnd w:id="371"/>
    </w:p>
    <w:p w14:paraId="139B2ECC">
      <w:pPr>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rPr>
        <w:t>经济增长保持在合理区间，全县地区生产总值迈上90亿元新台阶，粮食综合生产能力和居民消费水平持续提升，有效投资对经济发展的支撑作用持续增强。</w:t>
      </w:r>
      <w:r>
        <w:rPr>
          <w:rFonts w:hint="eastAsia" w:eastAsia="仿宋_GB2312" w:cs="Times New Roman"/>
          <w:b w:val="0"/>
          <w:bCs/>
          <w:color w:val="auto"/>
          <w:sz w:val="32"/>
          <w:szCs w:val="32"/>
          <w:highlight w:val="none"/>
          <w:lang w:eastAsia="zh-CN"/>
        </w:rPr>
        <w:t>服务和融入新发展格局</w:t>
      </w:r>
      <w:r>
        <w:rPr>
          <w:rFonts w:hint="default" w:ascii="Times New Roman" w:hAnsi="Times New Roman" w:eastAsia="仿宋_GB2312" w:cs="Times New Roman"/>
          <w:b w:val="0"/>
          <w:bCs/>
          <w:color w:val="auto"/>
          <w:sz w:val="32"/>
          <w:szCs w:val="32"/>
          <w:highlight w:val="none"/>
        </w:rPr>
        <w:t>，因地制宜发展新质生产力，新型工业化、信息化、城镇化、农业现代化取得重大进展，现代化产业体系</w:t>
      </w:r>
      <w:r>
        <w:rPr>
          <w:rFonts w:hint="default" w:ascii="Times New Roman" w:hAnsi="Times New Roman" w:eastAsia="仿宋_GB2312" w:cs="Times New Roman"/>
          <w:b w:val="0"/>
          <w:bCs/>
          <w:color w:val="auto"/>
          <w:sz w:val="32"/>
          <w:szCs w:val="32"/>
          <w:highlight w:val="none"/>
          <w:lang w:eastAsia="zh"/>
        </w:rPr>
        <w:t>建设</w:t>
      </w:r>
      <w:r>
        <w:rPr>
          <w:rFonts w:hint="default" w:ascii="Times New Roman" w:hAnsi="Times New Roman" w:eastAsia="仿宋_GB2312" w:cs="Times New Roman"/>
          <w:b w:val="0"/>
          <w:bCs/>
          <w:color w:val="auto"/>
          <w:sz w:val="32"/>
          <w:szCs w:val="32"/>
          <w:highlight w:val="none"/>
        </w:rPr>
        <w:t>取得重大突破</w:t>
      </w:r>
      <w:r>
        <w:rPr>
          <w:rFonts w:hint="default" w:ascii="Times New Roman" w:hAnsi="Times New Roman" w:eastAsia="仿宋_GB2312" w:cs="Times New Roman"/>
          <w:b w:val="0"/>
          <w:bCs/>
          <w:color w:val="auto"/>
          <w:sz w:val="32"/>
          <w:szCs w:val="32"/>
          <w:highlight w:val="none"/>
          <w:lang w:eastAsia="zh"/>
        </w:rPr>
        <w:t>，实现城市品质的跨越式提升。</w:t>
      </w:r>
    </w:p>
    <w:p w14:paraId="4ACB4853">
      <w:pPr>
        <w:pageBreakBefore w:val="0"/>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372" w:name="_Toc31802"/>
      <w:bookmarkStart w:id="373" w:name="_Toc2306"/>
      <w:bookmarkStart w:id="374" w:name="_Toc1818644305"/>
      <w:bookmarkStart w:id="375" w:name="_Toc2694"/>
      <w:bookmarkStart w:id="376" w:name="_Toc217758103"/>
      <w:bookmarkStart w:id="377" w:name="_Toc20553"/>
      <w:bookmarkStart w:id="378" w:name="_Toc10246"/>
      <w:bookmarkStart w:id="379" w:name="_Toc13937"/>
      <w:bookmarkStart w:id="380" w:name="_Toc8098"/>
      <w:r>
        <w:rPr>
          <w:rFonts w:hint="default" w:ascii="Times New Roman" w:hAnsi="Times New Roman" w:eastAsia="仿宋_GB2312" w:cs="Times New Roman"/>
          <w:b w:val="0"/>
          <w:bCs/>
          <w:color w:val="auto"/>
          <w:sz w:val="32"/>
          <w:szCs w:val="32"/>
          <w:highlight w:val="none"/>
          <w:u w:val="none"/>
          <w:lang w:val="en-US" w:eastAsia="zh-CN" w:bidi="ar"/>
          <w:woUserID w:val="0"/>
        </w:rPr>
        <w:t>第</w:t>
      </w:r>
      <w:r>
        <w:rPr>
          <w:rFonts w:hint="default" w:ascii="Times New Roman" w:hAnsi="Times New Roman" w:eastAsia="仿宋_GB2312" w:cs="Times New Roman"/>
          <w:b w:val="0"/>
          <w:bCs/>
          <w:color w:val="auto"/>
          <w:sz w:val="32"/>
          <w:szCs w:val="32"/>
          <w:highlight w:val="none"/>
          <w:u w:val="none"/>
          <w:lang w:val="en-US" w:eastAsia="zh" w:bidi="ar"/>
          <w:woUserID w:val="0"/>
        </w:rPr>
        <w:t>二</w:t>
      </w:r>
      <w:r>
        <w:rPr>
          <w:rFonts w:hint="default" w:ascii="Times New Roman" w:hAnsi="Times New Roman" w:eastAsia="仿宋_GB2312" w:cs="Times New Roman"/>
          <w:b w:val="0"/>
          <w:bCs/>
          <w:color w:val="auto"/>
          <w:sz w:val="32"/>
          <w:szCs w:val="32"/>
          <w:highlight w:val="none"/>
          <w:u w:val="none"/>
          <w:lang w:val="en-US" w:eastAsia="zh-CN" w:bidi="ar"/>
          <w:woUserID w:val="0"/>
        </w:rPr>
        <w:t xml:space="preserve">节 </w:t>
      </w:r>
      <w:r>
        <w:rPr>
          <w:rFonts w:hint="default" w:ascii="Times New Roman" w:hAnsi="Times New Roman" w:eastAsia="仿宋_GB2312" w:cs="Times New Roman"/>
          <w:b w:val="0"/>
          <w:bCs/>
          <w:color w:val="auto"/>
          <w:sz w:val="32"/>
          <w:szCs w:val="32"/>
          <w:highlight w:val="none"/>
          <w:u w:val="none"/>
          <w:lang w:eastAsia="zh" w:bidi="ar"/>
          <w:woUserID w:val="0"/>
        </w:rPr>
        <w:t>科技创新能力迈上新台阶</w:t>
      </w:r>
      <w:bookmarkEnd w:id="372"/>
      <w:bookmarkEnd w:id="373"/>
      <w:bookmarkEnd w:id="374"/>
      <w:bookmarkEnd w:id="375"/>
      <w:bookmarkEnd w:id="376"/>
      <w:bookmarkEnd w:id="377"/>
      <w:bookmarkEnd w:id="378"/>
      <w:bookmarkEnd w:id="379"/>
      <w:bookmarkEnd w:id="380"/>
    </w:p>
    <w:p w14:paraId="164004AB">
      <w:pPr>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auto"/>
          <w:sz w:val="32"/>
          <w:szCs w:val="32"/>
          <w:highlight w:val="none"/>
        </w:rPr>
      </w:pPr>
      <w:r>
        <w:rPr>
          <w:rFonts w:hint="default" w:ascii="Times New Roman" w:hAnsi="Times New Roman" w:eastAsia="仿宋_GB2312" w:cs="Times New Roman"/>
          <w:b w:val="0"/>
          <w:bCs/>
          <w:color w:val="auto"/>
          <w:sz w:val="32"/>
          <w:szCs w:val="32"/>
          <w:highlight w:val="none"/>
        </w:rPr>
        <w:t>加快构建现代化工业产业体系、现代化农业产业体系、现代化服务业体系，三次产业结构更加优化。水稻</w:t>
      </w:r>
      <w:r>
        <w:rPr>
          <w:rFonts w:hint="default" w:ascii="Times New Roman" w:hAnsi="Times New Roman" w:eastAsia="仿宋_GB2312" w:cs="Times New Roman"/>
          <w:b w:val="0"/>
          <w:bCs/>
          <w:color w:val="auto"/>
          <w:sz w:val="32"/>
          <w:szCs w:val="32"/>
          <w:highlight w:val="none"/>
          <w:lang w:eastAsia="zh"/>
        </w:rPr>
        <w:t>良</w:t>
      </w:r>
      <w:r>
        <w:rPr>
          <w:rFonts w:hint="default" w:ascii="Times New Roman" w:hAnsi="Times New Roman" w:eastAsia="仿宋_GB2312" w:cs="Times New Roman"/>
          <w:b w:val="0"/>
          <w:bCs/>
          <w:color w:val="auto"/>
          <w:sz w:val="32"/>
          <w:szCs w:val="32"/>
          <w:highlight w:val="none"/>
        </w:rPr>
        <w:t>种</w:t>
      </w:r>
      <w:r>
        <w:rPr>
          <w:rFonts w:hint="default" w:ascii="Times New Roman" w:hAnsi="Times New Roman" w:eastAsia="仿宋_GB2312" w:cs="Times New Roman"/>
          <w:b w:val="0"/>
          <w:bCs/>
          <w:color w:val="auto"/>
          <w:sz w:val="32"/>
          <w:szCs w:val="32"/>
          <w:highlight w:val="none"/>
          <w:lang w:eastAsia="zh"/>
        </w:rPr>
        <w:t>“育繁推”一体化发展</w:t>
      </w:r>
      <w:r>
        <w:rPr>
          <w:rFonts w:hint="default" w:ascii="Times New Roman" w:hAnsi="Times New Roman" w:eastAsia="仿宋_GB2312" w:cs="Times New Roman"/>
          <w:b w:val="0"/>
          <w:bCs/>
          <w:color w:val="auto"/>
          <w:sz w:val="32"/>
          <w:szCs w:val="32"/>
          <w:highlight w:val="none"/>
        </w:rPr>
        <w:t>成效</w:t>
      </w:r>
      <w:r>
        <w:rPr>
          <w:rFonts w:hint="default" w:ascii="Times New Roman" w:hAnsi="Times New Roman" w:eastAsia="仿宋_GB2312" w:cs="Times New Roman"/>
          <w:b w:val="0"/>
          <w:bCs/>
          <w:color w:val="auto"/>
          <w:sz w:val="32"/>
          <w:szCs w:val="32"/>
          <w:highlight w:val="none"/>
          <w:lang w:eastAsia="zh"/>
        </w:rPr>
        <w:t>进一步凸显</w:t>
      </w:r>
      <w:r>
        <w:rPr>
          <w:rFonts w:hint="default" w:ascii="Times New Roman" w:hAnsi="Times New Roman" w:eastAsia="仿宋_GB2312" w:cs="Times New Roman"/>
          <w:b w:val="0"/>
          <w:bCs/>
          <w:color w:val="auto"/>
          <w:sz w:val="32"/>
          <w:szCs w:val="32"/>
          <w:highlight w:val="none"/>
        </w:rPr>
        <w:t>，现代种业支撑作用进一步增强，智慧农业水平显著提高，基本实</w:t>
      </w:r>
      <w:r>
        <w:rPr>
          <w:rFonts w:hint="default" w:ascii="Times New Roman" w:hAnsi="Times New Roman" w:eastAsia="仿宋_GB2312" w:cs="Times New Roman"/>
          <w:b w:val="0"/>
          <w:bCs/>
          <w:color w:val="auto"/>
          <w:sz w:val="32"/>
          <w:szCs w:val="32"/>
          <w:highlight w:val="none"/>
          <w:lang w:eastAsia="zh"/>
        </w:rPr>
        <w:t>现</w:t>
      </w:r>
      <w:r>
        <w:rPr>
          <w:rFonts w:hint="default" w:ascii="Times New Roman" w:hAnsi="Times New Roman" w:eastAsia="仿宋_GB2312" w:cs="Times New Roman"/>
          <w:b w:val="0"/>
          <w:bCs/>
          <w:color w:val="auto"/>
          <w:sz w:val="32"/>
          <w:szCs w:val="32"/>
          <w:highlight w:val="none"/>
        </w:rPr>
        <w:t>农业现代化。</w:t>
      </w:r>
      <w:r>
        <w:rPr>
          <w:rFonts w:hint="default" w:ascii="Times New Roman" w:hAnsi="Times New Roman" w:eastAsia="仿宋_GB2312" w:cs="Times New Roman"/>
          <w:b w:val="0"/>
          <w:bCs/>
          <w:color w:val="auto"/>
          <w:sz w:val="32"/>
          <w:szCs w:val="32"/>
          <w:highlight w:val="none"/>
          <w:lang w:eastAsia="zh"/>
        </w:rPr>
        <w:t>大力发展</w:t>
      </w:r>
      <w:r>
        <w:rPr>
          <w:rFonts w:hint="default" w:ascii="Times New Roman" w:hAnsi="Times New Roman" w:eastAsia="仿宋_GB2312" w:cs="Times New Roman"/>
          <w:b w:val="0"/>
          <w:bCs/>
          <w:color w:val="auto"/>
          <w:sz w:val="32"/>
          <w:szCs w:val="32"/>
          <w:highlight w:val="none"/>
        </w:rPr>
        <w:t>战略性新兴产业、</w:t>
      </w:r>
      <w:r>
        <w:rPr>
          <w:rFonts w:hint="default" w:ascii="Times New Roman" w:hAnsi="Times New Roman" w:eastAsia="仿宋_GB2312" w:cs="Times New Roman"/>
          <w:b w:val="0"/>
          <w:bCs/>
          <w:color w:val="auto"/>
          <w:sz w:val="32"/>
          <w:szCs w:val="32"/>
          <w:highlight w:val="none"/>
          <w:lang w:eastAsia="zh"/>
        </w:rPr>
        <w:t>加快布局</w:t>
      </w:r>
      <w:r>
        <w:rPr>
          <w:rFonts w:hint="default" w:ascii="Times New Roman" w:hAnsi="Times New Roman" w:eastAsia="仿宋_GB2312" w:cs="Times New Roman"/>
          <w:b w:val="0"/>
          <w:bCs/>
          <w:color w:val="auto"/>
          <w:sz w:val="32"/>
          <w:szCs w:val="32"/>
          <w:highlight w:val="none"/>
        </w:rPr>
        <w:t>未来产业</w:t>
      </w:r>
      <w:r>
        <w:rPr>
          <w:rFonts w:hint="default" w:ascii="Times New Roman" w:hAnsi="Times New Roman" w:eastAsia="仿宋_GB2312" w:cs="Times New Roman"/>
          <w:b w:val="0"/>
          <w:bCs/>
          <w:color w:val="auto"/>
          <w:sz w:val="32"/>
          <w:szCs w:val="32"/>
          <w:highlight w:val="none"/>
          <w:lang w:eastAsia="zh"/>
        </w:rPr>
        <w:t>，</w:t>
      </w:r>
      <w:r>
        <w:rPr>
          <w:rFonts w:hint="default" w:ascii="Times New Roman" w:hAnsi="Times New Roman" w:eastAsia="仿宋_GB2312" w:cs="Times New Roman"/>
          <w:b w:val="0"/>
          <w:bCs/>
          <w:color w:val="auto"/>
          <w:sz w:val="32"/>
          <w:szCs w:val="32"/>
          <w:highlight w:val="none"/>
        </w:rPr>
        <w:t>新型工业化取得突破性进展，工业产值实现倍增。</w:t>
      </w:r>
    </w:p>
    <w:p w14:paraId="4C7E6518">
      <w:pPr>
        <w:pageBreakBefore w:val="0"/>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381" w:name="_Toc8820"/>
      <w:bookmarkStart w:id="382" w:name="_Toc4345"/>
      <w:bookmarkStart w:id="383" w:name="_Toc1931"/>
      <w:bookmarkStart w:id="384" w:name="_Toc1235494263"/>
      <w:bookmarkStart w:id="385" w:name="_Toc28649"/>
      <w:bookmarkStart w:id="386" w:name="_Toc27767"/>
      <w:bookmarkStart w:id="387" w:name="_Toc27672"/>
      <w:bookmarkStart w:id="388" w:name="_Toc8373"/>
      <w:bookmarkStart w:id="389" w:name="_Toc1752846854"/>
      <w:bookmarkStart w:id="390" w:name="_Toc14323"/>
      <w:bookmarkStart w:id="391" w:name="_Toc31944"/>
      <w:bookmarkStart w:id="392" w:name="_Toc32187"/>
      <w:bookmarkStart w:id="393" w:name="_Toc829479308"/>
      <w:bookmarkStart w:id="394" w:name="_Toc1940"/>
      <w:bookmarkStart w:id="395" w:name="_Toc8708"/>
      <w:bookmarkStart w:id="396" w:name="_Toc29429"/>
      <w:bookmarkStart w:id="397" w:name="_Toc695510105"/>
      <w:bookmarkStart w:id="398" w:name="_Toc26041"/>
      <w:bookmarkStart w:id="399" w:name="_Toc18838"/>
      <w:bookmarkStart w:id="400" w:name="_Toc2222"/>
      <w:r>
        <w:rPr>
          <w:rFonts w:hint="default" w:ascii="Times New Roman" w:hAnsi="Times New Roman" w:eastAsia="仿宋_GB2312" w:cs="Times New Roman"/>
          <w:b w:val="0"/>
          <w:bCs/>
          <w:color w:val="auto"/>
          <w:sz w:val="32"/>
          <w:szCs w:val="32"/>
          <w:highlight w:val="none"/>
          <w:u w:val="none"/>
          <w:lang w:val="en-US" w:eastAsia="zh-CN" w:bidi="ar"/>
          <w:woUserID w:val="0"/>
        </w:rPr>
        <w:t>第</w:t>
      </w:r>
      <w:r>
        <w:rPr>
          <w:rFonts w:hint="default" w:ascii="Times New Roman" w:hAnsi="Times New Roman" w:eastAsia="仿宋_GB2312" w:cs="Times New Roman"/>
          <w:b w:val="0"/>
          <w:bCs/>
          <w:color w:val="auto"/>
          <w:sz w:val="32"/>
          <w:szCs w:val="32"/>
          <w:highlight w:val="none"/>
          <w:u w:val="none"/>
          <w:lang w:val="en-US" w:eastAsia="zh" w:bidi="ar"/>
          <w:woUserID w:val="0"/>
        </w:rPr>
        <w:t>三</w:t>
      </w:r>
      <w:r>
        <w:rPr>
          <w:rFonts w:hint="default" w:ascii="Times New Roman" w:hAnsi="Times New Roman" w:eastAsia="仿宋_GB2312" w:cs="Times New Roman"/>
          <w:b w:val="0"/>
          <w:bCs/>
          <w:color w:val="auto"/>
          <w:sz w:val="32"/>
          <w:szCs w:val="32"/>
          <w:highlight w:val="none"/>
          <w:u w:val="none"/>
          <w:lang w:val="en-US" w:eastAsia="zh-CN" w:bidi="ar"/>
          <w:woUserID w:val="0"/>
        </w:rPr>
        <w:t xml:space="preserve">节 </w:t>
      </w:r>
      <w:r>
        <w:rPr>
          <w:rFonts w:hint="default" w:ascii="Times New Roman" w:hAnsi="Times New Roman" w:eastAsia="仿宋_GB2312" w:cs="Times New Roman"/>
          <w:b w:val="0"/>
          <w:bCs/>
          <w:color w:val="auto"/>
          <w:sz w:val="32"/>
          <w:szCs w:val="32"/>
          <w:highlight w:val="none"/>
          <w:u w:val="none"/>
          <w:lang w:eastAsia="zh" w:bidi="ar"/>
          <w:woUserID w:val="0"/>
        </w:rPr>
        <w:t>全面深化改革实现新突破</w:t>
      </w:r>
      <w:bookmarkEnd w:id="381"/>
      <w:bookmarkEnd w:id="382"/>
      <w:bookmarkEnd w:id="383"/>
      <w:bookmarkEnd w:id="384"/>
      <w:bookmarkEnd w:id="385"/>
      <w:bookmarkEnd w:id="386"/>
      <w:bookmarkEnd w:id="387"/>
      <w:bookmarkEnd w:id="388"/>
      <w:bookmarkEnd w:id="389"/>
      <w:bookmarkEnd w:id="390"/>
      <w:bookmarkEnd w:id="391"/>
    </w:p>
    <w:p w14:paraId="74A8E985">
      <w:pPr>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auto"/>
          <w:sz w:val="32"/>
          <w:szCs w:val="32"/>
          <w:highlight w:val="none"/>
        </w:rPr>
      </w:pPr>
      <w:r>
        <w:rPr>
          <w:rFonts w:hint="default" w:ascii="Times New Roman" w:hAnsi="Times New Roman" w:eastAsia="仿宋_GB2312" w:cs="Times New Roman"/>
          <w:b w:val="0"/>
          <w:bCs/>
          <w:color w:val="auto"/>
          <w:sz w:val="32"/>
          <w:szCs w:val="32"/>
          <w:highlight w:val="none"/>
        </w:rPr>
        <w:t>深入推进县域治理体系和治理能力现代化，重点领域和关键环节改革取得突破性进展，高质量发展体制机制更加完善，市场化、法治化、国际化营商环境达到全国一流水平，民营经济发展活力明显增强，更高水平开放型经济体制机制基本形成，在全市扩大高水平对外开放格局中的地位作用显著提升。</w:t>
      </w:r>
    </w:p>
    <w:p w14:paraId="38E2DDC4">
      <w:pPr>
        <w:pageBreakBefore w:val="0"/>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r>
        <w:rPr>
          <w:rFonts w:hint="default" w:ascii="Times New Roman" w:hAnsi="Times New Roman" w:eastAsia="仿宋_GB2312" w:cs="Times New Roman"/>
          <w:b w:val="0"/>
          <w:bCs/>
          <w:color w:val="auto"/>
          <w:sz w:val="32"/>
          <w:szCs w:val="32"/>
          <w:highlight w:val="none"/>
          <w:u w:val="none"/>
          <w:lang w:val="en-US" w:eastAsia="zh-CN" w:bidi="ar"/>
          <w:woUserID w:val="0"/>
        </w:rPr>
        <w:t xml:space="preserve">第四节 </w:t>
      </w:r>
      <w:r>
        <w:rPr>
          <w:rFonts w:hint="default" w:ascii="Times New Roman" w:hAnsi="Times New Roman" w:eastAsia="仿宋_GB2312" w:cs="Times New Roman"/>
          <w:b w:val="0"/>
          <w:bCs/>
          <w:color w:val="auto"/>
          <w:sz w:val="32"/>
          <w:szCs w:val="32"/>
          <w:highlight w:val="none"/>
          <w:u w:val="none"/>
          <w:lang w:eastAsia="zh" w:bidi="ar"/>
          <w:woUserID w:val="0"/>
        </w:rPr>
        <w:t>社会文明程度得到新提高</w:t>
      </w:r>
      <w:bookmarkEnd w:id="392"/>
      <w:bookmarkEnd w:id="393"/>
      <w:bookmarkEnd w:id="394"/>
      <w:bookmarkEnd w:id="395"/>
      <w:bookmarkEnd w:id="396"/>
      <w:bookmarkEnd w:id="397"/>
      <w:bookmarkEnd w:id="398"/>
      <w:bookmarkEnd w:id="399"/>
      <w:bookmarkEnd w:id="400"/>
    </w:p>
    <w:p w14:paraId="4EBEA370">
      <w:pPr>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auto"/>
          <w:sz w:val="32"/>
          <w:szCs w:val="32"/>
          <w:highlight w:val="none"/>
        </w:rPr>
      </w:pPr>
      <w:r>
        <w:rPr>
          <w:rFonts w:hint="default" w:ascii="Times New Roman" w:hAnsi="Times New Roman" w:eastAsia="仿宋_GB2312" w:cs="Times New Roman"/>
          <w:b w:val="0"/>
          <w:bCs/>
          <w:color w:val="auto"/>
          <w:sz w:val="32"/>
          <w:szCs w:val="32"/>
          <w:highlight w:val="none"/>
        </w:rPr>
        <w:t>不断巩固壮大主流思想舆论，广泛践行社会主义核心价值观，文化创新创造活力不断激发，文化事业和文化产业繁荣发展，公共文化服务体系更加健全，人民群众精神文化生活更加丰富，城市知名度、美誉度、影响力不断提升，文化和旅游深度融合发展，特色文化旅游实现全域全季高质量发展，成为战略性支柱产业、民生产业、幸福产业。</w:t>
      </w:r>
    </w:p>
    <w:p w14:paraId="50995DED">
      <w:pPr>
        <w:pageBreakBefore w:val="0"/>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401" w:name="_Toc17207"/>
      <w:bookmarkStart w:id="402" w:name="_Toc1104263715"/>
      <w:bookmarkStart w:id="403" w:name="_Toc26708"/>
      <w:bookmarkStart w:id="404" w:name="_Toc2801"/>
      <w:bookmarkStart w:id="405" w:name="_Toc26409"/>
      <w:bookmarkStart w:id="406" w:name="_Toc19158"/>
      <w:bookmarkStart w:id="407" w:name="_Toc25405"/>
      <w:bookmarkStart w:id="408" w:name="_Toc24318"/>
      <w:bookmarkStart w:id="409" w:name="_Toc19004"/>
      <w:bookmarkStart w:id="410" w:name="_Toc11884"/>
      <w:bookmarkStart w:id="411" w:name="_Toc99089877"/>
      <w:r>
        <w:rPr>
          <w:rFonts w:hint="default" w:ascii="Times New Roman" w:hAnsi="Times New Roman" w:eastAsia="仿宋_GB2312" w:cs="Times New Roman"/>
          <w:b w:val="0"/>
          <w:bCs/>
          <w:color w:val="auto"/>
          <w:sz w:val="32"/>
          <w:szCs w:val="32"/>
          <w:highlight w:val="none"/>
          <w:u w:val="none"/>
          <w:lang w:val="en-US" w:eastAsia="zh-CN" w:bidi="ar"/>
          <w:woUserID w:val="0"/>
        </w:rPr>
        <w:t xml:space="preserve">第五节 </w:t>
      </w:r>
      <w:r>
        <w:rPr>
          <w:rFonts w:hint="default" w:ascii="Times New Roman" w:hAnsi="Times New Roman" w:eastAsia="仿宋_GB2312" w:cs="Times New Roman"/>
          <w:b w:val="0"/>
          <w:bCs/>
          <w:color w:val="auto"/>
          <w:sz w:val="32"/>
          <w:szCs w:val="32"/>
          <w:highlight w:val="none"/>
          <w:u w:val="none"/>
          <w:lang w:eastAsia="zh" w:bidi="ar"/>
          <w:woUserID w:val="0"/>
        </w:rPr>
        <w:t>人民生活品质达到新水平</w:t>
      </w:r>
      <w:bookmarkEnd w:id="401"/>
      <w:bookmarkEnd w:id="402"/>
      <w:bookmarkEnd w:id="403"/>
      <w:bookmarkEnd w:id="404"/>
      <w:bookmarkEnd w:id="405"/>
      <w:bookmarkEnd w:id="406"/>
      <w:bookmarkEnd w:id="407"/>
      <w:bookmarkEnd w:id="408"/>
      <w:bookmarkEnd w:id="409"/>
      <w:bookmarkEnd w:id="410"/>
      <w:bookmarkEnd w:id="411"/>
    </w:p>
    <w:p w14:paraId="6DF304D2">
      <w:pPr>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auto"/>
          <w:sz w:val="32"/>
          <w:szCs w:val="32"/>
          <w:highlight w:val="none"/>
        </w:rPr>
      </w:pPr>
      <w:r>
        <w:rPr>
          <w:rFonts w:hint="default" w:ascii="Times New Roman" w:hAnsi="Times New Roman" w:eastAsia="仿宋_GB2312" w:cs="Times New Roman"/>
          <w:b w:val="0"/>
          <w:bCs/>
          <w:color w:val="auto"/>
          <w:sz w:val="32"/>
          <w:szCs w:val="32"/>
          <w:highlight w:val="none"/>
        </w:rPr>
        <w:t>城乡居民收入增长与经济增长基本同步，高质量充分就业</w:t>
      </w:r>
      <w:r>
        <w:rPr>
          <w:rFonts w:hint="default" w:ascii="Times New Roman" w:hAnsi="Times New Roman" w:eastAsia="仿宋_GB2312" w:cs="Times New Roman"/>
          <w:b w:val="0"/>
          <w:bCs/>
          <w:color w:val="auto"/>
          <w:sz w:val="32"/>
          <w:szCs w:val="32"/>
          <w:highlight w:val="none"/>
          <w:lang w:eastAsia="zh"/>
        </w:rPr>
        <w:t>取得</w:t>
      </w:r>
      <w:r>
        <w:rPr>
          <w:rFonts w:hint="default" w:ascii="Times New Roman" w:hAnsi="Times New Roman" w:eastAsia="仿宋_GB2312" w:cs="Times New Roman"/>
          <w:b w:val="0"/>
          <w:bCs/>
          <w:color w:val="auto"/>
          <w:sz w:val="32"/>
          <w:szCs w:val="32"/>
          <w:highlight w:val="none"/>
        </w:rPr>
        <w:t>新进展，同步</w:t>
      </w:r>
      <w:r>
        <w:rPr>
          <w:rFonts w:hint="default" w:ascii="Times New Roman" w:hAnsi="Times New Roman" w:eastAsia="仿宋_GB2312" w:cs="Times New Roman"/>
          <w:b w:val="0"/>
          <w:bCs/>
          <w:color w:val="auto"/>
          <w:sz w:val="32"/>
          <w:szCs w:val="32"/>
          <w:highlight w:val="none"/>
          <w:lang w:eastAsia="zh"/>
        </w:rPr>
        <w:t>提高</w:t>
      </w:r>
      <w:r>
        <w:rPr>
          <w:rFonts w:hint="default" w:ascii="Times New Roman" w:hAnsi="Times New Roman" w:eastAsia="仿宋_GB2312" w:cs="Times New Roman"/>
          <w:b w:val="0"/>
          <w:bCs/>
          <w:color w:val="auto"/>
          <w:sz w:val="32"/>
          <w:szCs w:val="32"/>
          <w:highlight w:val="none"/>
        </w:rPr>
        <w:t>劳动报酬</w:t>
      </w:r>
      <w:r>
        <w:rPr>
          <w:rFonts w:hint="default" w:ascii="Times New Roman" w:hAnsi="Times New Roman" w:eastAsia="仿宋_GB2312" w:cs="Times New Roman"/>
          <w:b w:val="0"/>
          <w:bCs/>
          <w:color w:val="auto"/>
          <w:sz w:val="32"/>
          <w:szCs w:val="32"/>
          <w:highlight w:val="none"/>
          <w:lang w:eastAsia="zh"/>
        </w:rPr>
        <w:t>和</w:t>
      </w:r>
      <w:r>
        <w:rPr>
          <w:rFonts w:hint="default" w:ascii="Times New Roman" w:hAnsi="Times New Roman" w:eastAsia="仿宋_GB2312" w:cs="Times New Roman"/>
          <w:b w:val="0"/>
          <w:bCs/>
          <w:color w:val="auto"/>
          <w:sz w:val="32"/>
          <w:szCs w:val="32"/>
          <w:highlight w:val="none"/>
        </w:rPr>
        <w:t>劳动生产力，持续扩大中等收入群体</w:t>
      </w:r>
      <w:r>
        <w:rPr>
          <w:rFonts w:hint="default" w:ascii="Times New Roman" w:hAnsi="Times New Roman" w:eastAsia="仿宋_GB2312" w:cs="Times New Roman"/>
          <w:b w:val="0"/>
          <w:bCs/>
          <w:color w:val="auto"/>
          <w:sz w:val="32"/>
          <w:szCs w:val="32"/>
          <w:highlight w:val="none"/>
          <w:lang w:eastAsia="zh"/>
        </w:rPr>
        <w:t>，不断优化</w:t>
      </w:r>
      <w:r>
        <w:rPr>
          <w:rFonts w:hint="default" w:ascii="Times New Roman" w:hAnsi="Times New Roman" w:eastAsia="仿宋_GB2312" w:cs="Times New Roman"/>
          <w:b w:val="0"/>
          <w:bCs/>
          <w:color w:val="auto"/>
          <w:sz w:val="32"/>
          <w:szCs w:val="32"/>
          <w:highlight w:val="none"/>
        </w:rPr>
        <w:t>分配结构，社会保障制度更</w:t>
      </w:r>
      <w:r>
        <w:rPr>
          <w:rFonts w:hint="default" w:ascii="Times New Roman" w:hAnsi="Times New Roman" w:eastAsia="仿宋_GB2312" w:cs="Times New Roman"/>
          <w:b w:val="0"/>
          <w:bCs/>
          <w:color w:val="auto"/>
          <w:sz w:val="32"/>
          <w:szCs w:val="32"/>
          <w:highlight w:val="none"/>
          <w:lang w:eastAsia="zh"/>
        </w:rPr>
        <w:t>全面</w:t>
      </w:r>
      <w:r>
        <w:rPr>
          <w:rFonts w:hint="default" w:ascii="Times New Roman" w:hAnsi="Times New Roman" w:eastAsia="仿宋_GB2312" w:cs="Times New Roman"/>
          <w:b w:val="0"/>
          <w:bCs/>
          <w:color w:val="auto"/>
          <w:sz w:val="32"/>
          <w:szCs w:val="32"/>
          <w:highlight w:val="none"/>
        </w:rPr>
        <w:t>更可持续</w:t>
      </w:r>
      <w:r>
        <w:rPr>
          <w:rFonts w:hint="default" w:ascii="Times New Roman" w:hAnsi="Times New Roman" w:eastAsia="仿宋_GB2312" w:cs="Times New Roman"/>
          <w:b w:val="0"/>
          <w:bCs/>
          <w:color w:val="auto"/>
          <w:sz w:val="32"/>
          <w:szCs w:val="32"/>
          <w:highlight w:val="none"/>
          <w:lang w:eastAsia="zh"/>
        </w:rPr>
        <w:t>。</w:t>
      </w:r>
      <w:r>
        <w:rPr>
          <w:rFonts w:hint="default" w:ascii="Times New Roman" w:hAnsi="Times New Roman" w:eastAsia="仿宋_GB2312" w:cs="Times New Roman"/>
          <w:b w:val="0"/>
          <w:bCs/>
          <w:color w:val="auto"/>
          <w:sz w:val="32"/>
          <w:szCs w:val="32"/>
          <w:highlight w:val="none"/>
        </w:rPr>
        <w:t>公共服务、社会治理和安全水平明显提升，依法治县深入推进，民主法治更加健全，社会公平正义进一步彰显，人民群众获得感、幸福感、安全感持续增强。</w:t>
      </w:r>
    </w:p>
    <w:p w14:paraId="40FBC01D">
      <w:pPr>
        <w:pageBreakBefore w:val="0"/>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412" w:name="_Toc16299"/>
      <w:bookmarkStart w:id="413" w:name="_Toc13422"/>
      <w:bookmarkStart w:id="414" w:name="_Toc10356"/>
      <w:bookmarkStart w:id="415" w:name="_Toc22124"/>
      <w:bookmarkStart w:id="416" w:name="_Toc15582"/>
      <w:bookmarkStart w:id="417" w:name="_Toc765717304"/>
      <w:bookmarkStart w:id="418" w:name="_Toc2275"/>
      <w:bookmarkStart w:id="419" w:name="_Toc4327"/>
      <w:bookmarkStart w:id="420" w:name="_Toc1200609550"/>
      <w:r>
        <w:rPr>
          <w:rFonts w:hint="default" w:ascii="Times New Roman" w:hAnsi="Times New Roman" w:eastAsia="仿宋_GB2312" w:cs="Times New Roman"/>
          <w:b w:val="0"/>
          <w:bCs/>
          <w:color w:val="auto"/>
          <w:sz w:val="32"/>
          <w:szCs w:val="32"/>
          <w:highlight w:val="none"/>
          <w:u w:val="none"/>
          <w:lang w:val="en-US" w:eastAsia="zh-CN" w:bidi="ar"/>
          <w:woUserID w:val="0"/>
        </w:rPr>
        <w:t>第</w:t>
      </w:r>
      <w:r>
        <w:rPr>
          <w:rFonts w:hint="default" w:ascii="Times New Roman" w:hAnsi="Times New Roman" w:eastAsia="仿宋_GB2312" w:cs="Times New Roman"/>
          <w:b w:val="0"/>
          <w:bCs/>
          <w:color w:val="auto"/>
          <w:sz w:val="32"/>
          <w:szCs w:val="32"/>
          <w:highlight w:val="none"/>
          <w:u w:val="none"/>
          <w:lang w:val="en-US" w:eastAsia="zh" w:bidi="ar"/>
          <w:woUserID w:val="0"/>
        </w:rPr>
        <w:t>六</w:t>
      </w:r>
      <w:r>
        <w:rPr>
          <w:rFonts w:hint="default" w:ascii="Times New Roman" w:hAnsi="Times New Roman" w:eastAsia="仿宋_GB2312" w:cs="Times New Roman"/>
          <w:b w:val="0"/>
          <w:bCs/>
          <w:color w:val="auto"/>
          <w:sz w:val="32"/>
          <w:szCs w:val="32"/>
          <w:highlight w:val="none"/>
          <w:u w:val="none"/>
          <w:lang w:val="en-US" w:eastAsia="zh-CN" w:bidi="ar"/>
          <w:woUserID w:val="0"/>
        </w:rPr>
        <w:t xml:space="preserve">节 </w:t>
      </w:r>
      <w:r>
        <w:rPr>
          <w:rFonts w:hint="default" w:ascii="Times New Roman" w:hAnsi="Times New Roman" w:eastAsia="仿宋_GB2312" w:cs="Times New Roman"/>
          <w:b w:val="0"/>
          <w:bCs/>
          <w:color w:val="auto"/>
          <w:sz w:val="32"/>
          <w:szCs w:val="32"/>
          <w:highlight w:val="none"/>
          <w:u w:val="none"/>
          <w:lang w:eastAsia="zh" w:bidi="ar"/>
          <w:woUserID w:val="0"/>
        </w:rPr>
        <w:t>生态文明建设取得新进展</w:t>
      </w:r>
      <w:bookmarkEnd w:id="412"/>
      <w:bookmarkEnd w:id="413"/>
      <w:bookmarkEnd w:id="414"/>
      <w:bookmarkEnd w:id="415"/>
      <w:bookmarkEnd w:id="416"/>
      <w:bookmarkEnd w:id="417"/>
      <w:bookmarkEnd w:id="418"/>
      <w:bookmarkEnd w:id="419"/>
      <w:bookmarkEnd w:id="420"/>
    </w:p>
    <w:p w14:paraId="47F759D4">
      <w:pPr>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auto"/>
          <w:sz w:val="32"/>
          <w:szCs w:val="32"/>
          <w:highlight w:val="none"/>
        </w:rPr>
      </w:pPr>
      <w:r>
        <w:rPr>
          <w:rFonts w:hint="default" w:ascii="Times New Roman" w:hAnsi="Times New Roman" w:eastAsia="仿宋_GB2312" w:cs="Times New Roman"/>
          <w:b w:val="0"/>
          <w:bCs/>
          <w:color w:val="auto"/>
          <w:sz w:val="32"/>
          <w:szCs w:val="32"/>
          <w:highlight w:val="none"/>
          <w:lang w:eastAsia="zh"/>
        </w:rPr>
        <w:t>进一步</w:t>
      </w:r>
      <w:r>
        <w:rPr>
          <w:rFonts w:hint="default" w:ascii="Times New Roman" w:hAnsi="Times New Roman" w:eastAsia="仿宋_GB2312" w:cs="Times New Roman"/>
          <w:b w:val="0"/>
          <w:bCs/>
          <w:color w:val="auto"/>
          <w:sz w:val="32"/>
          <w:szCs w:val="32"/>
          <w:highlight w:val="none"/>
        </w:rPr>
        <w:t>巩固提升大气污染治理、水环境质量改善、土壤污染防治</w:t>
      </w:r>
      <w:r>
        <w:rPr>
          <w:rFonts w:hint="default" w:ascii="Times New Roman" w:hAnsi="Times New Roman" w:eastAsia="仿宋_GB2312" w:cs="Times New Roman"/>
          <w:b w:val="0"/>
          <w:bCs/>
          <w:color w:val="auto"/>
          <w:sz w:val="32"/>
          <w:szCs w:val="32"/>
          <w:highlight w:val="none"/>
          <w:lang w:eastAsia="zh"/>
        </w:rPr>
        <w:t>取得的各项</w:t>
      </w:r>
      <w:r>
        <w:rPr>
          <w:rFonts w:hint="default" w:ascii="Times New Roman" w:hAnsi="Times New Roman" w:eastAsia="仿宋_GB2312" w:cs="Times New Roman"/>
          <w:b w:val="0"/>
          <w:bCs/>
          <w:color w:val="auto"/>
          <w:sz w:val="32"/>
          <w:szCs w:val="32"/>
          <w:highlight w:val="none"/>
        </w:rPr>
        <w:t>成果，主要污染物排放总量持续减少，生态保护修复全面加强，生态系统多样性、稳定性、持续性显著提升，绿色生产生活方式基本形成，资源节约集约利用水平显著提高，生态产业化和产业生态化加快推进，生态价值加快转化，美丽桦川建设取得</w:t>
      </w:r>
      <w:r>
        <w:rPr>
          <w:rFonts w:hint="default" w:ascii="Times New Roman" w:hAnsi="Times New Roman" w:eastAsia="仿宋_GB2312" w:cs="Times New Roman"/>
          <w:b w:val="0"/>
          <w:bCs/>
          <w:color w:val="auto"/>
          <w:sz w:val="32"/>
          <w:szCs w:val="32"/>
          <w:highlight w:val="none"/>
          <w:lang w:eastAsia="zh"/>
        </w:rPr>
        <w:t>阶段</w:t>
      </w:r>
      <w:r>
        <w:rPr>
          <w:rFonts w:hint="default" w:ascii="Times New Roman" w:hAnsi="Times New Roman" w:eastAsia="仿宋_GB2312" w:cs="Times New Roman"/>
          <w:b w:val="0"/>
          <w:bCs/>
          <w:color w:val="auto"/>
          <w:sz w:val="32"/>
          <w:szCs w:val="32"/>
          <w:highlight w:val="none"/>
        </w:rPr>
        <w:t>性进展。</w:t>
      </w:r>
    </w:p>
    <w:p w14:paraId="3A9FC2AE">
      <w:pPr>
        <w:pageBreakBefore w:val="0"/>
        <w:kinsoku/>
        <w:wordWrap/>
        <w:overflowPunct/>
        <w:topLinePunct w:val="0"/>
        <w:autoSpaceDE/>
        <w:autoSpaceDN/>
        <w:bidi w:val="0"/>
        <w:adjustRightInd/>
        <w:snapToGri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val="en-US" w:eastAsia="zh" w:bidi="ar"/>
          <w:woUserID w:val="0"/>
        </w:rPr>
      </w:pPr>
      <w:bookmarkStart w:id="421" w:name="_Toc27017"/>
      <w:bookmarkStart w:id="422" w:name="_Toc30054"/>
      <w:bookmarkStart w:id="423" w:name="_Toc22764"/>
      <w:bookmarkStart w:id="424" w:name="_Toc1469224077"/>
      <w:bookmarkStart w:id="425" w:name="_Toc2606"/>
      <w:bookmarkStart w:id="426" w:name="_Toc11924"/>
      <w:bookmarkStart w:id="427" w:name="_Toc30009"/>
      <w:bookmarkStart w:id="428" w:name="_Toc1704429474"/>
      <w:bookmarkStart w:id="429" w:name="_Toc12705"/>
      <w:bookmarkStart w:id="430" w:name="_Toc18771"/>
      <w:bookmarkStart w:id="431" w:name="_Toc10001"/>
      <w:r>
        <w:rPr>
          <w:rFonts w:hint="default" w:ascii="Times New Roman" w:hAnsi="Times New Roman" w:eastAsia="仿宋_GB2312" w:cs="Times New Roman"/>
          <w:b w:val="0"/>
          <w:bCs/>
          <w:color w:val="auto"/>
          <w:sz w:val="32"/>
          <w:szCs w:val="32"/>
          <w:highlight w:val="none"/>
          <w:u w:val="none"/>
          <w:lang w:val="en-US" w:eastAsia="zh-CN" w:bidi="ar"/>
          <w:woUserID w:val="0"/>
        </w:rPr>
        <w:t>第</w:t>
      </w:r>
      <w:r>
        <w:rPr>
          <w:rFonts w:hint="default" w:ascii="Times New Roman" w:hAnsi="Times New Roman" w:eastAsia="仿宋_GB2312" w:cs="Times New Roman"/>
          <w:b w:val="0"/>
          <w:bCs/>
          <w:color w:val="auto"/>
          <w:sz w:val="32"/>
          <w:szCs w:val="32"/>
          <w:highlight w:val="none"/>
          <w:u w:val="none"/>
          <w:lang w:val="en-US" w:eastAsia="zh" w:bidi="ar"/>
          <w:woUserID w:val="0"/>
        </w:rPr>
        <w:t>七</w:t>
      </w:r>
      <w:r>
        <w:rPr>
          <w:rFonts w:hint="default" w:ascii="Times New Roman" w:hAnsi="Times New Roman" w:eastAsia="仿宋_GB2312" w:cs="Times New Roman"/>
          <w:b w:val="0"/>
          <w:bCs/>
          <w:color w:val="auto"/>
          <w:sz w:val="32"/>
          <w:szCs w:val="32"/>
          <w:highlight w:val="none"/>
          <w:u w:val="none"/>
          <w:lang w:val="en-US" w:eastAsia="zh-CN" w:bidi="ar"/>
          <w:woUserID w:val="0"/>
        </w:rPr>
        <w:t xml:space="preserve">节 </w:t>
      </w:r>
      <w:r>
        <w:rPr>
          <w:rFonts w:hint="default" w:ascii="Times New Roman" w:hAnsi="Times New Roman" w:eastAsia="仿宋_GB2312" w:cs="Times New Roman"/>
          <w:b w:val="0"/>
          <w:bCs/>
          <w:color w:val="auto"/>
          <w:sz w:val="32"/>
          <w:szCs w:val="32"/>
          <w:highlight w:val="none"/>
          <w:u w:val="none"/>
          <w:lang w:val="en-US" w:eastAsia="zh" w:bidi="ar"/>
          <w:woUserID w:val="0"/>
        </w:rPr>
        <w:t>良好政治生态呈现新气象</w:t>
      </w:r>
      <w:bookmarkEnd w:id="421"/>
      <w:bookmarkEnd w:id="422"/>
      <w:bookmarkEnd w:id="423"/>
      <w:bookmarkEnd w:id="424"/>
      <w:bookmarkEnd w:id="425"/>
      <w:bookmarkEnd w:id="426"/>
      <w:bookmarkEnd w:id="427"/>
      <w:bookmarkEnd w:id="428"/>
      <w:bookmarkEnd w:id="429"/>
      <w:bookmarkEnd w:id="430"/>
      <w:bookmarkEnd w:id="431"/>
    </w:p>
    <w:p w14:paraId="2E6B80C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color w:val="auto"/>
          <w:sz w:val="32"/>
          <w:szCs w:val="32"/>
          <w:highlight w:val="none"/>
        </w:rPr>
      </w:pPr>
      <w:r>
        <w:rPr>
          <w:rFonts w:hint="default" w:ascii="Times New Roman" w:hAnsi="Times New Roman" w:eastAsia="仿宋_GB2312" w:cs="Times New Roman"/>
          <w:b w:val="0"/>
          <w:bCs/>
          <w:color w:val="auto"/>
          <w:sz w:val="32"/>
          <w:szCs w:val="32"/>
          <w:highlight w:val="none"/>
        </w:rPr>
        <w:t>全面加强党的领导，各级党组织和党员干部政治判断力、政治领悟力、政治执行力不断提高，全面从严治党体系进一步健全，权力监督、执法执纪、风腐同查同治机制进一步完善，反腐败治理综合效能不断显现，国防动员和后备力量建设持续深化，干部队伍纪律规矩意识显著增强、能力作风全面提升、干事创业精气神全面提振，勤廉文化深入人心，社会新风正气更加充盈。</w:t>
      </w:r>
    </w:p>
    <w:p w14:paraId="207A0858">
      <w:pPr>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rPr>
      </w:pPr>
      <w:r>
        <w:rPr>
          <w:rFonts w:hint="default" w:ascii="Times New Roman" w:hAnsi="Times New Roman" w:eastAsia="仿宋_GB2312" w:cs="Times New Roman"/>
          <w:b w:val="0"/>
          <w:bCs/>
          <w:color w:val="auto"/>
          <w:sz w:val="32"/>
          <w:szCs w:val="32"/>
          <w:highlight w:val="none"/>
        </w:rPr>
        <w:t>在此基础上再奋斗5年，到二〇三五年，我县经济实力、科技实力、综合实力取得新突破新跨越，与全国同步基本实现社会主义现代化，率先实现农业现代化并稳居全国领先地位，基本实现新型工业化、信息化、城镇化，在全省、全市发展大局中的地位更加</w:t>
      </w:r>
      <w:r>
        <w:rPr>
          <w:rFonts w:hint="default" w:ascii="Times New Roman" w:hAnsi="Times New Roman" w:eastAsia="仿宋_GB2312" w:cs="Times New Roman"/>
          <w:b w:val="0"/>
          <w:bCs/>
          <w:color w:val="auto"/>
          <w:sz w:val="32"/>
          <w:szCs w:val="32"/>
          <w:highlight w:val="none"/>
          <w:lang w:eastAsia="zh"/>
        </w:rPr>
        <w:t>突出</w:t>
      </w:r>
      <w:r>
        <w:rPr>
          <w:rFonts w:hint="default" w:ascii="Times New Roman" w:hAnsi="Times New Roman" w:eastAsia="仿宋_GB2312" w:cs="Times New Roman"/>
          <w:b w:val="0"/>
          <w:bCs/>
          <w:color w:val="auto"/>
          <w:sz w:val="32"/>
          <w:szCs w:val="32"/>
          <w:highlight w:val="none"/>
        </w:rPr>
        <w:t>，建成发展质量更高、创新能力更强、营商环境更好、动力活力更足、生态环境更优、人民生活更幸福的现代化强县。</w:t>
      </w:r>
    </w:p>
    <w:tbl>
      <w:tblPr>
        <w:tblStyle w:val="25"/>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26"/>
        <w:gridCol w:w="1805"/>
        <w:gridCol w:w="2007"/>
        <w:gridCol w:w="977"/>
        <w:gridCol w:w="1744"/>
        <w:gridCol w:w="871"/>
        <w:gridCol w:w="955"/>
      </w:tblGrid>
      <w:tr w14:paraId="3B9C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0" w:hRule="atLeast"/>
          <w:jc w:val="center"/>
        </w:trPr>
        <w:tc>
          <w:tcPr>
            <w:tcW w:w="9185"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1BBACC50">
            <w:pPr>
              <w:keepNext w:val="0"/>
              <w:keepLines w:val="0"/>
              <w:widowControl/>
              <w:suppressLineNumbers w:val="0"/>
              <w:spacing w:before="156" w:beforeLines="50" w:beforeAutospacing="0" w:after="156" w:afterLines="50" w:afterAutospacing="0" w:line="400" w:lineRule="exact"/>
              <w:ind w:left="0" w:right="0"/>
              <w:jc w:val="center"/>
              <w:rPr>
                <w:rFonts w:hint="default" w:ascii="Times New Roman" w:hAnsi="Times New Roman" w:eastAsia="楷体" w:cs="Times New Roman"/>
                <w:b/>
                <w:bCs/>
                <w:color w:val="auto"/>
                <w:sz w:val="24"/>
                <w:szCs w:val="24"/>
                <w:highlight w:val="none"/>
                <w:u w:val="none"/>
                <w14:ligatures w14:val="standardContextual"/>
              </w:rPr>
            </w:pPr>
            <w:r>
              <w:rPr>
                <w:rFonts w:hint="default" w:ascii="Times New Roman" w:hAnsi="Times New Roman" w:eastAsia="楷体" w:cs="Times New Roman"/>
                <w:b w:val="0"/>
                <w:bCs w:val="0"/>
                <w:color w:val="auto"/>
                <w:sz w:val="24"/>
                <w:szCs w:val="24"/>
                <w:highlight w:val="none"/>
                <w:u w:val="none"/>
                <w14:ligatures w14:val="standardContextual"/>
              </w:rPr>
              <w:t>专栏</w:t>
            </w:r>
            <w:r>
              <w:rPr>
                <w:rFonts w:hint="default" w:ascii="Times New Roman" w:hAnsi="Times New Roman" w:eastAsia="楷体" w:cs="Times New Roman"/>
                <w:b w:val="0"/>
                <w:bCs w:val="0"/>
                <w:color w:val="auto"/>
                <w:sz w:val="24"/>
                <w:szCs w:val="24"/>
                <w:highlight w:val="none"/>
                <w:u w:val="none"/>
                <w:lang w:val="en-US" w:eastAsia="zh-CN"/>
                <w14:ligatures w14:val="standardContextual"/>
              </w:rPr>
              <w:t>2-1</w:t>
            </w:r>
            <w:r>
              <w:rPr>
                <w:rFonts w:hint="default" w:ascii="Times New Roman" w:hAnsi="Times New Roman" w:eastAsia="楷体" w:cs="Times New Roman"/>
                <w:b w:val="0"/>
                <w:bCs w:val="0"/>
                <w:color w:val="auto"/>
                <w:sz w:val="24"/>
                <w:szCs w:val="24"/>
                <w:highlight w:val="none"/>
                <w:u w:val="none"/>
                <w14:ligatures w14:val="standardContextual"/>
              </w:rPr>
              <w:t xml:space="preserve"> “十五五”规划指标体系</w:t>
            </w:r>
          </w:p>
        </w:tc>
      </w:tr>
      <w:tr w14:paraId="58472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826" w:type="dxa"/>
            <w:tcBorders>
              <w:top w:val="single" w:color="auto" w:sz="4" w:space="0"/>
              <w:left w:val="single" w:color="auto" w:sz="4" w:space="0"/>
              <w:bottom w:val="single" w:color="auto" w:sz="4" w:space="0"/>
              <w:right w:val="single" w:color="auto" w:sz="4" w:space="0"/>
            </w:tcBorders>
            <w:shd w:val="clear" w:color="auto" w:fill="auto"/>
            <w:vAlign w:val="center"/>
          </w:tcPr>
          <w:p w14:paraId="124ACBDD">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仿宋_GB2312" w:cs="Times New Roman"/>
                <w:b w:val="0"/>
                <w:bCs w:val="0"/>
                <w:color w:val="000000"/>
                <w:kern w:val="0"/>
                <w:sz w:val="20"/>
                <w:szCs w:val="20"/>
                <w:lang w:val="en-US"/>
                <w:woUserID w:val="13"/>
              </w:rPr>
            </w:pPr>
            <w:r>
              <w:rPr>
                <w:rFonts w:hint="default" w:ascii="Times New Roman" w:hAnsi="Times New Roman" w:eastAsia="仿宋_GB2312" w:cs="Times New Roman"/>
                <w:b w:val="0"/>
                <w:bCs w:val="0"/>
                <w:color w:val="auto"/>
                <w:kern w:val="0"/>
                <w:sz w:val="20"/>
                <w:szCs w:val="20"/>
                <w:highlight w:val="none"/>
                <w:u w:val="none"/>
              </w:rPr>
              <w:t>分类</w:t>
            </w:r>
          </w:p>
        </w:tc>
        <w:tc>
          <w:tcPr>
            <w:tcW w:w="38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64C0539">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楷体" w:cs="Times New Roman"/>
                <w:b w:val="0"/>
                <w:bCs w:val="0"/>
                <w:color w:val="000000"/>
                <w:kern w:val="0"/>
                <w:sz w:val="20"/>
                <w:szCs w:val="20"/>
                <w:lang w:val="en-US"/>
                <w:woUserID w:val="13"/>
              </w:rPr>
            </w:pPr>
            <w:r>
              <w:rPr>
                <w:rFonts w:hint="default" w:ascii="Times New Roman" w:hAnsi="Times New Roman" w:eastAsia="楷体" w:cs="Times New Roman"/>
                <w:b w:val="0"/>
                <w:bCs w:val="0"/>
                <w:color w:val="auto"/>
                <w:kern w:val="0"/>
                <w:sz w:val="22"/>
                <w:szCs w:val="22"/>
                <w:highlight w:val="none"/>
                <w:u w:val="none"/>
              </w:rPr>
              <w:t>指标</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3A685079">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楷体" w:cs="Times New Roman"/>
                <w:b w:val="0"/>
                <w:bCs w:val="0"/>
                <w:color w:val="000000"/>
                <w:kern w:val="0"/>
                <w:sz w:val="20"/>
                <w:szCs w:val="20"/>
                <w:lang w:val="en-US" w:eastAsia="zh-CN" w:bidi="ar"/>
                <w:woUserID w:val="13"/>
              </w:rPr>
            </w:pPr>
            <w:r>
              <w:rPr>
                <w:rFonts w:hint="default" w:ascii="Times New Roman" w:hAnsi="Times New Roman" w:eastAsia="楷体" w:cs="Times New Roman"/>
                <w:b w:val="0"/>
                <w:bCs w:val="0"/>
                <w:color w:val="auto"/>
                <w:kern w:val="0"/>
                <w:sz w:val="22"/>
                <w:szCs w:val="22"/>
                <w:highlight w:val="none"/>
                <w:u w:val="none"/>
              </w:rPr>
              <w:t>2030年</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4F8ABE96">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楷体" w:cs="Times New Roman"/>
                <w:b w:val="0"/>
                <w:bCs w:val="0"/>
                <w:sz w:val="20"/>
                <w:szCs w:val="20"/>
                <w:lang w:val="en-US"/>
                <w:woUserID w:val="13"/>
              </w:rPr>
            </w:pPr>
            <w:r>
              <w:rPr>
                <w:rFonts w:hint="default" w:ascii="Times New Roman" w:hAnsi="Times New Roman" w:eastAsia="楷体" w:cs="Times New Roman"/>
                <w:b w:val="0"/>
                <w:bCs w:val="0"/>
                <w:color w:val="auto"/>
                <w:kern w:val="0"/>
                <w:sz w:val="22"/>
                <w:szCs w:val="22"/>
                <w:highlight w:val="none"/>
                <w:u w:val="none"/>
              </w:rPr>
              <w:t>年均/累计</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14:paraId="6B9201DB">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楷体" w:cs="Times New Roman"/>
                <w:b w:val="0"/>
                <w:bCs w:val="0"/>
                <w:sz w:val="20"/>
                <w:szCs w:val="20"/>
                <w:lang w:val="en-US"/>
                <w:woUserID w:val="13"/>
              </w:rPr>
            </w:pPr>
            <w:r>
              <w:rPr>
                <w:rFonts w:hint="default" w:ascii="Times New Roman" w:hAnsi="Times New Roman" w:eastAsia="楷体" w:cs="Times New Roman"/>
                <w:b w:val="0"/>
                <w:bCs w:val="0"/>
                <w:color w:val="auto"/>
                <w:sz w:val="22"/>
                <w:szCs w:val="22"/>
                <w:highlight w:val="none"/>
                <w:u w:val="none"/>
              </w:rPr>
              <w:t>属性</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1C1DDA35">
            <w:pPr>
              <w:keepNext w:val="0"/>
              <w:keepLines w:val="0"/>
              <w:widowControl/>
              <w:suppressLineNumbers w:val="0"/>
              <w:adjustRightInd w:val="0"/>
              <w:spacing w:before="0" w:beforeAutospacing="0" w:after="0" w:afterAutospacing="0" w:line="400" w:lineRule="exact"/>
              <w:ind w:left="0" w:leftChars="0" w:right="0" w:rightChars="0"/>
              <w:jc w:val="center"/>
              <w:rPr>
                <w:rFonts w:hint="eastAsia" w:ascii="Times New Roman" w:hAnsi="Times New Roman" w:eastAsia="楷体" w:cs="Times New Roman"/>
                <w:b w:val="0"/>
                <w:bCs w:val="0"/>
                <w:color w:val="auto"/>
                <w:sz w:val="22"/>
                <w:szCs w:val="22"/>
                <w:highlight w:val="none"/>
                <w:u w:val="none"/>
                <w:lang w:val="en-US" w:eastAsia="zh-CN"/>
              </w:rPr>
            </w:pPr>
            <w:r>
              <w:rPr>
                <w:rFonts w:hint="eastAsia" w:ascii="Times New Roman" w:hAnsi="Times New Roman" w:eastAsia="楷体" w:cs="Times New Roman"/>
                <w:b w:val="0"/>
                <w:bCs w:val="0"/>
                <w:color w:val="auto"/>
                <w:sz w:val="22"/>
                <w:szCs w:val="22"/>
                <w:highlight w:val="none"/>
                <w:u w:val="none"/>
                <w:lang w:val="en-US" w:eastAsia="zh-CN"/>
              </w:rPr>
              <w:t>责任</w:t>
            </w:r>
          </w:p>
          <w:p w14:paraId="286FD95D">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楷体" w:cs="Times New Roman"/>
                <w:b w:val="0"/>
                <w:bCs w:val="0"/>
                <w:color w:val="auto"/>
                <w:sz w:val="22"/>
                <w:szCs w:val="22"/>
                <w:highlight w:val="none"/>
                <w:u w:val="none"/>
                <w:lang w:val="en-US" w:eastAsia="zh-CN"/>
              </w:rPr>
            </w:pPr>
            <w:r>
              <w:rPr>
                <w:rFonts w:hint="eastAsia" w:ascii="Times New Roman" w:hAnsi="Times New Roman" w:eastAsia="楷体" w:cs="Times New Roman"/>
                <w:b w:val="0"/>
                <w:bCs w:val="0"/>
                <w:color w:val="auto"/>
                <w:sz w:val="22"/>
                <w:szCs w:val="22"/>
                <w:highlight w:val="none"/>
                <w:u w:val="none"/>
                <w:lang w:val="en-US" w:eastAsia="zh-CN"/>
              </w:rPr>
              <w:t>单位</w:t>
            </w:r>
          </w:p>
        </w:tc>
      </w:tr>
      <w:tr w14:paraId="7F26B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1" w:hRule="atLeast"/>
          <w:jc w:val="center"/>
        </w:trPr>
        <w:tc>
          <w:tcPr>
            <w:tcW w:w="826" w:type="dxa"/>
            <w:vMerge w:val="restart"/>
            <w:tcBorders>
              <w:top w:val="single" w:color="auto" w:sz="4" w:space="0"/>
              <w:left w:val="single" w:color="auto" w:sz="4" w:space="0"/>
              <w:right w:val="single" w:color="auto" w:sz="4" w:space="0"/>
            </w:tcBorders>
            <w:shd w:val="clear" w:color="auto" w:fill="auto"/>
            <w:vAlign w:val="center"/>
          </w:tcPr>
          <w:p w14:paraId="4D7712B3">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4"/>
                <w:szCs w:val="24"/>
                <w:highlight w:val="none"/>
                <w:u w:val="none"/>
                <w:lang w:val="en-US" w:eastAsia="zh-CN"/>
              </w:rPr>
            </w:pPr>
            <w:r>
              <w:rPr>
                <w:rFonts w:hint="default" w:ascii="Times New Roman" w:hAnsi="Times New Roman" w:eastAsia="楷体" w:cs="Times New Roman"/>
                <w:b w:val="0"/>
                <w:bCs w:val="0"/>
                <w:color w:val="auto"/>
                <w:kern w:val="0"/>
                <w:sz w:val="24"/>
                <w:szCs w:val="24"/>
                <w:highlight w:val="none"/>
                <w:u w:val="none"/>
                <w:lang w:val="en-US" w:eastAsia="zh-CN"/>
              </w:rPr>
              <w:t>经济</w:t>
            </w:r>
          </w:p>
          <w:p w14:paraId="48C12A3C">
            <w:pPr>
              <w:jc w:val="center"/>
              <w:rPr>
                <w:rFonts w:hint="default" w:ascii="Times New Roman" w:hAnsi="Times New Roman" w:cs="Times New Roman"/>
                <w:b w:val="0"/>
                <w:bCs w:val="0"/>
                <w:sz w:val="21"/>
                <w:szCs w:val="24"/>
              </w:rPr>
            </w:pPr>
            <w:r>
              <w:rPr>
                <w:rFonts w:hint="default" w:ascii="Times New Roman" w:hAnsi="Times New Roman" w:eastAsia="楷体" w:cs="Times New Roman"/>
                <w:b w:val="0"/>
                <w:bCs w:val="0"/>
                <w:color w:val="auto"/>
                <w:kern w:val="0"/>
                <w:sz w:val="24"/>
                <w:szCs w:val="24"/>
                <w:highlight w:val="none"/>
                <w:u w:val="none"/>
              </w:rPr>
              <w:t>发展</w:t>
            </w:r>
          </w:p>
          <w:p w14:paraId="204F344E">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000000"/>
                <w:kern w:val="0"/>
                <w:sz w:val="24"/>
                <w:szCs w:val="24"/>
                <w:lang w:val="en-US"/>
                <w:woUserID w:val="13"/>
              </w:rPr>
            </w:pPr>
          </w:p>
        </w:tc>
        <w:tc>
          <w:tcPr>
            <w:tcW w:w="38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73D5FFD">
            <w:pPr>
              <w:keepNext w:val="0"/>
              <w:keepLines w:val="0"/>
              <w:widowControl/>
              <w:suppressLineNumbers w:val="0"/>
              <w:adjustRightInd w:val="0"/>
              <w:spacing w:before="0" w:beforeAutospacing="0" w:after="0" w:afterAutospacing="0" w:line="400" w:lineRule="exact"/>
              <w:ind w:left="0" w:right="0"/>
              <w:jc w:val="both"/>
              <w:rPr>
                <w:rFonts w:hint="default" w:ascii="Times New Roman" w:hAnsi="Times New Roman" w:eastAsia="楷体" w:cs="Times New Roman"/>
                <w:b w:val="0"/>
                <w:bCs w:val="0"/>
                <w:color w:val="000000"/>
                <w:kern w:val="0"/>
                <w:sz w:val="21"/>
                <w:szCs w:val="21"/>
                <w:lang w:val="en-US"/>
                <w:woUserID w:val="13"/>
              </w:rPr>
            </w:pPr>
            <w:r>
              <w:rPr>
                <w:rFonts w:hint="default" w:ascii="Times New Roman" w:hAnsi="Times New Roman" w:eastAsia="楷体" w:cs="Times New Roman"/>
                <w:b w:val="0"/>
                <w:bCs w:val="0"/>
                <w:color w:val="auto"/>
                <w:kern w:val="0"/>
                <w:sz w:val="21"/>
                <w:szCs w:val="21"/>
                <w:highlight w:val="none"/>
                <w:u w:val="none"/>
              </w:rPr>
              <w:t>1.地区生产总值（GDP）增长（%）</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3E2B0662">
            <w:pPr>
              <w:keepNext w:val="0"/>
              <w:keepLines w:val="0"/>
              <w:widowControl/>
              <w:suppressLineNumbers w:val="0"/>
              <w:spacing w:before="0" w:beforeAutospacing="0" w:after="0" w:afterAutospacing="0"/>
              <w:ind w:left="0" w:right="0"/>
              <w:jc w:val="center"/>
              <w:textAlignment w:val="center"/>
              <w:rPr>
                <w:rFonts w:hint="default" w:ascii="Times New Roman" w:hAnsi="Times New Roman" w:eastAsia="仿宋_GB2312" w:cs="Times New Roman"/>
                <w:b w:val="0"/>
                <w:bCs w:val="0"/>
                <w:color w:val="000000"/>
                <w:kern w:val="0"/>
                <w:sz w:val="21"/>
                <w:szCs w:val="21"/>
                <w:lang w:val="en-US" w:eastAsia="zh-CN"/>
                <w:woUserID w:val="13"/>
              </w:rPr>
            </w:pPr>
            <w:r>
              <w:rPr>
                <w:rFonts w:hint="default" w:ascii="Times New Roman" w:hAnsi="Times New Roman" w:eastAsia="仿宋_GB2312" w:cs="Times New Roman"/>
                <w:b w:val="0"/>
                <w:bCs w:val="0"/>
                <w:color w:val="auto"/>
                <w:kern w:val="0"/>
                <w:sz w:val="21"/>
                <w:szCs w:val="21"/>
                <w:highlight w:val="none"/>
                <w:u w:val="none"/>
              </w:rPr>
              <w:t>——</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71F1684E">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仿宋_GB2312" w:cs="Times New Roman"/>
                <w:b w:val="0"/>
                <w:bCs w:val="0"/>
                <w:kern w:val="0"/>
                <w:sz w:val="21"/>
                <w:szCs w:val="21"/>
                <w:lang w:val="en-US" w:eastAsia="zh-CN"/>
                <w:woUserID w:val="13"/>
              </w:rPr>
            </w:pPr>
            <w:r>
              <w:rPr>
                <w:rFonts w:hint="eastAsia" w:ascii="Times New Roman" w:hAnsi="Times New Roman" w:eastAsia="楷体" w:cs="Times New Roman"/>
                <w:b w:val="0"/>
                <w:bCs w:val="0"/>
                <w:color w:val="auto"/>
                <w:kern w:val="0"/>
                <w:sz w:val="21"/>
                <w:szCs w:val="21"/>
                <w:highlight w:val="none"/>
                <w:u w:val="none"/>
                <w:lang w:val="en-US" w:eastAsia="zh-CN"/>
              </w:rPr>
              <w:t>保持在合理区间（5.5%以上）</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14:paraId="1ABF537C">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000000"/>
                <w:kern w:val="0"/>
                <w:sz w:val="20"/>
                <w:szCs w:val="20"/>
                <w:lang w:val="en-US"/>
                <w:woUserID w:val="13"/>
              </w:rPr>
            </w:pPr>
            <w:r>
              <w:rPr>
                <w:rFonts w:hint="default" w:ascii="Times New Roman" w:hAnsi="Times New Roman" w:eastAsia="楷体" w:cs="Times New Roman"/>
                <w:b w:val="0"/>
                <w:bCs w:val="0"/>
                <w:color w:val="auto"/>
                <w:kern w:val="0"/>
                <w:sz w:val="20"/>
                <w:szCs w:val="20"/>
                <w:highlight w:val="none"/>
                <w:u w:val="none"/>
              </w:rPr>
              <w:t>预期性</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3232DA2D">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highlight w:val="none"/>
                <w:u w:val="none"/>
                <w:lang w:val="en-US" w:eastAsia="zh-CN"/>
              </w:rPr>
            </w:pPr>
            <w:r>
              <w:rPr>
                <w:rFonts w:hint="default" w:ascii="Times New Roman" w:hAnsi="Times New Roman" w:eastAsia="楷体" w:cs="Times New Roman"/>
                <w:b w:val="0"/>
                <w:bCs w:val="0"/>
                <w:color w:val="auto"/>
                <w:kern w:val="0"/>
                <w:sz w:val="20"/>
                <w:szCs w:val="20"/>
                <w:highlight w:val="none"/>
                <w:u w:val="none"/>
                <w:lang w:val="en-US" w:eastAsia="zh-CN"/>
              </w:rPr>
              <w:t>发改局</w:t>
            </w:r>
          </w:p>
        </w:tc>
      </w:tr>
      <w:tr w14:paraId="15A5C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826" w:type="dxa"/>
            <w:vMerge w:val="continue"/>
            <w:tcBorders>
              <w:left w:val="single" w:color="auto" w:sz="4" w:space="0"/>
              <w:right w:val="single" w:color="auto" w:sz="4" w:space="0"/>
            </w:tcBorders>
            <w:shd w:val="clear" w:color="auto" w:fill="auto"/>
            <w:vAlign w:val="center"/>
          </w:tcPr>
          <w:p w14:paraId="47977638">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cs="Times New Roman"/>
                <w:b w:val="0"/>
                <w:bCs w:val="0"/>
                <w:sz w:val="20"/>
                <w:szCs w:val="20"/>
                <w:woUserID w:val="13"/>
              </w:rPr>
            </w:pPr>
          </w:p>
        </w:tc>
        <w:tc>
          <w:tcPr>
            <w:tcW w:w="38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3BB2FBF">
            <w:pPr>
              <w:keepNext w:val="0"/>
              <w:keepLines w:val="0"/>
              <w:widowControl/>
              <w:suppressLineNumbers w:val="0"/>
              <w:adjustRightInd w:val="0"/>
              <w:spacing w:before="0" w:beforeAutospacing="0" w:after="0" w:afterAutospacing="0" w:line="400" w:lineRule="exact"/>
              <w:ind w:left="0" w:leftChars="0" w:right="0" w:rightChars="0"/>
              <w:jc w:val="both"/>
              <w:rPr>
                <w:rFonts w:hint="default" w:ascii="Times New Roman" w:hAnsi="Times New Roman" w:eastAsia="楷体" w:cs="Times New Roman"/>
                <w:b w:val="0"/>
                <w:bCs w:val="0"/>
                <w:color w:val="auto"/>
                <w:kern w:val="0"/>
                <w:sz w:val="21"/>
                <w:szCs w:val="21"/>
                <w:highlight w:val="none"/>
                <w:u w:val="none"/>
                <w:lang w:val="en-US" w:eastAsia="zh-CN"/>
              </w:rPr>
            </w:pPr>
            <w:r>
              <w:rPr>
                <w:rFonts w:hint="eastAsia" w:eastAsia="楷体" w:cs="Times New Roman"/>
                <w:b w:val="0"/>
                <w:bCs w:val="0"/>
                <w:color w:val="auto"/>
                <w:kern w:val="0"/>
                <w:sz w:val="21"/>
                <w:szCs w:val="21"/>
                <w:highlight w:val="none"/>
                <w:u w:val="none"/>
                <w:lang w:val="en-US" w:eastAsia="zh-CN"/>
              </w:rPr>
              <w:t>2</w:t>
            </w:r>
            <w:r>
              <w:rPr>
                <w:rFonts w:hint="default" w:ascii="Times New Roman" w:hAnsi="Times New Roman" w:eastAsia="楷体" w:cs="Times New Roman"/>
                <w:b w:val="0"/>
                <w:bCs w:val="0"/>
                <w:color w:val="auto"/>
                <w:kern w:val="0"/>
                <w:sz w:val="21"/>
                <w:szCs w:val="21"/>
                <w:highlight w:val="none"/>
                <w:u w:val="none"/>
                <w:lang w:val="en-US" w:eastAsia="zh-CN"/>
              </w:rPr>
              <w:t>.规上工业增加值（%）</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0B21D57F">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仿宋_GB2312" w:cs="Times New Roman"/>
                <w:b w:val="0"/>
                <w:bCs w:val="0"/>
                <w:color w:val="auto"/>
                <w:kern w:val="0"/>
                <w:sz w:val="21"/>
                <w:szCs w:val="21"/>
                <w:highlight w:val="none"/>
                <w:u w:val="none"/>
              </w:rPr>
            </w:pPr>
            <w:r>
              <w:rPr>
                <w:rFonts w:hint="default" w:ascii="Times New Roman" w:hAnsi="Times New Roman" w:eastAsia="仿宋_GB2312" w:cs="Times New Roman"/>
                <w:b w:val="0"/>
                <w:bCs w:val="0"/>
                <w:color w:val="auto"/>
                <w:kern w:val="0"/>
                <w:sz w:val="21"/>
                <w:szCs w:val="21"/>
                <w:highlight w:val="none"/>
                <w:u w:val="none"/>
              </w:rPr>
              <w:t>——</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05A46BA8">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仿宋_GB2312" w:cs="Times New Roman"/>
                <w:b w:val="0"/>
                <w:bCs w:val="0"/>
                <w:color w:val="auto"/>
                <w:kern w:val="0"/>
                <w:sz w:val="21"/>
                <w:szCs w:val="21"/>
                <w:highlight w:val="none"/>
                <w:u w:val="none"/>
              </w:rPr>
            </w:pPr>
            <w:r>
              <w:rPr>
                <w:rFonts w:hint="eastAsia" w:eastAsia="仿宋_GB2312" w:cs="Times New Roman"/>
                <w:b w:val="0"/>
                <w:bCs w:val="0"/>
                <w:color w:val="auto"/>
                <w:kern w:val="0"/>
                <w:sz w:val="21"/>
                <w:szCs w:val="21"/>
                <w:highlight w:val="none"/>
                <w:u w:val="none"/>
                <w:lang w:val="en-US" w:eastAsia="zh-CN"/>
              </w:rPr>
              <w:t>5.5</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14:paraId="11CD9832">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楷体" w:cs="Times New Roman"/>
                <w:b w:val="0"/>
                <w:bCs w:val="0"/>
                <w:color w:val="auto"/>
                <w:kern w:val="0"/>
                <w:sz w:val="20"/>
                <w:szCs w:val="20"/>
                <w:highlight w:val="none"/>
                <w:u w:val="none"/>
              </w:rPr>
            </w:pPr>
            <w:r>
              <w:rPr>
                <w:rFonts w:hint="default" w:ascii="Times New Roman" w:hAnsi="Times New Roman" w:eastAsia="楷体" w:cs="Times New Roman"/>
                <w:b w:val="0"/>
                <w:bCs w:val="0"/>
                <w:color w:val="auto"/>
                <w:kern w:val="0"/>
                <w:sz w:val="20"/>
                <w:szCs w:val="20"/>
                <w:highlight w:val="none"/>
                <w:u w:val="none"/>
                <w:lang w:val="en-US" w:eastAsia="zh-CN"/>
              </w:rPr>
              <w:t>预期性</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4150BF5D">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楷体" w:cs="Times New Roman"/>
                <w:b w:val="0"/>
                <w:bCs w:val="0"/>
                <w:color w:val="auto"/>
                <w:kern w:val="0"/>
                <w:sz w:val="20"/>
                <w:szCs w:val="20"/>
                <w:highlight w:val="none"/>
                <w:u w:val="none"/>
                <w:lang w:val="en-US" w:eastAsia="zh-CN"/>
              </w:rPr>
            </w:pPr>
            <w:r>
              <w:rPr>
                <w:rFonts w:hint="default" w:ascii="Times New Roman" w:hAnsi="Times New Roman" w:eastAsia="楷体" w:cs="Times New Roman"/>
                <w:b w:val="0"/>
                <w:bCs w:val="0"/>
                <w:color w:val="auto"/>
                <w:kern w:val="0"/>
                <w:sz w:val="20"/>
                <w:szCs w:val="20"/>
                <w:highlight w:val="none"/>
                <w:u w:val="none"/>
                <w:lang w:val="en-US" w:eastAsia="zh-CN"/>
              </w:rPr>
              <w:t>工信局</w:t>
            </w:r>
          </w:p>
        </w:tc>
      </w:tr>
      <w:tr w14:paraId="1B349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826" w:type="dxa"/>
            <w:vMerge w:val="continue"/>
            <w:tcBorders>
              <w:left w:val="single" w:color="auto" w:sz="4" w:space="0"/>
              <w:right w:val="single" w:color="auto" w:sz="4" w:space="0"/>
            </w:tcBorders>
            <w:shd w:val="clear" w:color="auto" w:fill="auto"/>
            <w:vAlign w:val="center"/>
          </w:tcPr>
          <w:p w14:paraId="61A5D5A5">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cs="Times New Roman"/>
                <w:b w:val="0"/>
                <w:bCs w:val="0"/>
                <w:sz w:val="20"/>
                <w:szCs w:val="20"/>
                <w:woUserID w:val="13"/>
              </w:rPr>
            </w:pPr>
          </w:p>
        </w:tc>
        <w:tc>
          <w:tcPr>
            <w:tcW w:w="38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1E4AE14">
            <w:pPr>
              <w:keepNext w:val="0"/>
              <w:keepLines w:val="0"/>
              <w:widowControl/>
              <w:suppressLineNumbers w:val="0"/>
              <w:adjustRightInd w:val="0"/>
              <w:spacing w:before="0" w:beforeAutospacing="0" w:after="0" w:afterAutospacing="0" w:line="400" w:lineRule="exact"/>
              <w:ind w:left="0" w:right="0"/>
              <w:jc w:val="both"/>
              <w:rPr>
                <w:rFonts w:hint="default" w:eastAsia="楷体" w:cs="Times New Roman"/>
                <w:b w:val="0"/>
                <w:bCs w:val="0"/>
                <w:color w:val="auto"/>
                <w:kern w:val="0"/>
                <w:sz w:val="21"/>
                <w:szCs w:val="21"/>
                <w:highlight w:val="none"/>
                <w:u w:val="none"/>
                <w:lang w:val="en-US" w:eastAsia="zh-CN"/>
              </w:rPr>
            </w:pPr>
            <w:r>
              <w:rPr>
                <w:rFonts w:hint="eastAsia" w:eastAsia="楷体" w:cs="Times New Roman"/>
                <w:b w:val="0"/>
                <w:bCs w:val="0"/>
                <w:color w:val="auto"/>
                <w:kern w:val="0"/>
                <w:sz w:val="21"/>
                <w:szCs w:val="21"/>
                <w:highlight w:val="none"/>
                <w:u w:val="none"/>
                <w:lang w:val="en-US" w:eastAsia="zh-CN"/>
              </w:rPr>
              <w:t>3.民营经济增加值增长（%）</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6391E41F">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仿宋_GB2312" w:cs="Times New Roman"/>
                <w:b w:val="0"/>
                <w:bCs w:val="0"/>
                <w:color w:val="auto"/>
                <w:kern w:val="0"/>
                <w:sz w:val="21"/>
                <w:szCs w:val="21"/>
                <w:highlight w:val="none"/>
                <w:u w:val="none"/>
              </w:rPr>
            </w:pPr>
            <w:r>
              <w:rPr>
                <w:rFonts w:hint="default" w:ascii="Times New Roman" w:hAnsi="Times New Roman" w:eastAsia="仿宋_GB2312" w:cs="Times New Roman"/>
                <w:b w:val="0"/>
                <w:bCs w:val="0"/>
                <w:color w:val="auto"/>
                <w:kern w:val="0"/>
                <w:sz w:val="21"/>
                <w:szCs w:val="21"/>
                <w:highlight w:val="none"/>
                <w:u w:val="none"/>
              </w:rPr>
              <w:t>——</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21A9F18D">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仿宋_GB2312" w:cs="Times New Roman"/>
                <w:b w:val="0"/>
                <w:bCs w:val="0"/>
                <w:color w:val="auto"/>
                <w:kern w:val="0"/>
                <w:sz w:val="21"/>
                <w:szCs w:val="21"/>
                <w:highlight w:val="none"/>
                <w:u w:val="none"/>
                <w:lang w:val="en-US"/>
              </w:rPr>
            </w:pPr>
            <w:r>
              <w:rPr>
                <w:rFonts w:hint="eastAsia" w:ascii="Times New Roman" w:hAnsi="Times New Roman" w:eastAsia="楷体" w:cs="Times New Roman"/>
                <w:b w:val="0"/>
                <w:bCs w:val="0"/>
                <w:color w:val="auto"/>
                <w:kern w:val="0"/>
                <w:sz w:val="21"/>
                <w:szCs w:val="21"/>
                <w:highlight w:val="none"/>
                <w:u w:val="none"/>
                <w:lang w:val="en-US" w:eastAsia="zh-CN"/>
              </w:rPr>
              <w:t>高于GDP增长</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14:paraId="30DE58D4">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楷体" w:cs="Times New Roman"/>
                <w:b w:val="0"/>
                <w:bCs w:val="0"/>
                <w:color w:val="auto"/>
                <w:kern w:val="0"/>
                <w:sz w:val="20"/>
                <w:szCs w:val="20"/>
                <w:highlight w:val="none"/>
                <w:u w:val="none"/>
              </w:rPr>
            </w:pPr>
            <w:r>
              <w:rPr>
                <w:rFonts w:hint="default" w:ascii="Times New Roman" w:hAnsi="Times New Roman" w:eastAsia="楷体" w:cs="Times New Roman"/>
                <w:b w:val="0"/>
                <w:bCs w:val="0"/>
                <w:color w:val="auto"/>
                <w:kern w:val="0"/>
                <w:sz w:val="20"/>
                <w:szCs w:val="20"/>
                <w:highlight w:val="none"/>
                <w:u w:val="none"/>
                <w:lang w:val="en-US" w:eastAsia="zh-CN"/>
              </w:rPr>
              <w:t>预期性</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55BFE1E9">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highlight w:val="none"/>
                <w:u w:val="none"/>
                <w:lang w:val="en-US" w:eastAsia="zh-CN"/>
              </w:rPr>
            </w:pPr>
            <w:r>
              <w:rPr>
                <w:rFonts w:hint="eastAsia" w:eastAsia="楷体" w:cs="Times New Roman"/>
                <w:b w:val="0"/>
                <w:bCs w:val="0"/>
                <w:color w:val="auto"/>
                <w:kern w:val="0"/>
                <w:sz w:val="20"/>
                <w:szCs w:val="20"/>
                <w:highlight w:val="none"/>
                <w:u w:val="none"/>
                <w:lang w:val="en-US" w:eastAsia="zh-CN"/>
              </w:rPr>
              <w:t>发改局</w:t>
            </w:r>
          </w:p>
        </w:tc>
      </w:tr>
      <w:tr w14:paraId="032D1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826" w:type="dxa"/>
            <w:vMerge w:val="continue"/>
            <w:tcBorders>
              <w:left w:val="single" w:color="auto" w:sz="4" w:space="0"/>
              <w:right w:val="single" w:color="auto" w:sz="4" w:space="0"/>
            </w:tcBorders>
            <w:shd w:val="clear" w:color="auto" w:fill="auto"/>
            <w:vAlign w:val="center"/>
          </w:tcPr>
          <w:p w14:paraId="4E03F654">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cs="Times New Roman"/>
                <w:b w:val="0"/>
                <w:bCs w:val="0"/>
                <w:sz w:val="20"/>
                <w:szCs w:val="20"/>
                <w:woUserID w:val="13"/>
              </w:rPr>
            </w:pPr>
          </w:p>
        </w:tc>
        <w:tc>
          <w:tcPr>
            <w:tcW w:w="38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DE9EDB2">
            <w:pPr>
              <w:keepNext w:val="0"/>
              <w:keepLines w:val="0"/>
              <w:widowControl/>
              <w:suppressLineNumbers w:val="0"/>
              <w:adjustRightInd w:val="0"/>
              <w:spacing w:before="0" w:beforeAutospacing="0" w:after="0" w:afterAutospacing="0" w:line="400" w:lineRule="exact"/>
              <w:ind w:left="0" w:right="0"/>
              <w:jc w:val="both"/>
              <w:rPr>
                <w:rFonts w:hint="default" w:ascii="Times New Roman" w:hAnsi="Times New Roman" w:eastAsia="楷体" w:cs="Times New Roman"/>
                <w:b w:val="0"/>
                <w:bCs w:val="0"/>
                <w:color w:val="000000"/>
                <w:kern w:val="0"/>
                <w:sz w:val="21"/>
                <w:szCs w:val="21"/>
                <w:lang w:val="en-US"/>
                <w:woUserID w:val="13"/>
              </w:rPr>
            </w:pPr>
            <w:r>
              <w:rPr>
                <w:rFonts w:hint="eastAsia" w:eastAsia="楷体" w:cs="Times New Roman"/>
                <w:b w:val="0"/>
                <w:bCs w:val="0"/>
                <w:color w:val="auto"/>
                <w:kern w:val="0"/>
                <w:sz w:val="21"/>
                <w:szCs w:val="21"/>
                <w:highlight w:val="none"/>
                <w:u w:val="none"/>
                <w:lang w:val="en-US" w:eastAsia="zh-CN"/>
              </w:rPr>
              <w:t>4</w:t>
            </w:r>
            <w:r>
              <w:rPr>
                <w:rFonts w:hint="default" w:ascii="Times New Roman" w:hAnsi="Times New Roman" w:eastAsia="楷体" w:cs="Times New Roman"/>
                <w:b w:val="0"/>
                <w:bCs w:val="0"/>
                <w:color w:val="auto"/>
                <w:kern w:val="0"/>
                <w:sz w:val="21"/>
                <w:szCs w:val="21"/>
                <w:highlight w:val="none"/>
                <w:u w:val="none"/>
              </w:rPr>
              <w:t>.全员劳动生产率增长（%）</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6FFEDA48">
            <w:pPr>
              <w:keepNext w:val="0"/>
              <w:keepLines w:val="0"/>
              <w:widowControl/>
              <w:suppressLineNumbers w:val="0"/>
              <w:adjustRightInd w:val="0"/>
              <w:spacing w:before="0" w:beforeAutospacing="0" w:after="0" w:afterAutospacing="0" w:line="400" w:lineRule="exact"/>
              <w:ind w:left="0" w:right="0"/>
              <w:jc w:val="center"/>
              <w:textAlignment w:val="auto"/>
              <w:rPr>
                <w:rFonts w:hint="default" w:ascii="Times New Roman" w:hAnsi="Times New Roman" w:eastAsia="仿宋_GB2312" w:cs="Times New Roman"/>
                <w:b w:val="0"/>
                <w:bCs w:val="0"/>
                <w:color w:val="000000"/>
                <w:kern w:val="0"/>
                <w:sz w:val="21"/>
                <w:szCs w:val="21"/>
                <w:lang w:val="en-US" w:eastAsia="zh-CN"/>
                <w:woUserID w:val="13"/>
              </w:rPr>
            </w:pPr>
            <w:r>
              <w:rPr>
                <w:rFonts w:hint="default" w:ascii="Times New Roman" w:hAnsi="Times New Roman" w:eastAsia="仿宋_GB2312" w:cs="Times New Roman"/>
                <w:b w:val="0"/>
                <w:bCs w:val="0"/>
                <w:color w:val="auto"/>
                <w:kern w:val="0"/>
                <w:sz w:val="21"/>
                <w:szCs w:val="21"/>
                <w:highlight w:val="none"/>
                <w:u w:val="none"/>
              </w:rPr>
              <w:t>——</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457AD08F">
            <w:pPr>
              <w:keepNext w:val="0"/>
              <w:keepLines w:val="0"/>
              <w:widowControl/>
              <w:suppressLineNumbers w:val="0"/>
              <w:adjustRightInd w:val="0"/>
              <w:spacing w:before="0" w:beforeAutospacing="0" w:after="0" w:afterAutospacing="0" w:line="400" w:lineRule="exact"/>
              <w:ind w:left="0" w:right="0"/>
              <w:jc w:val="center"/>
              <w:textAlignment w:val="auto"/>
              <w:rPr>
                <w:rFonts w:hint="default" w:ascii="Times New Roman" w:hAnsi="Times New Roman" w:eastAsia="仿宋_GB2312" w:cs="Times New Roman"/>
                <w:b w:val="0"/>
                <w:bCs w:val="0"/>
                <w:kern w:val="0"/>
                <w:sz w:val="21"/>
                <w:szCs w:val="21"/>
                <w:lang w:val="en-US" w:eastAsia="zh-CN"/>
                <w:woUserID w:val="13"/>
              </w:rPr>
            </w:pPr>
            <w:r>
              <w:rPr>
                <w:rFonts w:hint="default" w:ascii="Times New Roman" w:hAnsi="Times New Roman" w:eastAsia="仿宋_GB2312" w:cs="Times New Roman"/>
                <w:b w:val="0"/>
                <w:bCs w:val="0"/>
                <w:color w:val="auto"/>
                <w:kern w:val="0"/>
                <w:sz w:val="21"/>
                <w:szCs w:val="21"/>
                <w:highlight w:val="none"/>
                <w:u w:val="none"/>
              </w:rPr>
              <w:t>6</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14:paraId="45125B2D">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000000"/>
                <w:kern w:val="0"/>
                <w:sz w:val="20"/>
                <w:szCs w:val="20"/>
                <w:lang w:val="en-US"/>
                <w:woUserID w:val="13"/>
              </w:rPr>
            </w:pPr>
            <w:r>
              <w:rPr>
                <w:rFonts w:hint="default" w:ascii="Times New Roman" w:hAnsi="Times New Roman" w:eastAsia="楷体" w:cs="Times New Roman"/>
                <w:b w:val="0"/>
                <w:bCs w:val="0"/>
                <w:color w:val="auto"/>
                <w:kern w:val="0"/>
                <w:sz w:val="20"/>
                <w:szCs w:val="20"/>
                <w:highlight w:val="none"/>
                <w:u w:val="none"/>
              </w:rPr>
              <w:t>预期性</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2F9DD887">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highlight w:val="none"/>
                <w:u w:val="none"/>
                <w:lang w:val="en-US" w:eastAsia="zh-CN"/>
              </w:rPr>
            </w:pPr>
            <w:r>
              <w:rPr>
                <w:rFonts w:hint="default" w:ascii="Times New Roman" w:hAnsi="Times New Roman" w:eastAsia="楷体" w:cs="Times New Roman"/>
                <w:b w:val="0"/>
                <w:bCs w:val="0"/>
                <w:color w:val="auto"/>
                <w:kern w:val="0"/>
                <w:sz w:val="20"/>
                <w:szCs w:val="20"/>
                <w:highlight w:val="none"/>
                <w:u w:val="none"/>
                <w:lang w:val="en-US" w:eastAsia="zh-CN"/>
              </w:rPr>
              <w:t>人社局</w:t>
            </w:r>
          </w:p>
        </w:tc>
      </w:tr>
      <w:tr w14:paraId="14473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826" w:type="dxa"/>
            <w:vMerge w:val="continue"/>
            <w:tcBorders>
              <w:left w:val="single" w:color="auto" w:sz="4" w:space="0"/>
              <w:right w:val="single" w:color="auto" w:sz="4" w:space="0"/>
            </w:tcBorders>
            <w:shd w:val="clear" w:color="auto" w:fill="auto"/>
            <w:vAlign w:val="center"/>
          </w:tcPr>
          <w:p w14:paraId="184A3204">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cs="Times New Roman"/>
                <w:b w:val="0"/>
                <w:bCs w:val="0"/>
                <w:sz w:val="20"/>
                <w:szCs w:val="20"/>
                <w:woUserID w:val="13"/>
              </w:rPr>
            </w:pPr>
          </w:p>
        </w:tc>
        <w:tc>
          <w:tcPr>
            <w:tcW w:w="38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6D28656">
            <w:pPr>
              <w:keepNext w:val="0"/>
              <w:keepLines w:val="0"/>
              <w:widowControl/>
              <w:suppressLineNumbers w:val="0"/>
              <w:adjustRightInd w:val="0"/>
              <w:spacing w:before="0" w:beforeAutospacing="0" w:after="0" w:afterAutospacing="0" w:line="400" w:lineRule="exact"/>
              <w:ind w:left="0" w:right="0"/>
              <w:jc w:val="both"/>
              <w:rPr>
                <w:rFonts w:hint="default" w:ascii="Times New Roman" w:hAnsi="Times New Roman" w:eastAsia="楷体" w:cs="Times New Roman"/>
                <w:b w:val="0"/>
                <w:bCs w:val="0"/>
                <w:color w:val="auto"/>
                <w:kern w:val="0"/>
                <w:sz w:val="21"/>
                <w:szCs w:val="21"/>
                <w:lang w:val="en-US"/>
                <w:woUserID w:val="13"/>
              </w:rPr>
            </w:pPr>
            <w:r>
              <w:rPr>
                <w:rFonts w:hint="eastAsia" w:eastAsia="楷体" w:cs="Times New Roman"/>
                <w:b w:val="0"/>
                <w:bCs w:val="0"/>
                <w:color w:val="auto"/>
                <w:kern w:val="0"/>
                <w:sz w:val="21"/>
                <w:szCs w:val="21"/>
                <w:highlight w:val="none"/>
                <w:u w:val="none"/>
                <w:lang w:val="en-US" w:eastAsia="zh-CN"/>
              </w:rPr>
              <w:t>5</w:t>
            </w:r>
            <w:r>
              <w:rPr>
                <w:rFonts w:hint="default" w:ascii="Times New Roman" w:hAnsi="Times New Roman" w:eastAsia="楷体" w:cs="Times New Roman"/>
                <w:b w:val="0"/>
                <w:bCs w:val="0"/>
                <w:color w:val="auto"/>
                <w:kern w:val="0"/>
                <w:sz w:val="21"/>
                <w:szCs w:val="21"/>
                <w:highlight w:val="none"/>
                <w:u w:val="none"/>
              </w:rPr>
              <w:t>.常住人口城镇化率（%）</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3CBBF378">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仿宋_GB2312" w:cs="Times New Roman"/>
                <w:b w:val="0"/>
                <w:bCs w:val="0"/>
                <w:color w:val="auto"/>
                <w:kern w:val="0"/>
                <w:sz w:val="21"/>
                <w:szCs w:val="21"/>
                <w:lang w:val="en-US" w:eastAsia="zh-CN"/>
                <w:woUserID w:val="13"/>
              </w:rPr>
            </w:pPr>
            <w:r>
              <w:rPr>
                <w:rFonts w:hint="default" w:ascii="Times New Roman" w:hAnsi="Times New Roman" w:eastAsia="仿宋_GB2312" w:cs="Times New Roman"/>
                <w:b w:val="0"/>
                <w:bCs w:val="0"/>
                <w:color w:val="auto"/>
                <w:kern w:val="0"/>
                <w:sz w:val="21"/>
                <w:szCs w:val="21"/>
                <w:lang w:val="en-US" w:eastAsia="zh-CN"/>
                <w:woUserID w:val="13"/>
              </w:rPr>
              <w:t>70</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4E5D90E7">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仿宋_GB2312" w:cs="Times New Roman"/>
                <w:b w:val="0"/>
                <w:bCs w:val="0"/>
                <w:color w:val="auto"/>
                <w:kern w:val="0"/>
                <w:sz w:val="21"/>
                <w:szCs w:val="21"/>
                <w:lang w:val="en-US" w:eastAsia="zh"/>
                <w:woUserID w:val="13"/>
              </w:rPr>
            </w:pPr>
            <w:r>
              <w:rPr>
                <w:rFonts w:hint="default" w:ascii="Times New Roman" w:hAnsi="Times New Roman" w:eastAsia="仿宋_GB2312" w:cs="Times New Roman"/>
                <w:b w:val="0"/>
                <w:bCs w:val="0"/>
                <w:color w:val="auto"/>
                <w:kern w:val="0"/>
                <w:sz w:val="21"/>
                <w:szCs w:val="21"/>
                <w:highlight w:val="none"/>
                <w:u w:val="none"/>
              </w:rPr>
              <w:t>——</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14:paraId="666A5020">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楷体" w:cs="Times New Roman"/>
                <w:b w:val="0"/>
                <w:bCs w:val="0"/>
                <w:color w:val="auto"/>
                <w:kern w:val="0"/>
                <w:sz w:val="20"/>
                <w:szCs w:val="20"/>
                <w:lang w:val="en-US"/>
                <w:woUserID w:val="13"/>
              </w:rPr>
            </w:pPr>
            <w:r>
              <w:rPr>
                <w:rFonts w:hint="default" w:ascii="Times New Roman" w:hAnsi="Times New Roman" w:eastAsia="楷体" w:cs="Times New Roman"/>
                <w:b w:val="0"/>
                <w:bCs w:val="0"/>
                <w:color w:val="auto"/>
                <w:kern w:val="0"/>
                <w:sz w:val="20"/>
                <w:szCs w:val="20"/>
                <w:highlight w:val="none"/>
                <w:u w:val="none"/>
              </w:rPr>
              <w:t>预期性</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18C9BA0C">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highlight w:val="none"/>
                <w:u w:val="none"/>
                <w:lang w:val="en-US" w:eastAsia="zh-CN"/>
              </w:rPr>
            </w:pPr>
            <w:r>
              <w:rPr>
                <w:rFonts w:hint="default" w:ascii="Times New Roman" w:hAnsi="Times New Roman" w:eastAsia="楷体" w:cs="Times New Roman"/>
                <w:b w:val="0"/>
                <w:bCs w:val="0"/>
                <w:color w:val="auto"/>
                <w:kern w:val="0"/>
                <w:sz w:val="20"/>
                <w:szCs w:val="20"/>
                <w:highlight w:val="none"/>
                <w:u w:val="none"/>
                <w:lang w:val="en-US" w:eastAsia="zh-CN"/>
              </w:rPr>
              <w:t>公安局</w:t>
            </w:r>
          </w:p>
        </w:tc>
      </w:tr>
      <w:tr w14:paraId="361D1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826" w:type="dxa"/>
            <w:vMerge w:val="restart"/>
            <w:tcBorders>
              <w:top w:val="single" w:color="auto" w:sz="4" w:space="0"/>
              <w:left w:val="single" w:color="auto" w:sz="4" w:space="0"/>
              <w:right w:val="single" w:color="auto" w:sz="4" w:space="0"/>
            </w:tcBorders>
            <w:shd w:val="clear" w:color="auto" w:fill="auto"/>
            <w:vAlign w:val="center"/>
          </w:tcPr>
          <w:p w14:paraId="7014CD6E">
            <w:pPr>
              <w:keepNext w:val="0"/>
              <w:keepLines w:val="0"/>
              <w:widowControl/>
              <w:suppressLineNumbers w:val="0"/>
              <w:adjustRightInd w:val="0"/>
              <w:spacing w:before="0" w:beforeAutospacing="0" w:after="0" w:afterAutospacing="0" w:line="400" w:lineRule="exact"/>
              <w:ind w:left="0" w:right="0"/>
              <w:jc w:val="center"/>
              <w:rPr>
                <w:rFonts w:hint="eastAsia" w:ascii="Times New Roman" w:hAnsi="Times New Roman" w:eastAsia="楷体" w:cs="Times New Roman"/>
                <w:b w:val="0"/>
                <w:bCs w:val="0"/>
                <w:color w:val="auto"/>
                <w:kern w:val="0"/>
                <w:sz w:val="24"/>
                <w:szCs w:val="24"/>
                <w:highlight w:val="none"/>
                <w:u w:val="none"/>
                <w:lang w:val="en-US" w:eastAsia="zh-CN"/>
              </w:rPr>
            </w:pPr>
            <w:r>
              <w:rPr>
                <w:rFonts w:hint="eastAsia" w:ascii="Times New Roman" w:hAnsi="Times New Roman" w:eastAsia="楷体" w:cs="Times New Roman"/>
                <w:b w:val="0"/>
                <w:bCs w:val="0"/>
                <w:color w:val="auto"/>
                <w:kern w:val="0"/>
                <w:sz w:val="24"/>
                <w:szCs w:val="24"/>
                <w:highlight w:val="none"/>
                <w:u w:val="none"/>
                <w:lang w:val="en-US" w:eastAsia="zh-CN"/>
              </w:rPr>
              <w:t>创新</w:t>
            </w:r>
            <w:r>
              <w:rPr>
                <w:rFonts w:hint="eastAsia" w:ascii="Times New Roman" w:hAnsi="Times New Roman" w:eastAsia="楷体" w:cs="Times New Roman"/>
                <w:b w:val="0"/>
                <w:bCs w:val="0"/>
                <w:color w:val="auto"/>
                <w:kern w:val="0"/>
                <w:sz w:val="24"/>
                <w:szCs w:val="24"/>
                <w:highlight w:val="none"/>
                <w:u w:val="none"/>
                <w:lang w:val="en-US" w:eastAsia="zh-CN"/>
              </w:rPr>
              <w:br w:type="textWrapping"/>
            </w:r>
            <w:r>
              <w:rPr>
                <w:rFonts w:hint="eastAsia" w:ascii="Times New Roman" w:hAnsi="Times New Roman" w:eastAsia="楷体" w:cs="Times New Roman"/>
                <w:b w:val="0"/>
                <w:bCs w:val="0"/>
                <w:color w:val="auto"/>
                <w:kern w:val="0"/>
                <w:sz w:val="24"/>
                <w:szCs w:val="24"/>
                <w:highlight w:val="none"/>
                <w:u w:val="none"/>
                <w:lang w:val="en-US" w:eastAsia="zh-CN"/>
              </w:rPr>
              <w:t>驱动</w:t>
            </w:r>
          </w:p>
        </w:tc>
        <w:tc>
          <w:tcPr>
            <w:tcW w:w="38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1499426">
            <w:pPr>
              <w:keepNext w:val="0"/>
              <w:keepLines w:val="0"/>
              <w:widowControl/>
              <w:suppressLineNumbers w:val="0"/>
              <w:adjustRightInd w:val="0"/>
              <w:spacing w:before="0" w:beforeAutospacing="0" w:after="0" w:afterAutospacing="0" w:line="400" w:lineRule="exact"/>
              <w:ind w:left="0" w:right="0"/>
              <w:jc w:val="both"/>
              <w:rPr>
                <w:rFonts w:hint="default" w:ascii="Times New Roman" w:hAnsi="Times New Roman" w:eastAsia="楷体" w:cs="Times New Roman"/>
                <w:b w:val="0"/>
                <w:bCs w:val="0"/>
                <w:color w:val="auto"/>
                <w:kern w:val="0"/>
                <w:sz w:val="21"/>
                <w:szCs w:val="21"/>
                <w:highlight w:val="none"/>
                <w:u w:val="none"/>
                <w:lang w:val="en-US" w:eastAsia="zh-CN"/>
              </w:rPr>
            </w:pPr>
            <w:r>
              <w:rPr>
                <w:rFonts w:hint="eastAsia" w:eastAsia="楷体" w:cs="Times New Roman"/>
                <w:b w:val="0"/>
                <w:bCs w:val="0"/>
                <w:color w:val="auto"/>
                <w:kern w:val="0"/>
                <w:sz w:val="21"/>
                <w:szCs w:val="21"/>
                <w:highlight w:val="none"/>
                <w:u w:val="none"/>
                <w:lang w:val="en-US" w:eastAsia="zh-CN"/>
              </w:rPr>
              <w:t>6.全社会研发经费投入增长（%）</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3903DC19">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b w:val="0"/>
                <w:bCs w:val="0"/>
                <w:color w:val="auto"/>
                <w:kern w:val="0"/>
                <w:sz w:val="21"/>
                <w:szCs w:val="21"/>
                <w:highlight w:val="none"/>
                <w:u w:val="none"/>
              </w:rPr>
            </w:pPr>
            <w:r>
              <w:rPr>
                <w:rFonts w:hint="default" w:ascii="Times New Roman" w:hAnsi="Times New Roman" w:eastAsia="仿宋_GB2312" w:cs="Times New Roman"/>
                <w:b w:val="0"/>
                <w:bCs w:val="0"/>
                <w:color w:val="auto"/>
                <w:kern w:val="0"/>
                <w:sz w:val="21"/>
                <w:szCs w:val="21"/>
                <w:highlight w:val="none"/>
                <w:u w:val="none"/>
              </w:rPr>
              <w:t>——</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7B6E9769">
            <w:pPr>
              <w:keepNext w:val="0"/>
              <w:keepLines w:val="0"/>
              <w:widowControl/>
              <w:suppressLineNumbers w:val="0"/>
              <w:adjustRightInd w:val="0"/>
              <w:spacing w:before="0" w:beforeAutospacing="0" w:after="0" w:afterAutospacing="0" w:line="400" w:lineRule="exact"/>
              <w:ind w:left="0" w:right="0"/>
              <w:jc w:val="center"/>
              <w:rPr>
                <w:rFonts w:hint="eastAsia" w:ascii="Times New Roman" w:hAnsi="Times New Roman" w:eastAsia="仿宋_GB2312" w:cs="Times New Roman"/>
                <w:b w:val="0"/>
                <w:bCs w:val="0"/>
                <w:color w:val="auto"/>
                <w:kern w:val="0"/>
                <w:sz w:val="21"/>
                <w:szCs w:val="21"/>
                <w:highlight w:val="none"/>
                <w:u w:val="none"/>
                <w:lang w:val="en-US" w:eastAsia="zh-CN"/>
              </w:rPr>
            </w:pPr>
            <w:r>
              <w:rPr>
                <w:rFonts w:hint="eastAsia" w:eastAsia="仿宋_GB2312" w:cs="Times New Roman"/>
                <w:b w:val="0"/>
                <w:bCs w:val="0"/>
                <w:color w:val="auto"/>
                <w:kern w:val="0"/>
                <w:sz w:val="21"/>
                <w:szCs w:val="21"/>
                <w:highlight w:val="none"/>
                <w:u w:val="none"/>
                <w:lang w:val="en-US" w:eastAsia="zh-CN"/>
              </w:rPr>
              <w:t>6</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14:paraId="6AEB6A00">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楷体" w:cs="Times New Roman"/>
                <w:b w:val="0"/>
                <w:bCs w:val="0"/>
                <w:color w:val="auto"/>
                <w:kern w:val="0"/>
                <w:sz w:val="20"/>
                <w:szCs w:val="20"/>
                <w:highlight w:val="none"/>
                <w:u w:val="none"/>
              </w:rPr>
            </w:pPr>
            <w:r>
              <w:rPr>
                <w:rFonts w:hint="default" w:ascii="Times New Roman" w:hAnsi="Times New Roman" w:eastAsia="楷体" w:cs="Times New Roman"/>
                <w:b w:val="0"/>
                <w:bCs w:val="0"/>
                <w:color w:val="auto"/>
                <w:kern w:val="0"/>
                <w:sz w:val="20"/>
                <w:szCs w:val="20"/>
                <w:highlight w:val="none"/>
                <w:u w:val="none"/>
              </w:rPr>
              <w:t>预期性</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417316DC">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楷体" w:cs="Times New Roman"/>
                <w:b w:val="0"/>
                <w:bCs w:val="0"/>
                <w:color w:val="auto"/>
                <w:kern w:val="0"/>
                <w:sz w:val="20"/>
                <w:szCs w:val="20"/>
                <w:highlight w:val="none"/>
                <w:u w:val="none"/>
                <w:lang w:val="en-US" w:eastAsia="zh-CN"/>
              </w:rPr>
            </w:pPr>
            <w:r>
              <w:rPr>
                <w:rFonts w:hint="default" w:ascii="Times New Roman" w:hAnsi="Times New Roman" w:eastAsia="楷体" w:cs="Times New Roman"/>
                <w:b w:val="0"/>
                <w:bCs w:val="0"/>
                <w:color w:val="auto"/>
                <w:kern w:val="0"/>
                <w:sz w:val="20"/>
                <w:szCs w:val="20"/>
                <w:highlight w:val="none"/>
                <w:u w:val="none"/>
                <w:lang w:val="en-US" w:eastAsia="zh-CN"/>
              </w:rPr>
              <w:t>工信局</w:t>
            </w:r>
          </w:p>
        </w:tc>
      </w:tr>
      <w:tr w14:paraId="5B2B1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19" w:hRule="atLeast"/>
          <w:jc w:val="center"/>
        </w:trPr>
        <w:tc>
          <w:tcPr>
            <w:tcW w:w="826" w:type="dxa"/>
            <w:vMerge w:val="continue"/>
            <w:tcBorders>
              <w:left w:val="single" w:color="auto" w:sz="4" w:space="0"/>
              <w:right w:val="single" w:color="auto" w:sz="4" w:space="0"/>
            </w:tcBorders>
            <w:shd w:val="clear" w:color="auto" w:fill="auto"/>
            <w:vAlign w:val="center"/>
          </w:tcPr>
          <w:p w14:paraId="43B0D7CD">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000000"/>
                <w:kern w:val="0"/>
                <w:sz w:val="24"/>
                <w:szCs w:val="24"/>
                <w:lang w:val="en-US"/>
                <w:woUserID w:val="13"/>
              </w:rPr>
            </w:pPr>
          </w:p>
        </w:tc>
        <w:tc>
          <w:tcPr>
            <w:tcW w:w="38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2AF589F">
            <w:pPr>
              <w:keepNext w:val="0"/>
              <w:keepLines w:val="0"/>
              <w:widowControl/>
              <w:suppressLineNumbers w:val="0"/>
              <w:adjustRightInd w:val="0"/>
              <w:spacing w:before="0" w:beforeAutospacing="0" w:after="0" w:afterAutospacing="0" w:line="400" w:lineRule="exact"/>
              <w:ind w:left="0" w:right="0"/>
              <w:jc w:val="both"/>
              <w:rPr>
                <w:rFonts w:hint="default" w:ascii="Times New Roman" w:hAnsi="Times New Roman" w:eastAsia="楷体" w:cs="Times New Roman"/>
                <w:b w:val="0"/>
                <w:bCs w:val="0"/>
                <w:color w:val="auto"/>
                <w:kern w:val="0"/>
                <w:sz w:val="21"/>
                <w:szCs w:val="21"/>
                <w:highlight w:val="none"/>
                <w:u w:val="none"/>
                <w:lang w:val="en-US" w:eastAsia="zh-CN"/>
              </w:rPr>
            </w:pPr>
            <w:r>
              <w:rPr>
                <w:rFonts w:hint="eastAsia" w:eastAsia="楷体" w:cs="Times New Roman"/>
                <w:b w:val="0"/>
                <w:bCs w:val="0"/>
                <w:color w:val="auto"/>
                <w:kern w:val="0"/>
                <w:sz w:val="21"/>
                <w:szCs w:val="21"/>
                <w:highlight w:val="none"/>
                <w:u w:val="none"/>
                <w:lang w:val="en-US" w:eastAsia="zh-CN"/>
              </w:rPr>
              <w:t>7.每万人口高价值发明专利拥有量（件）</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51E62B37">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仿宋_GB2312" w:cs="Times New Roman"/>
                <w:b w:val="0"/>
                <w:bCs w:val="0"/>
                <w:color w:val="auto"/>
                <w:kern w:val="0"/>
                <w:sz w:val="21"/>
                <w:szCs w:val="21"/>
                <w:highlight w:val="none"/>
                <w:u w:val="none"/>
                <w:lang w:val="en-US" w:eastAsia="zh-CN"/>
              </w:rPr>
            </w:pPr>
            <w:r>
              <w:rPr>
                <w:rFonts w:hint="eastAsia" w:eastAsia="仿宋_GB2312" w:cs="Times New Roman"/>
                <w:b w:val="0"/>
                <w:bCs w:val="0"/>
                <w:color w:val="auto"/>
                <w:kern w:val="0"/>
                <w:sz w:val="21"/>
                <w:szCs w:val="21"/>
                <w:highlight w:val="none"/>
                <w:u w:val="none"/>
                <w:lang w:val="en-US" w:eastAsia="zh-CN"/>
              </w:rPr>
              <w:t>1.21</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63CC9CDC">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b w:val="0"/>
                <w:bCs w:val="0"/>
                <w:color w:val="000000"/>
                <w:kern w:val="0"/>
                <w:sz w:val="21"/>
                <w:szCs w:val="21"/>
                <w:highlight w:val="none"/>
                <w:lang w:val="en-US" w:eastAsia="zh-CN" w:bidi="ar-SA"/>
                <w:woUserID w:val="13"/>
              </w:rPr>
            </w:pPr>
            <w:r>
              <w:rPr>
                <w:rFonts w:hint="default" w:ascii="Times New Roman" w:hAnsi="Times New Roman" w:eastAsia="仿宋_GB2312" w:cs="Times New Roman"/>
                <w:b w:val="0"/>
                <w:bCs w:val="0"/>
                <w:color w:val="auto"/>
                <w:kern w:val="0"/>
                <w:sz w:val="21"/>
                <w:szCs w:val="21"/>
                <w:highlight w:val="none"/>
                <w:u w:val="none"/>
              </w:rPr>
              <w:t>——</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14:paraId="5306EA16">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楷体" w:cs="Times New Roman"/>
                <w:b w:val="0"/>
                <w:bCs w:val="0"/>
                <w:color w:val="auto"/>
                <w:kern w:val="0"/>
                <w:sz w:val="20"/>
                <w:szCs w:val="20"/>
                <w:highlight w:val="none"/>
                <w:u w:val="none"/>
              </w:rPr>
            </w:pPr>
            <w:r>
              <w:rPr>
                <w:rFonts w:hint="default" w:ascii="Times New Roman" w:hAnsi="Times New Roman" w:eastAsia="楷体" w:cs="Times New Roman"/>
                <w:b w:val="0"/>
                <w:bCs w:val="0"/>
                <w:color w:val="auto"/>
                <w:kern w:val="0"/>
                <w:sz w:val="20"/>
                <w:szCs w:val="20"/>
                <w:highlight w:val="none"/>
                <w:u w:val="none"/>
              </w:rPr>
              <w:t>预期性</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6807E794">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楷体" w:cs="Times New Roman"/>
                <w:b w:val="0"/>
                <w:bCs w:val="0"/>
                <w:color w:val="auto"/>
                <w:kern w:val="0"/>
                <w:sz w:val="20"/>
                <w:szCs w:val="20"/>
                <w:highlight w:val="none"/>
                <w:u w:val="none"/>
                <w:lang w:val="en-US" w:eastAsia="zh-CN"/>
              </w:rPr>
            </w:pPr>
            <w:r>
              <w:rPr>
                <w:rFonts w:hint="default" w:ascii="Times New Roman" w:hAnsi="Times New Roman" w:eastAsia="楷体" w:cs="Times New Roman"/>
                <w:b w:val="0"/>
                <w:bCs w:val="0"/>
                <w:color w:val="auto"/>
                <w:kern w:val="0"/>
                <w:sz w:val="20"/>
                <w:szCs w:val="20"/>
                <w:highlight w:val="none"/>
                <w:u w:val="none"/>
                <w:lang w:val="en-US" w:eastAsia="zh-CN"/>
              </w:rPr>
              <w:t>工信局</w:t>
            </w:r>
          </w:p>
        </w:tc>
      </w:tr>
      <w:tr w14:paraId="113C9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826" w:type="dxa"/>
            <w:vMerge w:val="continue"/>
            <w:tcBorders>
              <w:left w:val="single" w:color="auto" w:sz="4" w:space="0"/>
              <w:right w:val="single" w:color="auto" w:sz="4" w:space="0"/>
            </w:tcBorders>
            <w:shd w:val="clear" w:color="auto" w:fill="auto"/>
            <w:vAlign w:val="center"/>
          </w:tcPr>
          <w:p w14:paraId="37DACC4E">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000000"/>
                <w:kern w:val="0"/>
                <w:sz w:val="24"/>
                <w:szCs w:val="24"/>
                <w:lang w:val="en-US"/>
                <w:woUserID w:val="13"/>
              </w:rPr>
            </w:pPr>
          </w:p>
        </w:tc>
        <w:tc>
          <w:tcPr>
            <w:tcW w:w="38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9A3A53A">
            <w:pPr>
              <w:keepNext w:val="0"/>
              <w:keepLines w:val="0"/>
              <w:widowControl/>
              <w:suppressLineNumbers w:val="0"/>
              <w:adjustRightInd w:val="0"/>
              <w:spacing w:before="0" w:beforeAutospacing="0" w:after="0" w:afterAutospacing="0" w:line="400" w:lineRule="exact"/>
              <w:ind w:left="0" w:right="0"/>
              <w:jc w:val="both"/>
              <w:rPr>
                <w:rFonts w:hint="default" w:ascii="Times New Roman" w:hAnsi="Times New Roman" w:eastAsia="楷体" w:cs="Times New Roman"/>
                <w:b w:val="0"/>
                <w:bCs w:val="0"/>
                <w:color w:val="auto"/>
                <w:kern w:val="0"/>
                <w:sz w:val="21"/>
                <w:szCs w:val="21"/>
                <w:highlight w:val="none"/>
                <w:u w:val="none"/>
                <w:lang w:val="en-US" w:eastAsia="zh-CN"/>
              </w:rPr>
            </w:pPr>
            <w:r>
              <w:rPr>
                <w:rFonts w:hint="eastAsia" w:eastAsia="楷体" w:cs="Times New Roman"/>
                <w:b w:val="0"/>
                <w:bCs w:val="0"/>
                <w:color w:val="auto"/>
                <w:kern w:val="0"/>
                <w:sz w:val="21"/>
                <w:szCs w:val="21"/>
                <w:highlight w:val="none"/>
                <w:u w:val="none"/>
                <w:lang w:val="en-US" w:eastAsia="zh-CN"/>
              </w:rPr>
              <w:t>8.数字经济核心产业增加值比重（%）</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23CE5AF8">
            <w:pPr>
              <w:keepNext w:val="0"/>
              <w:keepLines w:val="0"/>
              <w:widowControl/>
              <w:suppressLineNumbers w:val="0"/>
              <w:adjustRightInd w:val="0"/>
              <w:spacing w:before="0" w:beforeAutospacing="0" w:after="0" w:afterAutospacing="0" w:line="400" w:lineRule="exact"/>
              <w:ind w:left="0" w:right="0"/>
              <w:jc w:val="center"/>
              <w:rPr>
                <w:rFonts w:hint="eastAsia" w:ascii="Times New Roman" w:hAnsi="Times New Roman" w:eastAsia="楷体" w:cs="Times New Roman"/>
                <w:b w:val="0"/>
                <w:bCs w:val="0"/>
                <w:color w:val="auto"/>
                <w:kern w:val="0"/>
                <w:sz w:val="21"/>
                <w:szCs w:val="21"/>
                <w:highlight w:val="none"/>
                <w:u w:val="none"/>
                <w:lang w:val="en-US" w:eastAsia="zh-CN"/>
              </w:rPr>
            </w:pPr>
            <w:r>
              <w:rPr>
                <w:rFonts w:hint="eastAsia" w:ascii="Times New Roman" w:hAnsi="Times New Roman" w:eastAsia="楷体" w:cs="Times New Roman"/>
                <w:b w:val="0"/>
                <w:bCs w:val="0"/>
                <w:color w:val="auto"/>
                <w:kern w:val="0"/>
                <w:sz w:val="21"/>
                <w:szCs w:val="21"/>
                <w:highlight w:val="none"/>
                <w:u w:val="none"/>
                <w:lang w:val="en-US" w:eastAsia="zh-CN"/>
              </w:rPr>
              <w:t>完成</w:t>
            </w:r>
          </w:p>
          <w:p w14:paraId="0E4ECC21">
            <w:pPr>
              <w:keepNext w:val="0"/>
              <w:keepLines w:val="0"/>
              <w:widowControl/>
              <w:suppressLineNumbers w:val="0"/>
              <w:adjustRightInd w:val="0"/>
              <w:spacing w:before="0" w:beforeAutospacing="0" w:after="0" w:afterAutospacing="0" w:line="400" w:lineRule="exact"/>
              <w:ind w:left="0" w:right="0"/>
              <w:jc w:val="center"/>
              <w:rPr>
                <w:rFonts w:hint="eastAsia" w:ascii="Times New Roman" w:hAnsi="Times New Roman" w:eastAsia="仿宋_GB2312" w:cs="Times New Roman"/>
                <w:b w:val="0"/>
                <w:bCs w:val="0"/>
                <w:color w:val="auto"/>
                <w:kern w:val="0"/>
                <w:sz w:val="21"/>
                <w:szCs w:val="21"/>
                <w:highlight w:val="none"/>
                <w:u w:val="none"/>
                <w:lang w:val="en-US" w:eastAsia="zh-CN"/>
              </w:rPr>
            </w:pPr>
            <w:r>
              <w:rPr>
                <w:rFonts w:hint="eastAsia" w:ascii="Times New Roman" w:hAnsi="Times New Roman" w:eastAsia="楷体" w:cs="Times New Roman"/>
                <w:b w:val="0"/>
                <w:bCs w:val="0"/>
                <w:color w:val="auto"/>
                <w:kern w:val="0"/>
                <w:sz w:val="21"/>
                <w:szCs w:val="21"/>
                <w:highlight w:val="none"/>
                <w:u w:val="none"/>
                <w:lang w:val="en-US" w:eastAsia="zh-CN"/>
              </w:rPr>
              <w:t>市标</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1BC95591">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b w:val="0"/>
                <w:bCs w:val="0"/>
                <w:color w:val="000000"/>
                <w:kern w:val="0"/>
                <w:sz w:val="21"/>
                <w:szCs w:val="21"/>
                <w:highlight w:val="none"/>
                <w:lang w:val="en-US" w:eastAsia="zh-CN" w:bidi="ar-SA"/>
                <w:woUserID w:val="13"/>
              </w:rPr>
            </w:pPr>
            <w:r>
              <w:rPr>
                <w:rFonts w:hint="default" w:ascii="Times New Roman" w:hAnsi="Times New Roman" w:eastAsia="仿宋_GB2312" w:cs="Times New Roman"/>
                <w:b w:val="0"/>
                <w:bCs w:val="0"/>
                <w:color w:val="auto"/>
                <w:kern w:val="0"/>
                <w:sz w:val="21"/>
                <w:szCs w:val="21"/>
                <w:highlight w:val="none"/>
                <w:u w:val="none"/>
              </w:rPr>
              <w:t>——</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14:paraId="68B89ED8">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楷体" w:cs="Times New Roman"/>
                <w:b w:val="0"/>
                <w:bCs w:val="0"/>
                <w:color w:val="auto"/>
                <w:kern w:val="0"/>
                <w:sz w:val="20"/>
                <w:szCs w:val="20"/>
                <w:highlight w:val="none"/>
                <w:u w:val="none"/>
              </w:rPr>
            </w:pPr>
            <w:r>
              <w:rPr>
                <w:rFonts w:hint="default" w:ascii="Times New Roman" w:hAnsi="Times New Roman" w:eastAsia="楷体" w:cs="Times New Roman"/>
                <w:b w:val="0"/>
                <w:bCs w:val="0"/>
                <w:color w:val="auto"/>
                <w:kern w:val="0"/>
                <w:sz w:val="20"/>
                <w:szCs w:val="20"/>
                <w:highlight w:val="none"/>
                <w:u w:val="none"/>
              </w:rPr>
              <w:t>预期性</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3ABFA874">
            <w:pPr>
              <w:keepNext w:val="0"/>
              <w:keepLines w:val="0"/>
              <w:widowControl/>
              <w:suppressLineNumbers w:val="0"/>
              <w:tabs>
                <w:tab w:val="left" w:pos="267"/>
              </w:tabs>
              <w:adjustRightInd w:val="0"/>
              <w:spacing w:before="0" w:beforeAutospacing="0" w:after="0" w:afterAutospacing="0" w:line="400" w:lineRule="exact"/>
              <w:ind w:left="0" w:leftChars="0" w:right="0" w:rightChars="0"/>
              <w:jc w:val="center"/>
              <w:rPr>
                <w:rFonts w:hint="default" w:ascii="Times New Roman" w:hAnsi="Times New Roman" w:eastAsia="楷体" w:cs="Times New Roman"/>
                <w:b w:val="0"/>
                <w:bCs w:val="0"/>
                <w:color w:val="auto"/>
                <w:kern w:val="0"/>
                <w:sz w:val="20"/>
                <w:szCs w:val="20"/>
                <w:highlight w:val="none"/>
                <w:u w:val="none"/>
                <w:lang w:val="en-US" w:eastAsia="zh-CN"/>
              </w:rPr>
            </w:pPr>
            <w:r>
              <w:rPr>
                <w:rFonts w:hint="eastAsia" w:eastAsia="楷体" w:cs="Times New Roman"/>
                <w:b w:val="0"/>
                <w:bCs w:val="0"/>
                <w:color w:val="auto"/>
                <w:kern w:val="0"/>
                <w:sz w:val="20"/>
                <w:szCs w:val="20"/>
                <w:highlight w:val="none"/>
                <w:u w:val="none"/>
                <w:lang w:val="en-US" w:eastAsia="zh-CN"/>
              </w:rPr>
              <w:t>工信局</w:t>
            </w:r>
          </w:p>
        </w:tc>
      </w:tr>
      <w:tr w14:paraId="4A1D7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826" w:type="dxa"/>
            <w:vMerge w:val="continue"/>
            <w:tcBorders>
              <w:left w:val="single" w:color="auto" w:sz="4" w:space="0"/>
              <w:right w:val="single" w:color="auto" w:sz="4" w:space="0"/>
            </w:tcBorders>
            <w:shd w:val="clear" w:color="auto" w:fill="auto"/>
            <w:vAlign w:val="center"/>
          </w:tcPr>
          <w:p w14:paraId="77F6A66B">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000000"/>
                <w:kern w:val="0"/>
                <w:sz w:val="24"/>
                <w:szCs w:val="24"/>
                <w:lang w:val="en-US"/>
                <w:woUserID w:val="13"/>
              </w:rPr>
            </w:pPr>
          </w:p>
        </w:tc>
        <w:tc>
          <w:tcPr>
            <w:tcW w:w="38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47E0B05">
            <w:pPr>
              <w:keepNext w:val="0"/>
              <w:keepLines w:val="0"/>
              <w:widowControl/>
              <w:suppressLineNumbers w:val="0"/>
              <w:adjustRightInd w:val="0"/>
              <w:spacing w:before="0" w:beforeAutospacing="0" w:after="0" w:afterAutospacing="0" w:line="400" w:lineRule="exact"/>
              <w:ind w:left="0" w:right="0"/>
              <w:jc w:val="both"/>
              <w:rPr>
                <w:rFonts w:hint="default" w:ascii="Times New Roman" w:hAnsi="Times New Roman" w:eastAsia="楷体" w:cs="Times New Roman"/>
                <w:b w:val="0"/>
                <w:bCs w:val="0"/>
                <w:color w:val="auto"/>
                <w:kern w:val="0"/>
                <w:sz w:val="21"/>
                <w:szCs w:val="21"/>
                <w:highlight w:val="none"/>
                <w:u w:val="none"/>
                <w:lang w:val="en-US" w:eastAsia="zh-CN"/>
              </w:rPr>
            </w:pPr>
            <w:r>
              <w:rPr>
                <w:rFonts w:hint="eastAsia" w:eastAsia="楷体" w:cs="Times New Roman"/>
                <w:b w:val="0"/>
                <w:bCs w:val="0"/>
                <w:color w:val="auto"/>
                <w:kern w:val="0"/>
                <w:sz w:val="21"/>
                <w:szCs w:val="21"/>
                <w:highlight w:val="none"/>
                <w:u w:val="none"/>
                <w:lang w:val="en-US" w:eastAsia="zh-CN"/>
              </w:rPr>
              <w:t>9.工业战略性新兴产业总产值占工业总产值比重（%）</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4F6FCA88">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仿宋_GB2312" w:cs="Times New Roman"/>
                <w:b w:val="0"/>
                <w:bCs w:val="0"/>
                <w:color w:val="auto"/>
                <w:kern w:val="0"/>
                <w:sz w:val="21"/>
                <w:szCs w:val="21"/>
                <w:highlight w:val="none"/>
                <w:u w:val="none"/>
                <w:lang w:val="en-US" w:eastAsia="zh-CN"/>
              </w:rPr>
            </w:pPr>
            <w:r>
              <w:rPr>
                <w:rFonts w:hint="eastAsia" w:eastAsia="仿宋_GB2312" w:cs="Times New Roman"/>
                <w:b w:val="0"/>
                <w:bCs w:val="0"/>
                <w:color w:val="auto"/>
                <w:kern w:val="0"/>
                <w:sz w:val="21"/>
                <w:szCs w:val="21"/>
                <w:highlight w:val="none"/>
                <w:u w:val="none"/>
                <w:lang w:val="en-US" w:eastAsia="zh-CN"/>
              </w:rPr>
              <w:t>19</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3BE50BDD">
            <w:pPr>
              <w:keepNext w:val="0"/>
              <w:keepLines w:val="0"/>
              <w:widowControl/>
              <w:suppressLineNumbers w:val="0"/>
              <w:spacing w:before="0" w:beforeAutospacing="0" w:after="0" w:afterAutospacing="0"/>
              <w:ind w:left="0" w:leftChars="0" w:right="0" w:rightChars="0"/>
              <w:jc w:val="center"/>
              <w:textAlignment w:val="center"/>
              <w:rPr>
                <w:rFonts w:hint="default" w:ascii="Times New Roman" w:hAnsi="Times New Roman" w:eastAsia="仿宋_GB2312" w:cs="Times New Roman"/>
                <w:b w:val="0"/>
                <w:bCs w:val="0"/>
                <w:color w:val="000000"/>
                <w:kern w:val="0"/>
                <w:sz w:val="21"/>
                <w:szCs w:val="21"/>
                <w:highlight w:val="none"/>
                <w:lang w:val="en-US" w:eastAsia="zh-CN" w:bidi="ar-SA"/>
                <w:woUserID w:val="13"/>
              </w:rPr>
            </w:pPr>
            <w:r>
              <w:rPr>
                <w:rFonts w:hint="default" w:ascii="Times New Roman" w:hAnsi="Times New Roman" w:eastAsia="仿宋_GB2312" w:cs="Times New Roman"/>
                <w:b w:val="0"/>
                <w:bCs w:val="0"/>
                <w:color w:val="auto"/>
                <w:kern w:val="0"/>
                <w:sz w:val="21"/>
                <w:szCs w:val="21"/>
                <w:highlight w:val="none"/>
                <w:u w:val="none"/>
              </w:rPr>
              <w:t>——</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14:paraId="7B31B438">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楷体" w:cs="Times New Roman"/>
                <w:b w:val="0"/>
                <w:bCs w:val="0"/>
                <w:color w:val="auto"/>
                <w:kern w:val="0"/>
                <w:sz w:val="20"/>
                <w:szCs w:val="20"/>
                <w:highlight w:val="none"/>
                <w:u w:val="none"/>
              </w:rPr>
            </w:pPr>
            <w:r>
              <w:rPr>
                <w:rFonts w:hint="default" w:ascii="Times New Roman" w:hAnsi="Times New Roman" w:eastAsia="楷体" w:cs="Times New Roman"/>
                <w:b w:val="0"/>
                <w:bCs w:val="0"/>
                <w:color w:val="auto"/>
                <w:kern w:val="0"/>
                <w:sz w:val="20"/>
                <w:szCs w:val="20"/>
                <w:highlight w:val="none"/>
                <w:u w:val="none"/>
              </w:rPr>
              <w:t>预期性</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37C505F3">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楷体" w:cs="Times New Roman"/>
                <w:b w:val="0"/>
                <w:bCs w:val="0"/>
                <w:color w:val="auto"/>
                <w:kern w:val="0"/>
                <w:sz w:val="20"/>
                <w:szCs w:val="20"/>
                <w:highlight w:val="none"/>
                <w:u w:val="none"/>
                <w:lang w:val="en-US" w:eastAsia="zh-CN"/>
              </w:rPr>
            </w:pPr>
            <w:r>
              <w:rPr>
                <w:rFonts w:hint="default" w:ascii="Times New Roman" w:hAnsi="Times New Roman" w:eastAsia="楷体" w:cs="Times New Roman"/>
                <w:b w:val="0"/>
                <w:bCs w:val="0"/>
                <w:color w:val="auto"/>
                <w:kern w:val="0"/>
                <w:sz w:val="20"/>
                <w:szCs w:val="20"/>
                <w:highlight w:val="none"/>
                <w:u w:val="none"/>
                <w:lang w:val="en-US" w:eastAsia="zh-CN"/>
              </w:rPr>
              <w:t>工信局</w:t>
            </w:r>
          </w:p>
        </w:tc>
      </w:tr>
      <w:tr w14:paraId="69C79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26" w:type="dxa"/>
            <w:vMerge w:val="restart"/>
            <w:tcBorders>
              <w:top w:val="single" w:color="auto" w:sz="4" w:space="0"/>
              <w:left w:val="single" w:color="auto" w:sz="4" w:space="0"/>
              <w:right w:val="single" w:color="auto" w:sz="4" w:space="0"/>
            </w:tcBorders>
            <w:shd w:val="clear" w:color="auto" w:fill="auto"/>
            <w:vAlign w:val="center"/>
          </w:tcPr>
          <w:p w14:paraId="0A2FDE0E">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4"/>
                <w:szCs w:val="24"/>
                <w:highlight w:val="none"/>
                <w:u w:val="none"/>
                <w:lang w:val="en-US" w:eastAsia="zh-CN"/>
              </w:rPr>
            </w:pPr>
            <w:r>
              <w:rPr>
                <w:rFonts w:hint="eastAsia" w:ascii="Times New Roman" w:hAnsi="Times New Roman" w:eastAsia="楷体" w:cs="Times New Roman"/>
                <w:b w:val="0"/>
                <w:bCs w:val="0"/>
                <w:color w:val="auto"/>
                <w:kern w:val="0"/>
                <w:sz w:val="24"/>
                <w:szCs w:val="24"/>
                <w:highlight w:val="none"/>
                <w:u w:val="none"/>
                <w:lang w:val="en-US" w:eastAsia="zh-CN"/>
              </w:rPr>
              <w:t>民生</w:t>
            </w:r>
            <w:r>
              <w:rPr>
                <w:rFonts w:hint="eastAsia" w:ascii="Times New Roman" w:hAnsi="Times New Roman" w:eastAsia="楷体" w:cs="Times New Roman"/>
                <w:b w:val="0"/>
                <w:bCs w:val="0"/>
                <w:color w:val="auto"/>
                <w:kern w:val="0"/>
                <w:sz w:val="24"/>
                <w:szCs w:val="24"/>
                <w:highlight w:val="none"/>
                <w:u w:val="none"/>
                <w:lang w:val="en-US" w:eastAsia="zh-CN"/>
              </w:rPr>
              <w:br w:type="textWrapping"/>
            </w:r>
            <w:r>
              <w:rPr>
                <w:rFonts w:hint="eastAsia" w:ascii="Times New Roman" w:hAnsi="Times New Roman" w:eastAsia="楷体" w:cs="Times New Roman"/>
                <w:b w:val="0"/>
                <w:bCs w:val="0"/>
                <w:color w:val="auto"/>
                <w:kern w:val="0"/>
                <w:sz w:val="24"/>
                <w:szCs w:val="24"/>
                <w:highlight w:val="none"/>
                <w:u w:val="none"/>
                <w:lang w:val="en-US" w:eastAsia="zh-CN"/>
              </w:rPr>
              <w:t>福祉</w:t>
            </w:r>
          </w:p>
        </w:tc>
        <w:tc>
          <w:tcPr>
            <w:tcW w:w="38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422AC2B">
            <w:pPr>
              <w:jc w:val="both"/>
              <w:rPr>
                <w:rFonts w:hint="default" w:ascii="Times New Roman" w:hAnsi="Times New Roman" w:eastAsia="楷体" w:cs="Times New Roman"/>
                <w:b w:val="0"/>
                <w:bCs w:val="0"/>
                <w:color w:val="auto"/>
                <w:kern w:val="0"/>
                <w:sz w:val="21"/>
                <w:szCs w:val="21"/>
                <w:highlight w:val="none"/>
                <w:u w:val="none"/>
                <w:lang w:val="en-US" w:eastAsia="zh-CN"/>
              </w:rPr>
            </w:pPr>
            <w:r>
              <w:rPr>
                <w:rFonts w:hint="eastAsia" w:eastAsia="楷体" w:cs="Times New Roman"/>
                <w:b w:val="0"/>
                <w:bCs w:val="0"/>
                <w:color w:val="auto"/>
                <w:kern w:val="0"/>
                <w:sz w:val="21"/>
                <w:szCs w:val="21"/>
                <w:highlight w:val="none"/>
                <w:u w:val="none"/>
                <w:lang w:val="en-US" w:eastAsia="zh-CN"/>
              </w:rPr>
              <w:t>10</w:t>
            </w:r>
            <w:r>
              <w:rPr>
                <w:rFonts w:hint="default" w:ascii="Times New Roman" w:hAnsi="Times New Roman" w:eastAsia="楷体" w:cs="Times New Roman"/>
                <w:b w:val="0"/>
                <w:bCs w:val="0"/>
                <w:color w:val="auto"/>
                <w:kern w:val="0"/>
                <w:sz w:val="21"/>
                <w:szCs w:val="21"/>
                <w:highlight w:val="none"/>
                <w:u w:val="none"/>
                <w:lang w:val="en"/>
              </w:rPr>
              <w:t>.</w:t>
            </w:r>
            <w:r>
              <w:rPr>
                <w:rFonts w:hint="default" w:ascii="Times New Roman" w:hAnsi="Times New Roman" w:eastAsia="楷体" w:cs="Times New Roman"/>
                <w:b w:val="0"/>
                <w:bCs w:val="0"/>
                <w:color w:val="auto"/>
                <w:kern w:val="0"/>
                <w:sz w:val="21"/>
                <w:szCs w:val="21"/>
                <w:highlight w:val="none"/>
                <w:u w:val="none"/>
              </w:rPr>
              <w:t>居民人均可支配收入增长</w:t>
            </w:r>
            <w:r>
              <w:rPr>
                <w:rFonts w:hint="default" w:ascii="Times New Roman" w:hAnsi="Times New Roman" w:eastAsia="楷体" w:cs="Times New Roman"/>
                <w:b w:val="0"/>
                <w:bCs w:val="0"/>
                <w:color w:val="auto"/>
                <w:kern w:val="0"/>
                <w:sz w:val="21"/>
                <w:szCs w:val="21"/>
                <w:highlight w:val="none"/>
                <w:u w:val="none"/>
                <w:lang w:eastAsia="zh-CN"/>
              </w:rPr>
              <w:t>（</w:t>
            </w:r>
            <w:r>
              <w:rPr>
                <w:rFonts w:hint="default" w:ascii="Times New Roman" w:hAnsi="Times New Roman" w:eastAsia="楷体" w:cs="Times New Roman"/>
                <w:b w:val="0"/>
                <w:bCs w:val="0"/>
                <w:color w:val="auto"/>
                <w:kern w:val="0"/>
                <w:sz w:val="21"/>
                <w:szCs w:val="21"/>
                <w:highlight w:val="none"/>
                <w:u w:val="none"/>
              </w:rPr>
              <w:t>%</w:t>
            </w:r>
            <w:r>
              <w:rPr>
                <w:rFonts w:hint="default" w:ascii="Times New Roman" w:hAnsi="Times New Roman" w:eastAsia="楷体" w:cs="Times New Roman"/>
                <w:b w:val="0"/>
                <w:bCs w:val="0"/>
                <w:color w:val="auto"/>
                <w:kern w:val="0"/>
                <w:sz w:val="21"/>
                <w:szCs w:val="21"/>
                <w:highlight w:val="none"/>
                <w:u w:val="none"/>
                <w:lang w:eastAsia="zh-CN"/>
              </w:rPr>
              <w:t>）</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7048BEC6">
            <w:pPr>
              <w:jc w:val="center"/>
              <w:rPr>
                <w:rFonts w:hint="default" w:ascii="Times New Roman" w:hAnsi="Times New Roman" w:eastAsia="仿宋_GB2312" w:cs="Times New Roman"/>
                <w:b w:val="0"/>
                <w:bCs w:val="0"/>
                <w:color w:val="auto"/>
                <w:kern w:val="0"/>
                <w:sz w:val="21"/>
                <w:szCs w:val="21"/>
                <w:highlight w:val="none"/>
                <w:u w:val="none"/>
              </w:rPr>
            </w:pPr>
            <w:r>
              <w:rPr>
                <w:rFonts w:hint="default" w:ascii="Times New Roman" w:hAnsi="Times New Roman" w:eastAsia="仿宋_GB2312" w:cs="Times New Roman"/>
                <w:b w:val="0"/>
                <w:bCs w:val="0"/>
                <w:color w:val="auto"/>
                <w:kern w:val="0"/>
                <w:sz w:val="21"/>
                <w:szCs w:val="21"/>
                <w:highlight w:val="none"/>
                <w:u w:val="none"/>
              </w:rPr>
              <w:t>——</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3BCF22E0">
            <w:pPr>
              <w:jc w:val="center"/>
              <w:rPr>
                <w:rFonts w:hint="default" w:ascii="Times New Roman" w:hAnsi="Times New Roman" w:eastAsia="仿宋_GB2312" w:cs="Times New Roman"/>
                <w:b w:val="0"/>
                <w:bCs w:val="0"/>
                <w:color w:val="auto"/>
                <w:kern w:val="0"/>
                <w:sz w:val="21"/>
                <w:szCs w:val="21"/>
                <w:highlight w:val="none"/>
                <w:u w:val="none"/>
                <w:lang w:val="en-US" w:eastAsia="zh-CN"/>
              </w:rPr>
            </w:pPr>
            <w:r>
              <w:rPr>
                <w:rFonts w:hint="eastAsia" w:eastAsia="仿宋_GB2312" w:cs="Times New Roman"/>
                <w:b w:val="0"/>
                <w:bCs w:val="0"/>
                <w:color w:val="auto"/>
                <w:kern w:val="0"/>
                <w:sz w:val="21"/>
                <w:szCs w:val="21"/>
                <w:highlight w:val="none"/>
                <w:u w:val="none"/>
                <w:lang w:val="en-US" w:eastAsia="zh-CN"/>
              </w:rPr>
              <w:t>5.5</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14:paraId="4E15024E">
            <w:pPr>
              <w:jc w:val="center"/>
              <w:rPr>
                <w:rFonts w:hint="default" w:ascii="Times New Roman" w:hAnsi="Times New Roman" w:eastAsia="楷体" w:cs="Times New Roman"/>
                <w:b w:val="0"/>
                <w:bCs w:val="0"/>
                <w:color w:val="auto"/>
                <w:kern w:val="0"/>
                <w:sz w:val="20"/>
                <w:szCs w:val="20"/>
                <w:highlight w:val="none"/>
                <w:u w:val="none"/>
              </w:rPr>
            </w:pPr>
            <w:r>
              <w:rPr>
                <w:rFonts w:hint="default" w:ascii="Times New Roman" w:hAnsi="Times New Roman" w:eastAsia="楷体" w:cs="Times New Roman"/>
                <w:b w:val="0"/>
                <w:bCs w:val="0"/>
                <w:color w:val="auto"/>
                <w:kern w:val="0"/>
                <w:sz w:val="20"/>
                <w:szCs w:val="20"/>
                <w:highlight w:val="none"/>
                <w:u w:val="none"/>
              </w:rPr>
              <w:t>预期性</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79E9F3FF">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highlight w:val="none"/>
                <w:u w:val="none"/>
                <w:lang w:val="en-US" w:eastAsia="zh-CN"/>
              </w:rPr>
            </w:pPr>
            <w:r>
              <w:rPr>
                <w:rFonts w:hint="default" w:ascii="Times New Roman" w:hAnsi="Times New Roman" w:eastAsia="楷体" w:cs="Times New Roman"/>
                <w:b w:val="0"/>
                <w:bCs w:val="0"/>
                <w:color w:val="auto"/>
                <w:kern w:val="0"/>
                <w:sz w:val="20"/>
                <w:szCs w:val="20"/>
                <w:highlight w:val="none"/>
                <w:u w:val="none"/>
                <w:lang w:val="en-US" w:eastAsia="zh-CN"/>
              </w:rPr>
              <w:t>发改局</w:t>
            </w:r>
          </w:p>
          <w:p w14:paraId="4E5F644F">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highlight w:val="none"/>
                <w:u w:val="none"/>
                <w:lang w:val="en-US" w:eastAsia="zh-CN"/>
              </w:rPr>
            </w:pPr>
            <w:r>
              <w:rPr>
                <w:rFonts w:hint="default" w:ascii="Times New Roman" w:hAnsi="Times New Roman" w:eastAsia="楷体" w:cs="Times New Roman"/>
                <w:b w:val="0"/>
                <w:bCs w:val="0"/>
                <w:color w:val="auto"/>
                <w:kern w:val="0"/>
                <w:sz w:val="20"/>
                <w:szCs w:val="20"/>
                <w:highlight w:val="none"/>
                <w:u w:val="none"/>
                <w:lang w:val="en-US" w:eastAsia="zh-CN"/>
              </w:rPr>
              <w:t>农业局</w:t>
            </w:r>
          </w:p>
        </w:tc>
      </w:tr>
      <w:tr w14:paraId="3CAA9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6" w:type="dxa"/>
            <w:vMerge w:val="continue"/>
            <w:tcBorders>
              <w:left w:val="single" w:color="auto" w:sz="4" w:space="0"/>
              <w:right w:val="single" w:color="auto" w:sz="4" w:space="0"/>
            </w:tcBorders>
            <w:shd w:val="clear" w:color="auto" w:fill="auto"/>
            <w:vAlign w:val="center"/>
          </w:tcPr>
          <w:p w14:paraId="69F8DDB8">
            <w:pPr>
              <w:jc w:val="center"/>
              <w:rPr>
                <w:rFonts w:hint="eastAsia" w:ascii="Times New Roman" w:hAnsi="Times New Roman" w:eastAsia="宋体" w:cs="Times New Roman"/>
                <w:b w:val="0"/>
                <w:bCs w:val="0"/>
                <w:sz w:val="21"/>
                <w:szCs w:val="24"/>
                <w:lang w:val="en-US" w:eastAsia="zh-CN"/>
              </w:rPr>
            </w:pPr>
            <w:r>
              <w:rPr>
                <w:rFonts w:hint="eastAsia" w:cs="Times New Roman"/>
                <w:b w:val="0"/>
                <w:bCs w:val="0"/>
                <w:sz w:val="21"/>
                <w:szCs w:val="24"/>
                <w:lang w:val="en-US" w:eastAsia="zh-CN"/>
              </w:rPr>
              <w:t>民生福祉</w:t>
            </w:r>
          </w:p>
        </w:tc>
        <w:tc>
          <w:tcPr>
            <w:tcW w:w="38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ED828A4">
            <w:pPr>
              <w:jc w:val="both"/>
              <w:rPr>
                <w:rFonts w:hint="eastAsia" w:ascii="Times New Roman" w:hAnsi="Times New Roman" w:eastAsia="楷体" w:cs="Times New Roman"/>
                <w:b w:val="0"/>
                <w:bCs w:val="0"/>
                <w:color w:val="auto"/>
                <w:sz w:val="21"/>
                <w:szCs w:val="24"/>
                <w:lang w:eastAsia="zh-CN"/>
              </w:rPr>
            </w:pPr>
            <w:r>
              <w:rPr>
                <w:rFonts w:hint="eastAsia" w:eastAsia="楷体" w:cs="Times New Roman"/>
                <w:b w:val="0"/>
                <w:bCs w:val="0"/>
                <w:color w:val="auto"/>
                <w:kern w:val="0"/>
                <w:sz w:val="21"/>
                <w:szCs w:val="21"/>
                <w:highlight w:val="none"/>
                <w:u w:val="none"/>
                <w:lang w:val="en-US" w:eastAsia="zh-CN"/>
              </w:rPr>
              <w:t>11</w:t>
            </w:r>
            <w:r>
              <w:rPr>
                <w:rFonts w:hint="default" w:ascii="Times New Roman" w:hAnsi="Times New Roman" w:eastAsia="楷体" w:cs="Times New Roman"/>
                <w:b w:val="0"/>
                <w:bCs w:val="0"/>
                <w:color w:val="auto"/>
                <w:kern w:val="0"/>
                <w:sz w:val="21"/>
                <w:szCs w:val="21"/>
                <w:highlight w:val="none"/>
                <w:u w:val="none"/>
                <w:lang w:val="en"/>
              </w:rPr>
              <w:t>.</w:t>
            </w:r>
            <w:r>
              <w:rPr>
                <w:rFonts w:hint="default" w:ascii="Times New Roman" w:hAnsi="Times New Roman" w:eastAsia="楷体" w:cs="Times New Roman"/>
                <w:b w:val="0"/>
                <w:bCs w:val="0"/>
                <w:color w:val="auto"/>
                <w:kern w:val="0"/>
                <w:sz w:val="21"/>
                <w:szCs w:val="21"/>
                <w:highlight w:val="none"/>
                <w:u w:val="none"/>
              </w:rPr>
              <w:t>劳动年龄人口平均受教育年限</w:t>
            </w:r>
            <w:r>
              <w:rPr>
                <w:rFonts w:hint="eastAsia" w:ascii="Times New Roman" w:hAnsi="Times New Roman" w:eastAsia="楷体" w:cs="Times New Roman"/>
                <w:b w:val="0"/>
                <w:bCs w:val="0"/>
                <w:color w:val="auto"/>
                <w:kern w:val="0"/>
                <w:sz w:val="21"/>
                <w:szCs w:val="21"/>
                <w:highlight w:val="none"/>
                <w:u w:val="none"/>
                <w:lang w:eastAsia="zh-CN"/>
              </w:rPr>
              <w:t>（</w:t>
            </w:r>
            <w:r>
              <w:rPr>
                <w:rFonts w:hint="default" w:ascii="Times New Roman" w:hAnsi="Times New Roman" w:eastAsia="楷体" w:cs="Times New Roman"/>
                <w:b w:val="0"/>
                <w:bCs w:val="0"/>
                <w:color w:val="auto"/>
                <w:kern w:val="0"/>
                <w:sz w:val="21"/>
                <w:szCs w:val="21"/>
                <w:highlight w:val="none"/>
                <w:u w:val="none"/>
              </w:rPr>
              <w:t>年</w:t>
            </w:r>
            <w:r>
              <w:rPr>
                <w:rFonts w:hint="eastAsia" w:ascii="Times New Roman" w:hAnsi="Times New Roman" w:eastAsia="楷体" w:cs="Times New Roman"/>
                <w:b w:val="0"/>
                <w:bCs w:val="0"/>
                <w:color w:val="auto"/>
                <w:kern w:val="0"/>
                <w:sz w:val="21"/>
                <w:szCs w:val="21"/>
                <w:highlight w:val="none"/>
                <w:u w:val="none"/>
                <w:lang w:eastAsia="zh-CN"/>
              </w:rPr>
              <w:t>）</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207B31ED">
            <w:pPr>
              <w:jc w:val="center"/>
              <w:rPr>
                <w:rFonts w:hint="eastAsia" w:ascii="Times New Roman" w:hAnsi="Times New Roman" w:eastAsia="仿宋_GB2312" w:cs="Times New Roman"/>
                <w:b w:val="0"/>
                <w:bCs w:val="0"/>
                <w:color w:val="auto"/>
                <w:sz w:val="18"/>
                <w:szCs w:val="21"/>
                <w:lang w:val="en-US" w:eastAsia="zh-CN"/>
              </w:rPr>
            </w:pPr>
            <w:r>
              <w:rPr>
                <w:rFonts w:hint="default" w:ascii="Times New Roman" w:hAnsi="Times New Roman" w:eastAsia="楷体" w:cs="Times New Roman"/>
                <w:b w:val="0"/>
                <w:bCs w:val="0"/>
                <w:color w:val="auto"/>
                <w:kern w:val="0"/>
                <w:sz w:val="21"/>
                <w:szCs w:val="21"/>
                <w:highlight w:val="none"/>
                <w:u w:val="none"/>
                <w:lang w:val="en-US" w:eastAsia="zh-CN"/>
              </w:rPr>
              <w:t>12以上</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6E93EF8B">
            <w:pPr>
              <w:jc w:val="center"/>
              <w:rPr>
                <w:rFonts w:hint="default" w:ascii="Times New Roman" w:hAnsi="Times New Roman" w:cs="Times New Roman"/>
                <w:b w:val="0"/>
                <w:bCs w:val="0"/>
                <w:color w:val="auto"/>
                <w:sz w:val="21"/>
                <w:szCs w:val="24"/>
              </w:rPr>
            </w:pPr>
            <w:r>
              <w:rPr>
                <w:rFonts w:hint="default" w:ascii="Times New Roman" w:hAnsi="Times New Roman" w:eastAsia="仿宋_GB2312" w:cs="Times New Roman"/>
                <w:b w:val="0"/>
                <w:bCs w:val="0"/>
                <w:color w:val="auto"/>
                <w:kern w:val="0"/>
                <w:sz w:val="21"/>
                <w:szCs w:val="21"/>
                <w:highlight w:val="none"/>
                <w:u w:val="none"/>
              </w:rPr>
              <w:t>——</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14:paraId="757F666E">
            <w:pPr>
              <w:jc w:val="center"/>
              <w:rPr>
                <w:rFonts w:hint="default" w:ascii="Times New Roman" w:hAnsi="Times New Roman" w:cs="Times New Roman"/>
                <w:b w:val="0"/>
                <w:bCs w:val="0"/>
                <w:color w:val="auto"/>
                <w:sz w:val="20"/>
                <w:szCs w:val="22"/>
              </w:rPr>
            </w:pPr>
            <w:r>
              <w:rPr>
                <w:rFonts w:hint="default" w:ascii="Times New Roman" w:hAnsi="Times New Roman" w:eastAsia="楷体" w:cs="Times New Roman"/>
                <w:b w:val="0"/>
                <w:bCs w:val="0"/>
                <w:color w:val="auto"/>
                <w:kern w:val="0"/>
                <w:sz w:val="20"/>
                <w:szCs w:val="20"/>
                <w:highlight w:val="none"/>
                <w:u w:val="none"/>
              </w:rPr>
              <w:t>约束性</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4377F416">
            <w:pPr>
              <w:jc w:val="center"/>
              <w:rPr>
                <w:rFonts w:hint="default" w:ascii="Times New Roman" w:hAnsi="Times New Roman" w:eastAsia="楷体" w:cs="Times New Roman"/>
                <w:b w:val="0"/>
                <w:bCs w:val="0"/>
                <w:color w:val="auto"/>
                <w:kern w:val="0"/>
                <w:sz w:val="20"/>
                <w:szCs w:val="20"/>
                <w:highlight w:val="none"/>
                <w:u w:val="none"/>
                <w:lang w:val="en-US" w:eastAsia="zh-CN"/>
              </w:rPr>
            </w:pPr>
            <w:r>
              <w:rPr>
                <w:rFonts w:hint="default" w:ascii="Times New Roman" w:hAnsi="Times New Roman" w:eastAsia="楷体" w:cs="Times New Roman"/>
                <w:b w:val="0"/>
                <w:bCs w:val="0"/>
                <w:color w:val="auto"/>
                <w:kern w:val="0"/>
                <w:sz w:val="20"/>
                <w:szCs w:val="20"/>
                <w:highlight w:val="none"/>
                <w:u w:val="none"/>
                <w:lang w:val="en-US" w:eastAsia="zh-CN"/>
              </w:rPr>
              <w:t>教育局</w:t>
            </w:r>
          </w:p>
        </w:tc>
      </w:tr>
      <w:tr w14:paraId="20AE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826" w:type="dxa"/>
            <w:vMerge w:val="continue"/>
            <w:tcBorders>
              <w:left w:val="single" w:color="auto" w:sz="4" w:space="0"/>
              <w:right w:val="single" w:color="auto" w:sz="4" w:space="0"/>
            </w:tcBorders>
            <w:shd w:val="clear" w:color="auto" w:fill="auto"/>
            <w:vAlign w:val="center"/>
          </w:tcPr>
          <w:p w14:paraId="0C422E65">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cs="Times New Roman"/>
                <w:b w:val="0"/>
                <w:bCs w:val="0"/>
                <w:sz w:val="20"/>
                <w:szCs w:val="20"/>
                <w:woUserID w:val="13"/>
              </w:rPr>
            </w:pPr>
          </w:p>
        </w:tc>
        <w:tc>
          <w:tcPr>
            <w:tcW w:w="38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657103D">
            <w:pPr>
              <w:keepNext w:val="0"/>
              <w:keepLines w:val="0"/>
              <w:widowControl/>
              <w:suppressLineNumbers w:val="0"/>
              <w:adjustRightInd w:val="0"/>
              <w:spacing w:before="0" w:beforeAutospacing="0" w:after="0" w:afterAutospacing="0" w:line="400" w:lineRule="exact"/>
              <w:ind w:left="0" w:right="0"/>
              <w:jc w:val="both"/>
              <w:rPr>
                <w:rFonts w:hint="eastAsia" w:ascii="Times New Roman" w:hAnsi="Times New Roman" w:eastAsia="楷体" w:cs="Times New Roman"/>
                <w:b w:val="0"/>
                <w:bCs w:val="0"/>
                <w:color w:val="auto"/>
                <w:kern w:val="0"/>
                <w:sz w:val="21"/>
                <w:szCs w:val="21"/>
                <w:lang w:val="en-US" w:eastAsia="zh-CN"/>
                <w:woUserID w:val="13"/>
              </w:rPr>
            </w:pPr>
            <w:r>
              <w:rPr>
                <w:rFonts w:hint="eastAsia" w:eastAsia="楷体" w:cs="Times New Roman"/>
                <w:b w:val="0"/>
                <w:bCs w:val="0"/>
                <w:color w:val="auto"/>
                <w:kern w:val="0"/>
                <w:sz w:val="21"/>
                <w:szCs w:val="21"/>
                <w:highlight w:val="none"/>
                <w:u w:val="none"/>
                <w:lang w:val="en-US" w:eastAsia="zh-CN"/>
              </w:rPr>
              <w:t>12</w:t>
            </w:r>
            <w:r>
              <w:rPr>
                <w:rFonts w:hint="default" w:ascii="Times New Roman" w:hAnsi="Times New Roman" w:eastAsia="楷体" w:cs="Times New Roman"/>
                <w:b w:val="0"/>
                <w:bCs w:val="0"/>
                <w:color w:val="auto"/>
                <w:kern w:val="0"/>
                <w:sz w:val="21"/>
                <w:szCs w:val="21"/>
                <w:highlight w:val="none"/>
                <w:u w:val="none"/>
                <w:lang w:val="en"/>
              </w:rPr>
              <w:t>.</w:t>
            </w:r>
            <w:r>
              <w:rPr>
                <w:rFonts w:hint="default" w:ascii="Times New Roman" w:hAnsi="Times New Roman" w:eastAsia="楷体" w:cs="Times New Roman"/>
                <w:b w:val="0"/>
                <w:bCs w:val="0"/>
                <w:color w:val="auto"/>
                <w:kern w:val="0"/>
                <w:sz w:val="21"/>
                <w:szCs w:val="21"/>
                <w:highlight w:val="none"/>
                <w:u w:val="none"/>
              </w:rPr>
              <w:t>人均预期寿命</w:t>
            </w:r>
            <w:r>
              <w:rPr>
                <w:rFonts w:hint="eastAsia" w:ascii="Times New Roman" w:hAnsi="Times New Roman" w:eastAsia="楷体" w:cs="Times New Roman"/>
                <w:b w:val="0"/>
                <w:bCs w:val="0"/>
                <w:color w:val="auto"/>
                <w:kern w:val="0"/>
                <w:sz w:val="21"/>
                <w:szCs w:val="21"/>
                <w:highlight w:val="none"/>
                <w:u w:val="none"/>
                <w:lang w:eastAsia="zh-CN"/>
              </w:rPr>
              <w:t>（</w:t>
            </w:r>
            <w:r>
              <w:rPr>
                <w:rFonts w:hint="default" w:ascii="Times New Roman" w:hAnsi="Times New Roman" w:eastAsia="楷体" w:cs="Times New Roman"/>
                <w:b w:val="0"/>
                <w:bCs w:val="0"/>
                <w:color w:val="auto"/>
                <w:kern w:val="0"/>
                <w:sz w:val="21"/>
                <w:szCs w:val="21"/>
                <w:highlight w:val="none"/>
                <w:u w:val="none"/>
              </w:rPr>
              <w:t>岁</w:t>
            </w:r>
            <w:r>
              <w:rPr>
                <w:rFonts w:hint="eastAsia" w:ascii="Times New Roman" w:hAnsi="Times New Roman" w:eastAsia="楷体" w:cs="Times New Roman"/>
                <w:b w:val="0"/>
                <w:bCs w:val="0"/>
                <w:color w:val="auto"/>
                <w:kern w:val="0"/>
                <w:sz w:val="21"/>
                <w:szCs w:val="21"/>
                <w:highlight w:val="none"/>
                <w:u w:val="none"/>
                <w:lang w:eastAsia="zh-CN"/>
              </w:rPr>
              <w:t>）</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2CCCB20A">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仿宋_GB2312" w:cs="Times New Roman"/>
                <w:b w:val="0"/>
                <w:bCs w:val="0"/>
                <w:color w:val="auto"/>
                <w:kern w:val="0"/>
                <w:sz w:val="21"/>
                <w:szCs w:val="21"/>
                <w:lang w:val="en-US" w:eastAsia="zh-CN"/>
                <w:woUserID w:val="13"/>
              </w:rPr>
            </w:pPr>
            <w:r>
              <w:rPr>
                <w:rFonts w:hint="default" w:ascii="Times New Roman" w:hAnsi="Times New Roman" w:eastAsia="仿宋_GB2312" w:cs="Times New Roman"/>
                <w:b w:val="0"/>
                <w:bCs w:val="0"/>
                <w:color w:val="auto"/>
                <w:kern w:val="0"/>
                <w:sz w:val="21"/>
                <w:szCs w:val="21"/>
                <w:highlight w:val="none"/>
                <w:u w:val="none"/>
              </w:rPr>
              <w:t>80</w:t>
            </w:r>
            <w:r>
              <w:rPr>
                <w:rFonts w:hint="eastAsia" w:eastAsia="仿宋_GB2312" w:cs="Times New Roman"/>
                <w:b w:val="0"/>
                <w:bCs w:val="0"/>
                <w:color w:val="auto"/>
                <w:kern w:val="0"/>
                <w:sz w:val="21"/>
                <w:szCs w:val="21"/>
                <w:highlight w:val="none"/>
                <w:u w:val="none"/>
                <w:lang w:val="en-US" w:eastAsia="zh-CN"/>
              </w:rPr>
              <w:t>.43</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6385DD0C">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仿宋_GB2312" w:cs="Times New Roman"/>
                <w:b w:val="0"/>
                <w:bCs w:val="0"/>
                <w:color w:val="auto"/>
                <w:kern w:val="0"/>
                <w:sz w:val="21"/>
                <w:szCs w:val="21"/>
                <w:lang w:val="en-US" w:eastAsia="zh"/>
                <w:woUserID w:val="13"/>
              </w:rPr>
            </w:pPr>
            <w:r>
              <w:rPr>
                <w:rFonts w:hint="default" w:ascii="Times New Roman" w:hAnsi="Times New Roman" w:eastAsia="仿宋_GB2312" w:cs="Times New Roman"/>
                <w:b w:val="0"/>
                <w:bCs w:val="0"/>
                <w:color w:val="auto"/>
                <w:kern w:val="0"/>
                <w:sz w:val="21"/>
                <w:szCs w:val="21"/>
                <w:highlight w:val="none"/>
                <w:u w:val="none"/>
              </w:rPr>
              <w:t>——</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14:paraId="12007727">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lang w:val="en-US"/>
                <w:woUserID w:val="13"/>
              </w:rPr>
            </w:pPr>
            <w:r>
              <w:rPr>
                <w:rFonts w:hint="default" w:ascii="Times New Roman" w:hAnsi="Times New Roman" w:eastAsia="楷体" w:cs="Times New Roman"/>
                <w:b w:val="0"/>
                <w:bCs w:val="0"/>
                <w:color w:val="auto"/>
                <w:kern w:val="0"/>
                <w:sz w:val="20"/>
                <w:szCs w:val="20"/>
                <w:highlight w:val="none"/>
                <w:u w:val="none"/>
              </w:rPr>
              <w:t>预期性</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458488D7">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highlight w:val="none"/>
                <w:u w:val="none"/>
                <w:lang w:val="en-US" w:eastAsia="zh-CN"/>
              </w:rPr>
            </w:pPr>
            <w:r>
              <w:rPr>
                <w:rFonts w:hint="default" w:ascii="Times New Roman" w:hAnsi="Times New Roman" w:eastAsia="楷体" w:cs="Times New Roman"/>
                <w:b w:val="0"/>
                <w:bCs w:val="0"/>
                <w:color w:val="auto"/>
                <w:kern w:val="0"/>
                <w:sz w:val="20"/>
                <w:szCs w:val="20"/>
                <w:highlight w:val="none"/>
                <w:u w:val="none"/>
                <w:lang w:val="en-US" w:eastAsia="zh-CN"/>
              </w:rPr>
              <w:t>卫健局</w:t>
            </w:r>
          </w:p>
        </w:tc>
      </w:tr>
      <w:tr w14:paraId="7246C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0" w:hRule="atLeast"/>
          <w:jc w:val="center"/>
        </w:trPr>
        <w:tc>
          <w:tcPr>
            <w:tcW w:w="826" w:type="dxa"/>
            <w:vMerge w:val="continue"/>
            <w:tcBorders>
              <w:left w:val="single" w:color="auto" w:sz="4" w:space="0"/>
              <w:right w:val="single" w:color="auto" w:sz="4" w:space="0"/>
            </w:tcBorders>
            <w:shd w:val="clear" w:color="auto" w:fill="auto"/>
            <w:vAlign w:val="center"/>
          </w:tcPr>
          <w:p w14:paraId="0F976CFA">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cs="Times New Roman"/>
                <w:b w:val="0"/>
                <w:bCs w:val="0"/>
                <w:sz w:val="20"/>
                <w:szCs w:val="20"/>
                <w:woUserID w:val="13"/>
              </w:rPr>
            </w:pPr>
          </w:p>
        </w:tc>
        <w:tc>
          <w:tcPr>
            <w:tcW w:w="180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BF3545D">
            <w:pPr>
              <w:keepNext w:val="0"/>
              <w:keepLines w:val="0"/>
              <w:widowControl/>
              <w:suppressLineNumbers w:val="0"/>
              <w:adjustRightInd w:val="0"/>
              <w:spacing w:before="0" w:beforeAutospacing="0" w:after="0" w:afterAutospacing="0" w:line="400" w:lineRule="exact"/>
              <w:ind w:left="0" w:right="0"/>
              <w:jc w:val="both"/>
              <w:rPr>
                <w:rFonts w:hint="default" w:ascii="Times New Roman" w:hAnsi="Times New Roman" w:eastAsia="楷体" w:cs="Times New Roman"/>
                <w:b w:val="0"/>
                <w:bCs w:val="0"/>
                <w:color w:val="auto"/>
                <w:kern w:val="0"/>
                <w:sz w:val="21"/>
                <w:szCs w:val="21"/>
                <w:lang w:val="en-US"/>
                <w:woUserID w:val="13"/>
              </w:rPr>
            </w:pPr>
            <w:r>
              <w:rPr>
                <w:rFonts w:hint="default" w:ascii="Times New Roman" w:hAnsi="Times New Roman" w:eastAsia="楷体" w:cs="Times New Roman"/>
                <w:b w:val="0"/>
                <w:bCs w:val="0"/>
                <w:color w:val="auto"/>
                <w:kern w:val="0"/>
                <w:sz w:val="21"/>
                <w:szCs w:val="21"/>
                <w:highlight w:val="none"/>
                <w:u w:val="none"/>
              </w:rPr>
              <w:t>1</w:t>
            </w:r>
            <w:r>
              <w:rPr>
                <w:rFonts w:hint="eastAsia" w:eastAsia="楷体" w:cs="Times New Roman"/>
                <w:b w:val="0"/>
                <w:bCs w:val="0"/>
                <w:color w:val="auto"/>
                <w:kern w:val="0"/>
                <w:sz w:val="21"/>
                <w:szCs w:val="21"/>
                <w:highlight w:val="none"/>
                <w:u w:val="none"/>
                <w:lang w:val="en-US" w:eastAsia="zh-CN"/>
              </w:rPr>
              <w:t>3</w:t>
            </w:r>
            <w:r>
              <w:rPr>
                <w:rFonts w:hint="default" w:ascii="Times New Roman" w:hAnsi="Times New Roman" w:eastAsia="楷体" w:cs="Times New Roman"/>
                <w:b w:val="0"/>
                <w:bCs w:val="0"/>
                <w:color w:val="auto"/>
                <w:kern w:val="0"/>
                <w:sz w:val="21"/>
                <w:szCs w:val="21"/>
                <w:highlight w:val="none"/>
                <w:u w:val="none"/>
                <w:lang w:val="en"/>
              </w:rPr>
              <w:t>.</w:t>
            </w:r>
            <w:r>
              <w:rPr>
                <w:rFonts w:hint="default" w:ascii="Times New Roman" w:hAnsi="Times New Roman" w:eastAsia="楷体" w:cs="Times New Roman"/>
                <w:b w:val="0"/>
                <w:bCs w:val="0"/>
                <w:color w:val="auto"/>
                <w:kern w:val="0"/>
                <w:sz w:val="21"/>
                <w:szCs w:val="21"/>
                <w:highlight w:val="none"/>
                <w:u w:val="none"/>
              </w:rPr>
              <w:t>每千人口拥有医护人员数</w:t>
            </w: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4CC43204">
            <w:pPr>
              <w:keepNext w:val="0"/>
              <w:keepLines w:val="0"/>
              <w:widowControl/>
              <w:suppressLineNumbers w:val="0"/>
              <w:adjustRightInd w:val="0"/>
              <w:spacing w:before="0" w:beforeAutospacing="0" w:after="0" w:afterAutospacing="0" w:line="400" w:lineRule="exact"/>
              <w:ind w:left="0" w:right="0"/>
              <w:jc w:val="both"/>
              <w:rPr>
                <w:rFonts w:hint="default" w:ascii="Times New Roman" w:hAnsi="Times New Roman" w:cs="Times New Roman"/>
                <w:b w:val="0"/>
                <w:bCs w:val="0"/>
                <w:color w:val="auto"/>
                <w:sz w:val="21"/>
                <w:szCs w:val="24"/>
              </w:rPr>
            </w:pPr>
            <w:r>
              <w:rPr>
                <w:rFonts w:hint="default" w:ascii="Times New Roman" w:hAnsi="Times New Roman" w:eastAsia="楷体" w:cs="Times New Roman"/>
                <w:b w:val="0"/>
                <w:bCs w:val="0"/>
                <w:color w:val="auto"/>
                <w:kern w:val="0"/>
                <w:sz w:val="21"/>
                <w:szCs w:val="21"/>
                <w:highlight w:val="none"/>
                <w:u w:val="none"/>
              </w:rPr>
              <w:t>执业医师数</w:t>
            </w:r>
            <w:r>
              <w:rPr>
                <w:rFonts w:hint="eastAsia" w:eastAsia="楷体" w:cs="Times New Roman"/>
                <w:b w:val="0"/>
                <w:bCs w:val="0"/>
                <w:color w:val="auto"/>
                <w:kern w:val="0"/>
                <w:sz w:val="21"/>
                <w:szCs w:val="21"/>
                <w:highlight w:val="none"/>
                <w:u w:val="none"/>
                <w:lang w:eastAsia="zh-CN"/>
              </w:rPr>
              <w:t>（</w:t>
            </w:r>
            <w:r>
              <w:rPr>
                <w:rFonts w:hint="default" w:ascii="Times New Roman" w:hAnsi="Times New Roman" w:eastAsia="楷体" w:cs="Times New Roman"/>
                <w:b w:val="0"/>
                <w:bCs w:val="0"/>
                <w:color w:val="auto"/>
                <w:kern w:val="0"/>
                <w:sz w:val="21"/>
                <w:szCs w:val="21"/>
                <w:highlight w:val="none"/>
                <w:u w:val="none"/>
              </w:rPr>
              <w:t>人）</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74AEFDB1">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仿宋_GB2312" w:cs="Times New Roman"/>
                <w:b w:val="0"/>
                <w:bCs w:val="0"/>
                <w:color w:val="auto"/>
                <w:kern w:val="0"/>
                <w:sz w:val="21"/>
                <w:szCs w:val="21"/>
                <w:lang w:val="en-US" w:eastAsia="zh"/>
                <w:woUserID w:val="13"/>
              </w:rPr>
            </w:pPr>
            <w:r>
              <w:rPr>
                <w:rFonts w:hint="default" w:ascii="Times New Roman" w:hAnsi="Times New Roman" w:eastAsia="仿宋_GB2312" w:cs="Times New Roman"/>
                <w:b w:val="0"/>
                <w:bCs w:val="0"/>
                <w:color w:val="auto"/>
                <w:kern w:val="0"/>
                <w:sz w:val="21"/>
                <w:szCs w:val="21"/>
                <w:highlight w:val="none"/>
                <w:u w:val="none"/>
                <w:lang w:val="en-US" w:eastAsia="zh-CN"/>
              </w:rPr>
              <w:t>2</w:t>
            </w:r>
            <w:r>
              <w:rPr>
                <w:rFonts w:hint="default" w:ascii="Times New Roman" w:hAnsi="Times New Roman" w:eastAsia="仿宋_GB2312" w:cs="Times New Roman"/>
                <w:b w:val="0"/>
                <w:bCs w:val="0"/>
                <w:color w:val="auto"/>
                <w:kern w:val="0"/>
                <w:sz w:val="21"/>
                <w:szCs w:val="21"/>
                <w:highlight w:val="none"/>
                <w:u w:val="none"/>
              </w:rPr>
              <w:t>.</w:t>
            </w:r>
            <w:r>
              <w:rPr>
                <w:rFonts w:hint="default" w:ascii="Times New Roman" w:hAnsi="Times New Roman" w:eastAsia="仿宋_GB2312" w:cs="Times New Roman"/>
                <w:b w:val="0"/>
                <w:bCs w:val="0"/>
                <w:color w:val="auto"/>
                <w:kern w:val="0"/>
                <w:sz w:val="21"/>
                <w:szCs w:val="21"/>
                <w:highlight w:val="none"/>
                <w:u w:val="none"/>
                <w:lang w:val="en-US" w:eastAsia="zh-CN"/>
              </w:rPr>
              <w:t>6</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2B967938">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仿宋_GB2312" w:cs="Times New Roman"/>
                <w:b w:val="0"/>
                <w:bCs w:val="0"/>
                <w:color w:val="auto"/>
                <w:kern w:val="0"/>
                <w:sz w:val="21"/>
                <w:szCs w:val="21"/>
                <w:lang w:val="en-US" w:eastAsia="zh"/>
                <w:woUserID w:val="13"/>
              </w:rPr>
            </w:pPr>
            <w:r>
              <w:rPr>
                <w:rFonts w:hint="default" w:ascii="Times New Roman" w:hAnsi="Times New Roman" w:eastAsia="仿宋_GB2312" w:cs="Times New Roman"/>
                <w:b w:val="0"/>
                <w:bCs w:val="0"/>
                <w:color w:val="auto"/>
                <w:kern w:val="0"/>
                <w:sz w:val="21"/>
                <w:szCs w:val="21"/>
                <w:highlight w:val="none"/>
                <w:u w:val="none"/>
              </w:rPr>
              <w:t>——</w:t>
            </w:r>
          </w:p>
        </w:tc>
        <w:tc>
          <w:tcPr>
            <w:tcW w:w="871" w:type="dxa"/>
            <w:vMerge w:val="restart"/>
            <w:tcBorders>
              <w:top w:val="single" w:color="auto" w:sz="4" w:space="0"/>
              <w:left w:val="single" w:color="auto" w:sz="4" w:space="0"/>
              <w:right w:val="single" w:color="auto" w:sz="4" w:space="0"/>
            </w:tcBorders>
            <w:shd w:val="clear" w:color="auto" w:fill="auto"/>
            <w:vAlign w:val="center"/>
          </w:tcPr>
          <w:p w14:paraId="7E3AD928">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lang w:val="en-US"/>
                <w:woUserID w:val="13"/>
              </w:rPr>
            </w:pPr>
            <w:r>
              <w:rPr>
                <w:rFonts w:hint="default" w:ascii="Times New Roman" w:hAnsi="Times New Roman" w:eastAsia="楷体" w:cs="Times New Roman"/>
                <w:b w:val="0"/>
                <w:bCs w:val="0"/>
                <w:color w:val="auto"/>
                <w:kern w:val="0"/>
                <w:sz w:val="20"/>
                <w:szCs w:val="20"/>
                <w:highlight w:val="none"/>
                <w:u w:val="none"/>
              </w:rPr>
              <w:t>预期性</w:t>
            </w:r>
          </w:p>
        </w:tc>
        <w:tc>
          <w:tcPr>
            <w:tcW w:w="955" w:type="dxa"/>
            <w:vMerge w:val="restart"/>
            <w:tcBorders>
              <w:top w:val="single" w:color="auto" w:sz="4" w:space="0"/>
              <w:left w:val="single" w:color="auto" w:sz="4" w:space="0"/>
              <w:right w:val="single" w:color="auto" w:sz="4" w:space="0"/>
            </w:tcBorders>
            <w:shd w:val="clear" w:color="auto" w:fill="auto"/>
            <w:vAlign w:val="center"/>
          </w:tcPr>
          <w:p w14:paraId="70ADFCC1">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highlight w:val="none"/>
                <w:u w:val="none"/>
                <w:lang w:val="en-US" w:eastAsia="zh-CN"/>
              </w:rPr>
            </w:pPr>
            <w:r>
              <w:rPr>
                <w:rFonts w:hint="default" w:ascii="Times New Roman" w:hAnsi="Times New Roman" w:eastAsia="楷体" w:cs="Times New Roman"/>
                <w:b w:val="0"/>
                <w:bCs w:val="0"/>
                <w:color w:val="auto"/>
                <w:kern w:val="0"/>
                <w:sz w:val="20"/>
                <w:szCs w:val="20"/>
                <w:highlight w:val="none"/>
                <w:u w:val="none"/>
                <w:lang w:val="en-US" w:eastAsia="zh-CN"/>
              </w:rPr>
              <w:t>卫健局</w:t>
            </w:r>
          </w:p>
        </w:tc>
      </w:tr>
      <w:tr w14:paraId="0774B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26" w:type="dxa"/>
            <w:vMerge w:val="continue"/>
            <w:tcBorders>
              <w:left w:val="single" w:color="auto" w:sz="4" w:space="0"/>
              <w:right w:val="single" w:color="auto" w:sz="4" w:space="0"/>
            </w:tcBorders>
            <w:shd w:val="clear" w:color="auto" w:fill="auto"/>
            <w:vAlign w:val="center"/>
          </w:tcPr>
          <w:p w14:paraId="3E9CD01B">
            <w:pPr>
              <w:jc w:val="center"/>
              <w:rPr>
                <w:rFonts w:hint="default" w:ascii="Times New Roman" w:hAnsi="Times New Roman" w:cs="Times New Roman"/>
                <w:b w:val="0"/>
                <w:bCs w:val="0"/>
                <w:sz w:val="21"/>
                <w:szCs w:val="24"/>
              </w:rPr>
            </w:pPr>
          </w:p>
          <w:p w14:paraId="39305D87">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000000"/>
                <w:kern w:val="0"/>
                <w:sz w:val="24"/>
                <w:szCs w:val="24"/>
                <w:lang w:val="en-US"/>
                <w:woUserID w:val="13"/>
              </w:rPr>
            </w:pPr>
          </w:p>
        </w:tc>
        <w:tc>
          <w:tcPr>
            <w:tcW w:w="18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0D0AA0">
            <w:pPr>
              <w:keepNext w:val="0"/>
              <w:keepLines w:val="0"/>
              <w:widowControl/>
              <w:suppressLineNumbers w:val="0"/>
              <w:adjustRightInd w:val="0"/>
              <w:spacing w:before="0" w:beforeAutospacing="0" w:after="0" w:afterAutospacing="0" w:line="400" w:lineRule="exact"/>
              <w:ind w:left="0" w:right="0"/>
              <w:jc w:val="both"/>
              <w:rPr>
                <w:rFonts w:hint="default" w:ascii="Times New Roman" w:hAnsi="Times New Roman" w:eastAsia="楷体" w:cs="Times New Roman"/>
                <w:b w:val="0"/>
                <w:bCs w:val="0"/>
                <w:color w:val="auto"/>
                <w:kern w:val="0"/>
                <w:sz w:val="21"/>
                <w:szCs w:val="21"/>
                <w:lang w:val="en-US"/>
                <w:woUserID w:val="13"/>
              </w:rPr>
            </w:pPr>
          </w:p>
        </w:tc>
        <w:tc>
          <w:tcPr>
            <w:tcW w:w="2007" w:type="dxa"/>
            <w:tcBorders>
              <w:top w:val="single" w:color="auto" w:sz="4" w:space="0"/>
              <w:left w:val="single" w:color="auto" w:sz="4" w:space="0"/>
              <w:bottom w:val="single" w:color="auto" w:sz="4" w:space="0"/>
              <w:right w:val="single" w:color="auto" w:sz="4" w:space="0"/>
            </w:tcBorders>
            <w:shd w:val="clear" w:color="auto" w:fill="auto"/>
            <w:vAlign w:val="center"/>
          </w:tcPr>
          <w:p w14:paraId="5D457F92">
            <w:pPr>
              <w:keepNext w:val="0"/>
              <w:keepLines w:val="0"/>
              <w:widowControl/>
              <w:suppressLineNumbers w:val="0"/>
              <w:adjustRightInd w:val="0"/>
              <w:spacing w:before="0" w:beforeAutospacing="0" w:after="0" w:afterAutospacing="0" w:line="400" w:lineRule="exact"/>
              <w:ind w:left="0" w:right="0"/>
              <w:jc w:val="both"/>
              <w:rPr>
                <w:rFonts w:hint="default" w:ascii="Times New Roman" w:hAnsi="Times New Roman" w:cs="Times New Roman"/>
                <w:b w:val="0"/>
                <w:bCs w:val="0"/>
                <w:color w:val="auto"/>
                <w:sz w:val="21"/>
                <w:szCs w:val="24"/>
              </w:rPr>
            </w:pPr>
            <w:r>
              <w:rPr>
                <w:rFonts w:hint="default" w:ascii="Times New Roman" w:hAnsi="Times New Roman" w:eastAsia="楷体" w:cs="Times New Roman"/>
                <w:b w:val="0"/>
                <w:bCs w:val="0"/>
                <w:color w:val="auto"/>
                <w:kern w:val="0"/>
                <w:sz w:val="21"/>
                <w:szCs w:val="21"/>
                <w:highlight w:val="none"/>
                <w:u w:val="none"/>
              </w:rPr>
              <w:t>注册护士数（人）</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19D0089C">
            <w:pPr>
              <w:keepNext w:val="0"/>
              <w:keepLines w:val="0"/>
              <w:widowControl/>
              <w:suppressLineNumbers w:val="0"/>
              <w:adjustRightInd w:val="0"/>
              <w:spacing w:before="0" w:beforeAutospacing="0" w:after="0" w:afterAutospacing="0" w:line="400" w:lineRule="exact"/>
              <w:ind w:left="0" w:leftChars="0" w:right="0" w:rightChars="0"/>
              <w:jc w:val="center"/>
              <w:rPr>
                <w:rFonts w:hint="default" w:ascii="Times New Roman" w:hAnsi="Times New Roman" w:eastAsia="仿宋_GB2312" w:cs="Times New Roman"/>
                <w:b w:val="0"/>
                <w:bCs w:val="0"/>
                <w:color w:val="auto"/>
                <w:kern w:val="0"/>
                <w:sz w:val="21"/>
                <w:szCs w:val="21"/>
                <w:lang w:val="en-US" w:eastAsia="zh"/>
                <w:woUserID w:val="13"/>
              </w:rPr>
            </w:pPr>
            <w:r>
              <w:rPr>
                <w:rFonts w:hint="default" w:ascii="Times New Roman" w:hAnsi="Times New Roman" w:eastAsia="仿宋_GB2312" w:cs="Times New Roman"/>
                <w:b w:val="0"/>
                <w:bCs w:val="0"/>
                <w:color w:val="auto"/>
                <w:kern w:val="0"/>
                <w:sz w:val="21"/>
                <w:szCs w:val="21"/>
                <w:lang w:val="en-US" w:eastAsia="zh-CN"/>
                <w:woUserID w:val="13"/>
              </w:rPr>
              <w:t>3.3</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55B78386">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仿宋_GB2312" w:cs="Times New Roman"/>
                <w:b w:val="0"/>
                <w:bCs w:val="0"/>
                <w:color w:val="auto"/>
                <w:kern w:val="0"/>
                <w:sz w:val="21"/>
                <w:szCs w:val="21"/>
                <w:lang w:val="en-US" w:eastAsia="zh"/>
                <w:woUserID w:val="13"/>
              </w:rPr>
            </w:pPr>
          </w:p>
        </w:tc>
        <w:tc>
          <w:tcPr>
            <w:tcW w:w="871" w:type="dxa"/>
            <w:vMerge w:val="continue"/>
            <w:tcBorders>
              <w:left w:val="single" w:color="auto" w:sz="4" w:space="0"/>
              <w:bottom w:val="single" w:color="auto" w:sz="4" w:space="0"/>
              <w:right w:val="single" w:color="auto" w:sz="4" w:space="0"/>
            </w:tcBorders>
            <w:shd w:val="clear" w:color="auto" w:fill="auto"/>
            <w:vAlign w:val="center"/>
          </w:tcPr>
          <w:p w14:paraId="32D11CD4">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lang w:val="en-US"/>
                <w:woUserID w:val="13"/>
              </w:rPr>
            </w:pPr>
          </w:p>
        </w:tc>
        <w:tc>
          <w:tcPr>
            <w:tcW w:w="955" w:type="dxa"/>
            <w:vMerge w:val="continue"/>
            <w:tcBorders>
              <w:left w:val="single" w:color="auto" w:sz="4" w:space="0"/>
              <w:bottom w:val="single" w:color="auto" w:sz="4" w:space="0"/>
              <w:right w:val="single" w:color="auto" w:sz="4" w:space="0"/>
            </w:tcBorders>
            <w:shd w:val="clear" w:color="auto" w:fill="auto"/>
            <w:vAlign w:val="center"/>
          </w:tcPr>
          <w:p w14:paraId="1488C456">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highlight w:val="none"/>
                <w:u w:val="none"/>
                <w:lang w:val="en-US" w:eastAsia="zh-CN"/>
              </w:rPr>
            </w:pPr>
          </w:p>
        </w:tc>
      </w:tr>
      <w:tr w14:paraId="35F61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4" w:hRule="atLeast"/>
          <w:jc w:val="center"/>
        </w:trPr>
        <w:tc>
          <w:tcPr>
            <w:tcW w:w="826" w:type="dxa"/>
            <w:vMerge w:val="continue"/>
            <w:tcBorders>
              <w:left w:val="single" w:color="auto" w:sz="4" w:space="0"/>
              <w:right w:val="single" w:color="auto" w:sz="4" w:space="0"/>
            </w:tcBorders>
            <w:shd w:val="clear" w:color="auto" w:fill="auto"/>
            <w:vAlign w:val="center"/>
          </w:tcPr>
          <w:p w14:paraId="302EC321">
            <w:pPr>
              <w:jc w:val="center"/>
              <w:rPr>
                <w:rFonts w:hint="default" w:ascii="Times New Roman" w:hAnsi="Times New Roman" w:cs="Times New Roman"/>
                <w:b w:val="0"/>
                <w:bCs w:val="0"/>
                <w:sz w:val="21"/>
                <w:szCs w:val="24"/>
              </w:rPr>
            </w:pPr>
          </w:p>
        </w:tc>
        <w:tc>
          <w:tcPr>
            <w:tcW w:w="38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7208DE7">
            <w:pPr>
              <w:jc w:val="both"/>
              <w:rPr>
                <w:rFonts w:hint="default" w:ascii="Times New Roman" w:hAnsi="Times New Roman" w:cs="Times New Roman"/>
                <w:b w:val="0"/>
                <w:bCs w:val="0"/>
                <w:color w:val="auto"/>
                <w:sz w:val="21"/>
                <w:szCs w:val="24"/>
              </w:rPr>
            </w:pPr>
            <w:r>
              <w:rPr>
                <w:rFonts w:hint="default" w:ascii="Times New Roman" w:hAnsi="Times New Roman" w:eastAsia="楷体" w:cs="Times New Roman"/>
                <w:b w:val="0"/>
                <w:bCs w:val="0"/>
                <w:color w:val="auto"/>
                <w:kern w:val="0"/>
                <w:sz w:val="21"/>
                <w:szCs w:val="21"/>
                <w:highlight w:val="none"/>
                <w:u w:val="none"/>
              </w:rPr>
              <w:t>1</w:t>
            </w:r>
            <w:r>
              <w:rPr>
                <w:rFonts w:hint="eastAsia" w:eastAsia="楷体" w:cs="Times New Roman"/>
                <w:b w:val="0"/>
                <w:bCs w:val="0"/>
                <w:color w:val="auto"/>
                <w:kern w:val="0"/>
                <w:sz w:val="21"/>
                <w:szCs w:val="21"/>
                <w:highlight w:val="none"/>
                <w:u w:val="none"/>
                <w:lang w:val="en-US" w:eastAsia="zh-CN"/>
              </w:rPr>
              <w:t>4.</w:t>
            </w:r>
            <w:r>
              <w:rPr>
                <w:rFonts w:hint="default" w:ascii="Times New Roman" w:hAnsi="Times New Roman" w:eastAsia="楷体" w:cs="Times New Roman"/>
                <w:b w:val="0"/>
                <w:bCs w:val="0"/>
                <w:color w:val="auto"/>
                <w:kern w:val="0"/>
                <w:sz w:val="21"/>
                <w:szCs w:val="21"/>
                <w:highlight w:val="none"/>
                <w:u w:val="none"/>
                <w:lang w:val="en"/>
              </w:rPr>
              <w:t>养老机构护理型床位占比</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4BB1E7B9">
            <w:pPr>
              <w:jc w:val="center"/>
              <w:rPr>
                <w:rFonts w:hint="default" w:ascii="Times New Roman" w:hAnsi="Times New Roman" w:cs="Times New Roman"/>
                <w:b w:val="0"/>
                <w:bCs w:val="0"/>
                <w:color w:val="auto"/>
                <w:sz w:val="21"/>
                <w:szCs w:val="24"/>
              </w:rPr>
            </w:pPr>
            <w:r>
              <w:rPr>
                <w:rFonts w:hint="default" w:ascii="Times New Roman" w:hAnsi="Times New Roman" w:eastAsia="仿宋_GB2312" w:cs="Times New Roman"/>
                <w:b w:val="0"/>
                <w:bCs w:val="0"/>
                <w:color w:val="auto"/>
                <w:kern w:val="0"/>
                <w:sz w:val="21"/>
                <w:szCs w:val="21"/>
                <w:highlight w:val="none"/>
                <w:u w:val="none"/>
              </w:rPr>
              <w:t>75</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7F444FEE">
            <w:pPr>
              <w:jc w:val="center"/>
              <w:rPr>
                <w:rFonts w:hint="default" w:ascii="Times New Roman" w:hAnsi="Times New Roman" w:cs="Times New Roman"/>
                <w:b w:val="0"/>
                <w:bCs w:val="0"/>
                <w:color w:val="auto"/>
                <w:sz w:val="21"/>
                <w:szCs w:val="24"/>
              </w:rPr>
            </w:pPr>
            <w:r>
              <w:rPr>
                <w:rFonts w:hint="default" w:ascii="Times New Roman" w:hAnsi="Times New Roman" w:eastAsia="仿宋_GB2312" w:cs="Times New Roman"/>
                <w:b w:val="0"/>
                <w:bCs w:val="0"/>
                <w:color w:val="auto"/>
                <w:kern w:val="0"/>
                <w:sz w:val="21"/>
                <w:szCs w:val="21"/>
                <w:highlight w:val="none"/>
                <w:u w:val="none"/>
              </w:rPr>
              <w:t>——</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14:paraId="2D9BA1E1">
            <w:pPr>
              <w:jc w:val="center"/>
              <w:rPr>
                <w:rFonts w:hint="default" w:ascii="Times New Roman" w:hAnsi="Times New Roman" w:cs="Times New Roman"/>
                <w:b w:val="0"/>
                <w:bCs w:val="0"/>
                <w:color w:val="auto"/>
                <w:sz w:val="20"/>
                <w:szCs w:val="22"/>
              </w:rPr>
            </w:pPr>
            <w:r>
              <w:rPr>
                <w:rFonts w:hint="default" w:ascii="Times New Roman" w:hAnsi="Times New Roman" w:eastAsia="楷体" w:cs="Times New Roman"/>
                <w:b w:val="0"/>
                <w:bCs w:val="0"/>
                <w:color w:val="auto"/>
                <w:kern w:val="0"/>
                <w:sz w:val="20"/>
                <w:szCs w:val="20"/>
                <w:highlight w:val="none"/>
                <w:u w:val="none"/>
              </w:rPr>
              <w:t>预期性</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44BF1EA9">
            <w:pPr>
              <w:jc w:val="center"/>
              <w:rPr>
                <w:rFonts w:hint="default" w:ascii="Times New Roman" w:hAnsi="Times New Roman" w:eastAsia="楷体" w:cs="Times New Roman"/>
                <w:b w:val="0"/>
                <w:bCs w:val="0"/>
                <w:color w:val="auto"/>
                <w:kern w:val="0"/>
                <w:sz w:val="20"/>
                <w:szCs w:val="20"/>
                <w:highlight w:val="none"/>
                <w:u w:val="none"/>
                <w:lang w:val="en-US" w:eastAsia="zh-CN"/>
              </w:rPr>
            </w:pPr>
            <w:r>
              <w:rPr>
                <w:rFonts w:hint="default" w:ascii="Times New Roman" w:hAnsi="Times New Roman" w:eastAsia="楷体" w:cs="Times New Roman"/>
                <w:b w:val="0"/>
                <w:bCs w:val="0"/>
                <w:color w:val="auto"/>
                <w:kern w:val="0"/>
                <w:sz w:val="20"/>
                <w:szCs w:val="20"/>
                <w:highlight w:val="none"/>
                <w:u w:val="none"/>
                <w:lang w:val="en-US" w:eastAsia="zh-CN"/>
              </w:rPr>
              <w:t>民政局</w:t>
            </w:r>
          </w:p>
        </w:tc>
      </w:tr>
      <w:tr w14:paraId="653B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826" w:type="dxa"/>
            <w:vMerge w:val="continue"/>
            <w:tcBorders>
              <w:left w:val="single" w:color="auto" w:sz="4" w:space="0"/>
              <w:bottom w:val="single" w:color="auto" w:sz="4" w:space="0"/>
              <w:right w:val="single" w:color="auto" w:sz="4" w:space="0"/>
            </w:tcBorders>
            <w:shd w:val="clear" w:color="auto" w:fill="auto"/>
            <w:vAlign w:val="center"/>
          </w:tcPr>
          <w:p w14:paraId="07FF93B2">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000000"/>
                <w:kern w:val="0"/>
                <w:sz w:val="24"/>
                <w:szCs w:val="24"/>
                <w:lang w:val="en-US"/>
                <w:woUserID w:val="13"/>
              </w:rPr>
            </w:pPr>
          </w:p>
        </w:tc>
        <w:tc>
          <w:tcPr>
            <w:tcW w:w="38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6CB55BD">
            <w:pPr>
              <w:keepNext w:val="0"/>
              <w:keepLines w:val="0"/>
              <w:widowControl/>
              <w:suppressLineNumbers w:val="0"/>
              <w:adjustRightInd w:val="0"/>
              <w:spacing w:before="0" w:beforeAutospacing="0" w:after="0" w:afterAutospacing="0" w:line="400" w:lineRule="exact"/>
              <w:ind w:left="0" w:right="0"/>
              <w:jc w:val="both"/>
              <w:rPr>
                <w:rFonts w:hint="default" w:ascii="Times New Roman" w:hAnsi="Times New Roman" w:eastAsia="楷体" w:cs="Times New Roman"/>
                <w:b w:val="0"/>
                <w:bCs w:val="0"/>
                <w:color w:val="auto"/>
                <w:kern w:val="0"/>
                <w:sz w:val="21"/>
                <w:szCs w:val="21"/>
                <w:lang w:val="en-US"/>
                <w:woUserID w:val="13"/>
              </w:rPr>
            </w:pPr>
            <w:r>
              <w:rPr>
                <w:rFonts w:hint="default" w:ascii="Times New Roman" w:hAnsi="Times New Roman" w:eastAsia="楷体" w:cs="Times New Roman"/>
                <w:b w:val="0"/>
                <w:bCs w:val="0"/>
                <w:color w:val="auto"/>
                <w:kern w:val="0"/>
                <w:sz w:val="21"/>
                <w:szCs w:val="21"/>
                <w:highlight w:val="none"/>
                <w:u w:val="none"/>
              </w:rPr>
              <w:t>1</w:t>
            </w:r>
            <w:r>
              <w:rPr>
                <w:rFonts w:hint="eastAsia" w:eastAsia="楷体" w:cs="Times New Roman"/>
                <w:b w:val="0"/>
                <w:bCs w:val="0"/>
                <w:color w:val="auto"/>
                <w:kern w:val="0"/>
                <w:sz w:val="21"/>
                <w:szCs w:val="21"/>
                <w:highlight w:val="none"/>
                <w:u w:val="none"/>
                <w:lang w:val="en-US" w:eastAsia="zh-CN"/>
              </w:rPr>
              <w:t>5</w:t>
            </w:r>
            <w:r>
              <w:rPr>
                <w:rFonts w:hint="default" w:ascii="Times New Roman" w:hAnsi="Times New Roman" w:eastAsia="楷体" w:cs="Times New Roman"/>
                <w:b w:val="0"/>
                <w:bCs w:val="0"/>
                <w:color w:val="auto"/>
                <w:kern w:val="0"/>
                <w:sz w:val="21"/>
                <w:szCs w:val="21"/>
                <w:highlight w:val="none"/>
                <w:u w:val="none"/>
                <w:lang w:val="en-US" w:eastAsia="zh-CN"/>
              </w:rPr>
              <w:t>.每千人拥有3</w:t>
            </w:r>
            <w:r>
              <w:rPr>
                <w:rFonts w:hint="default" w:ascii="Times New Roman" w:hAnsi="Times New Roman" w:eastAsia="楷体" w:cs="Times New Roman"/>
                <w:b w:val="0"/>
                <w:bCs w:val="0"/>
                <w:color w:val="auto"/>
                <w:kern w:val="0"/>
                <w:sz w:val="21"/>
                <w:szCs w:val="21"/>
                <w:highlight w:val="none"/>
                <w:u w:val="none"/>
              </w:rPr>
              <w:t>岁</w:t>
            </w:r>
            <w:r>
              <w:rPr>
                <w:rFonts w:hint="default" w:ascii="Times New Roman" w:hAnsi="Times New Roman" w:eastAsia="楷体" w:cs="Times New Roman"/>
                <w:b w:val="0"/>
                <w:bCs w:val="0"/>
                <w:color w:val="auto"/>
                <w:kern w:val="0"/>
                <w:sz w:val="21"/>
                <w:szCs w:val="21"/>
                <w:highlight w:val="none"/>
                <w:u w:val="none"/>
                <w:lang w:eastAsia="zh-CN"/>
              </w:rPr>
              <w:t>以下</w:t>
            </w:r>
            <w:r>
              <w:rPr>
                <w:rFonts w:hint="default" w:ascii="Times New Roman" w:hAnsi="Times New Roman" w:eastAsia="楷体" w:cs="Times New Roman"/>
                <w:b w:val="0"/>
                <w:bCs w:val="0"/>
                <w:color w:val="auto"/>
                <w:kern w:val="0"/>
                <w:sz w:val="21"/>
                <w:szCs w:val="21"/>
                <w:highlight w:val="none"/>
                <w:u w:val="none"/>
              </w:rPr>
              <w:t>婴幼儿</w:t>
            </w:r>
            <w:r>
              <w:rPr>
                <w:rFonts w:hint="default" w:ascii="Times New Roman" w:hAnsi="Times New Roman" w:eastAsia="楷体" w:cs="Times New Roman"/>
                <w:b w:val="0"/>
                <w:bCs w:val="0"/>
                <w:color w:val="auto"/>
                <w:kern w:val="0"/>
                <w:sz w:val="21"/>
                <w:szCs w:val="21"/>
                <w:highlight w:val="none"/>
                <w:u w:val="none"/>
                <w:lang w:eastAsia="zh-CN"/>
              </w:rPr>
              <w:t>托位数</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7DBF9D3F">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仿宋_GB2312" w:cs="Times New Roman"/>
                <w:b w:val="0"/>
                <w:bCs w:val="0"/>
                <w:color w:val="auto"/>
                <w:kern w:val="0"/>
                <w:sz w:val="21"/>
                <w:szCs w:val="21"/>
                <w:lang w:val="en-US" w:eastAsia="zh-CN"/>
                <w:woUserID w:val="13"/>
              </w:rPr>
            </w:pPr>
            <w:r>
              <w:rPr>
                <w:rFonts w:hint="eastAsia" w:eastAsia="仿宋_GB2312" w:cs="Times New Roman"/>
                <w:b w:val="0"/>
                <w:bCs w:val="0"/>
                <w:color w:val="auto"/>
                <w:kern w:val="0"/>
                <w:sz w:val="21"/>
                <w:szCs w:val="21"/>
                <w:lang w:val="en-US" w:eastAsia="zh-CN"/>
                <w:woUserID w:val="13"/>
              </w:rPr>
              <w:t>12.5</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127DD635">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仿宋_GB2312" w:cs="Times New Roman"/>
                <w:b w:val="0"/>
                <w:bCs w:val="0"/>
                <w:color w:val="auto"/>
                <w:kern w:val="0"/>
                <w:sz w:val="21"/>
                <w:szCs w:val="21"/>
                <w:lang w:val="en-US" w:eastAsia="zh"/>
                <w:woUserID w:val="13"/>
              </w:rPr>
            </w:pPr>
            <w:r>
              <w:rPr>
                <w:rFonts w:hint="default" w:ascii="Times New Roman" w:hAnsi="Times New Roman" w:eastAsia="仿宋_GB2312" w:cs="Times New Roman"/>
                <w:b w:val="0"/>
                <w:bCs w:val="0"/>
                <w:color w:val="auto"/>
                <w:kern w:val="0"/>
                <w:sz w:val="21"/>
                <w:szCs w:val="21"/>
                <w:highlight w:val="none"/>
                <w:u w:val="none"/>
              </w:rPr>
              <w:t>——</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14:paraId="16015E2D">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lang w:val="en-US"/>
                <w:woUserID w:val="13"/>
              </w:rPr>
            </w:pPr>
            <w:r>
              <w:rPr>
                <w:rFonts w:hint="default" w:ascii="Times New Roman" w:hAnsi="Times New Roman" w:eastAsia="楷体" w:cs="Times New Roman"/>
                <w:b w:val="0"/>
                <w:bCs w:val="0"/>
                <w:color w:val="auto"/>
                <w:kern w:val="0"/>
                <w:sz w:val="20"/>
                <w:szCs w:val="20"/>
                <w:highlight w:val="none"/>
                <w:u w:val="none"/>
              </w:rPr>
              <w:t>预期性</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413AC923">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highlight w:val="none"/>
                <w:u w:val="none"/>
                <w:lang w:val="en-US" w:eastAsia="zh-CN"/>
              </w:rPr>
            </w:pPr>
            <w:r>
              <w:rPr>
                <w:rFonts w:hint="default" w:ascii="Times New Roman" w:hAnsi="Times New Roman" w:eastAsia="楷体" w:cs="Times New Roman"/>
                <w:b w:val="0"/>
                <w:bCs w:val="0"/>
                <w:color w:val="auto"/>
                <w:kern w:val="0"/>
                <w:sz w:val="20"/>
                <w:szCs w:val="20"/>
                <w:highlight w:val="none"/>
                <w:u w:val="none"/>
                <w:lang w:val="en-US" w:eastAsia="zh-CN"/>
              </w:rPr>
              <w:t>卫健局</w:t>
            </w:r>
          </w:p>
        </w:tc>
      </w:tr>
      <w:tr w14:paraId="7A710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 w:hRule="atLeast"/>
          <w:jc w:val="center"/>
        </w:trPr>
        <w:tc>
          <w:tcPr>
            <w:tcW w:w="82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56233C5">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cs="Times New Roman"/>
                <w:b w:val="0"/>
                <w:bCs w:val="0"/>
                <w:sz w:val="20"/>
                <w:szCs w:val="20"/>
                <w:woUserID w:val="13"/>
              </w:rPr>
            </w:pPr>
            <w:r>
              <w:rPr>
                <w:rFonts w:hint="default" w:ascii="Times New Roman" w:hAnsi="Times New Roman" w:eastAsia="楷体" w:cs="Times New Roman"/>
                <w:b w:val="0"/>
                <w:bCs w:val="0"/>
                <w:color w:val="auto"/>
                <w:kern w:val="0"/>
                <w:sz w:val="24"/>
                <w:szCs w:val="24"/>
                <w:highlight w:val="none"/>
                <w:u w:val="none"/>
              </w:rPr>
              <w:t>绿色</w:t>
            </w:r>
            <w:r>
              <w:rPr>
                <w:rFonts w:hint="default" w:ascii="Times New Roman" w:hAnsi="Times New Roman" w:eastAsia="楷体" w:cs="Times New Roman"/>
                <w:b w:val="0"/>
                <w:bCs w:val="0"/>
                <w:color w:val="auto"/>
                <w:kern w:val="0"/>
                <w:sz w:val="24"/>
                <w:szCs w:val="24"/>
                <w:highlight w:val="none"/>
                <w:u w:val="none"/>
              </w:rPr>
              <w:br w:type="textWrapping"/>
            </w:r>
            <w:r>
              <w:rPr>
                <w:rFonts w:hint="default" w:ascii="Times New Roman" w:hAnsi="Times New Roman" w:eastAsia="楷体" w:cs="Times New Roman"/>
                <w:b w:val="0"/>
                <w:bCs w:val="0"/>
                <w:color w:val="auto"/>
                <w:kern w:val="0"/>
                <w:sz w:val="24"/>
                <w:szCs w:val="24"/>
                <w:highlight w:val="none"/>
                <w:u w:val="none"/>
              </w:rPr>
              <w:t>低碳</w:t>
            </w:r>
          </w:p>
        </w:tc>
        <w:tc>
          <w:tcPr>
            <w:tcW w:w="38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DD9DDF4">
            <w:pPr>
              <w:keepNext w:val="0"/>
              <w:keepLines w:val="0"/>
              <w:widowControl/>
              <w:suppressLineNumbers w:val="0"/>
              <w:adjustRightInd w:val="0"/>
              <w:spacing w:before="0" w:beforeAutospacing="0" w:after="0" w:afterAutospacing="0" w:line="400" w:lineRule="exact"/>
              <w:ind w:left="0" w:right="0"/>
              <w:jc w:val="both"/>
              <w:rPr>
                <w:rFonts w:hint="eastAsia" w:ascii="Times New Roman" w:hAnsi="Times New Roman" w:eastAsia="楷体" w:cs="Times New Roman"/>
                <w:b w:val="0"/>
                <w:bCs w:val="0"/>
                <w:color w:val="auto"/>
                <w:kern w:val="0"/>
                <w:sz w:val="21"/>
                <w:szCs w:val="21"/>
                <w:lang w:val="en-US" w:eastAsia="zh-CN"/>
                <w:woUserID w:val="13"/>
              </w:rPr>
            </w:pPr>
            <w:r>
              <w:rPr>
                <w:rFonts w:hint="default" w:ascii="Times New Roman" w:hAnsi="Times New Roman" w:eastAsia="楷体" w:cs="Times New Roman"/>
                <w:b w:val="0"/>
                <w:bCs w:val="0"/>
                <w:color w:val="auto"/>
                <w:kern w:val="0"/>
                <w:sz w:val="21"/>
                <w:szCs w:val="21"/>
                <w:highlight w:val="none"/>
                <w:u w:val="none"/>
              </w:rPr>
              <w:t>1</w:t>
            </w:r>
            <w:r>
              <w:rPr>
                <w:rFonts w:hint="eastAsia" w:eastAsia="楷体" w:cs="Times New Roman"/>
                <w:b w:val="0"/>
                <w:bCs w:val="0"/>
                <w:color w:val="auto"/>
                <w:kern w:val="0"/>
                <w:sz w:val="21"/>
                <w:szCs w:val="21"/>
                <w:highlight w:val="none"/>
                <w:u w:val="none"/>
                <w:lang w:val="en-US" w:eastAsia="zh-CN"/>
              </w:rPr>
              <w:t>6</w:t>
            </w:r>
            <w:r>
              <w:rPr>
                <w:rFonts w:hint="default" w:ascii="Times New Roman" w:hAnsi="Times New Roman" w:eastAsia="楷体" w:cs="Times New Roman"/>
                <w:b w:val="0"/>
                <w:bCs w:val="0"/>
                <w:color w:val="auto"/>
                <w:kern w:val="0"/>
                <w:sz w:val="21"/>
                <w:szCs w:val="21"/>
                <w:highlight w:val="none"/>
                <w:u w:val="none"/>
                <w:lang w:val="en"/>
              </w:rPr>
              <w:t>.</w:t>
            </w:r>
            <w:r>
              <w:rPr>
                <w:rFonts w:hint="default" w:ascii="Times New Roman" w:hAnsi="Times New Roman" w:eastAsia="楷体" w:cs="Times New Roman"/>
                <w:b w:val="0"/>
                <w:bCs w:val="0"/>
                <w:color w:val="auto"/>
                <w:kern w:val="0"/>
                <w:sz w:val="21"/>
                <w:szCs w:val="21"/>
                <w:highlight w:val="none"/>
                <w:u w:val="none"/>
              </w:rPr>
              <w:t>单位GDP碳排放强度降低</w:t>
            </w:r>
            <w:r>
              <w:rPr>
                <w:rFonts w:hint="eastAsia" w:eastAsia="楷体" w:cs="Times New Roman"/>
                <w:b w:val="0"/>
                <w:bCs w:val="0"/>
                <w:color w:val="auto"/>
                <w:kern w:val="0"/>
                <w:sz w:val="21"/>
                <w:szCs w:val="21"/>
                <w:highlight w:val="none"/>
                <w:u w:val="none"/>
                <w:lang w:eastAsia="zh-CN"/>
              </w:rPr>
              <w:t>（</w:t>
            </w:r>
            <w:r>
              <w:rPr>
                <w:rFonts w:hint="default" w:ascii="Times New Roman" w:hAnsi="Times New Roman" w:eastAsia="楷体" w:cs="Times New Roman"/>
                <w:b w:val="0"/>
                <w:bCs w:val="0"/>
                <w:color w:val="auto"/>
                <w:kern w:val="0"/>
                <w:sz w:val="21"/>
                <w:szCs w:val="21"/>
                <w:highlight w:val="none"/>
                <w:u w:val="none"/>
              </w:rPr>
              <w:t>%</w:t>
            </w:r>
            <w:r>
              <w:rPr>
                <w:rFonts w:hint="eastAsia" w:eastAsia="楷体" w:cs="Times New Roman"/>
                <w:b w:val="0"/>
                <w:bCs w:val="0"/>
                <w:color w:val="auto"/>
                <w:kern w:val="0"/>
                <w:sz w:val="21"/>
                <w:szCs w:val="21"/>
                <w:highlight w:val="none"/>
                <w:u w:val="none"/>
                <w:lang w:eastAsia="zh-CN"/>
              </w:rPr>
              <w:t>）</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46CC1B6D">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1"/>
                <w:szCs w:val="21"/>
                <w:highlight w:val="none"/>
                <w:u w:val="none"/>
                <w:lang w:val="en-US" w:eastAsia="zh-CN"/>
              </w:rPr>
            </w:pPr>
            <w:r>
              <w:rPr>
                <w:rFonts w:hint="default" w:ascii="Times New Roman" w:hAnsi="Times New Roman" w:eastAsia="楷体" w:cs="Times New Roman"/>
                <w:b w:val="0"/>
                <w:bCs w:val="0"/>
                <w:color w:val="auto"/>
                <w:kern w:val="0"/>
                <w:sz w:val="21"/>
                <w:szCs w:val="21"/>
                <w:highlight w:val="none"/>
                <w:u w:val="none"/>
                <w:lang w:val="en-US" w:eastAsia="zh-CN"/>
              </w:rPr>
              <w:t>完成</w:t>
            </w:r>
          </w:p>
          <w:p w14:paraId="3A45E21C">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仿宋_GB2312" w:cs="Times New Roman"/>
                <w:b w:val="0"/>
                <w:bCs w:val="0"/>
                <w:color w:val="auto"/>
                <w:kern w:val="0"/>
                <w:sz w:val="21"/>
                <w:szCs w:val="21"/>
                <w:lang w:val="en-US" w:eastAsia="zh-CN"/>
                <w:woUserID w:val="13"/>
              </w:rPr>
            </w:pPr>
            <w:r>
              <w:rPr>
                <w:rFonts w:hint="default" w:ascii="Times New Roman" w:hAnsi="Times New Roman" w:eastAsia="楷体" w:cs="Times New Roman"/>
                <w:b w:val="0"/>
                <w:bCs w:val="0"/>
                <w:color w:val="auto"/>
                <w:kern w:val="0"/>
                <w:sz w:val="21"/>
                <w:szCs w:val="21"/>
                <w:highlight w:val="none"/>
                <w:u w:val="none"/>
                <w:lang w:val="en-US" w:eastAsia="zh-CN"/>
              </w:rPr>
              <w:t>市标</w:t>
            </w:r>
          </w:p>
        </w:tc>
        <w:tc>
          <w:tcPr>
            <w:tcW w:w="17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FD8076">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仿宋_GB2312" w:cs="Times New Roman"/>
                <w:b w:val="0"/>
                <w:bCs w:val="0"/>
                <w:color w:val="auto"/>
                <w:kern w:val="0"/>
                <w:sz w:val="21"/>
                <w:szCs w:val="21"/>
                <w:lang w:val="en-US" w:eastAsia="zh-CN"/>
                <w:woUserID w:val="13"/>
              </w:rPr>
            </w:pPr>
            <w:r>
              <w:rPr>
                <w:rFonts w:hint="default" w:ascii="Times New Roman" w:hAnsi="Times New Roman" w:eastAsia="仿宋_GB2312" w:cs="Times New Roman"/>
                <w:b w:val="0"/>
                <w:bCs w:val="0"/>
                <w:color w:val="auto"/>
                <w:kern w:val="0"/>
                <w:sz w:val="21"/>
                <w:szCs w:val="21"/>
                <w:highlight w:val="none"/>
                <w:u w:val="none"/>
                <w:lang w:val="en-US" w:eastAsia="zh-CN"/>
              </w:rPr>
              <w:t>[</w:t>
            </w:r>
            <w:r>
              <w:rPr>
                <w:rFonts w:hint="default" w:ascii="Times New Roman" w:hAnsi="Times New Roman" w:eastAsia="仿宋_GB2312" w:cs="Times New Roman"/>
                <w:b w:val="0"/>
                <w:bCs w:val="0"/>
                <w:color w:val="auto"/>
                <w:kern w:val="0"/>
                <w:sz w:val="21"/>
                <w:szCs w:val="21"/>
                <w:highlight w:val="none"/>
                <w:u w:val="none"/>
              </w:rPr>
              <w:t>—</w:t>
            </w:r>
            <w:r>
              <w:rPr>
                <w:rFonts w:hint="default" w:ascii="Times New Roman" w:hAnsi="Times New Roman" w:eastAsia="仿宋_GB2312" w:cs="Times New Roman"/>
                <w:b w:val="0"/>
                <w:bCs w:val="0"/>
                <w:color w:val="auto"/>
                <w:kern w:val="0"/>
                <w:sz w:val="21"/>
                <w:szCs w:val="21"/>
                <w:highlight w:val="none"/>
                <w:u w:val="none"/>
                <w:lang w:val="en-US" w:eastAsia="zh-CN"/>
              </w:rPr>
              <w:t>]</w:t>
            </w:r>
          </w:p>
        </w:tc>
        <w:tc>
          <w:tcPr>
            <w:tcW w:w="87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BA7004">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lang w:val="en-US"/>
                <w:woUserID w:val="13"/>
              </w:rPr>
            </w:pPr>
            <w:r>
              <w:rPr>
                <w:rFonts w:hint="default" w:ascii="Times New Roman" w:hAnsi="Times New Roman" w:eastAsia="楷体" w:cs="Times New Roman"/>
                <w:b w:val="0"/>
                <w:bCs w:val="0"/>
                <w:color w:val="auto"/>
                <w:kern w:val="0"/>
                <w:sz w:val="20"/>
                <w:szCs w:val="20"/>
                <w:highlight w:val="none"/>
                <w:u w:val="none"/>
              </w:rPr>
              <w:t>约束性</w:t>
            </w:r>
          </w:p>
        </w:tc>
        <w:tc>
          <w:tcPr>
            <w:tcW w:w="9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3D526A">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highlight w:val="none"/>
                <w:u w:val="none"/>
                <w:lang w:val="en-US" w:eastAsia="zh-CN"/>
              </w:rPr>
            </w:pPr>
            <w:r>
              <w:rPr>
                <w:rFonts w:hint="default" w:ascii="Times New Roman" w:hAnsi="Times New Roman" w:eastAsia="楷体" w:cs="Times New Roman"/>
                <w:b w:val="0"/>
                <w:bCs w:val="0"/>
                <w:color w:val="auto"/>
                <w:kern w:val="0"/>
                <w:sz w:val="20"/>
                <w:szCs w:val="20"/>
                <w:highlight w:val="none"/>
                <w:u w:val="none"/>
                <w:lang w:val="en-US" w:eastAsia="zh-CN"/>
              </w:rPr>
              <w:t>发改局</w:t>
            </w:r>
          </w:p>
        </w:tc>
      </w:tr>
      <w:tr w14:paraId="47F6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2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EA29FC">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cs="Times New Roman"/>
                <w:b w:val="0"/>
                <w:bCs w:val="0"/>
                <w:sz w:val="20"/>
                <w:szCs w:val="20"/>
                <w:woUserID w:val="13"/>
              </w:rPr>
            </w:pPr>
          </w:p>
        </w:tc>
        <w:tc>
          <w:tcPr>
            <w:tcW w:w="38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51C439C">
            <w:pPr>
              <w:keepNext w:val="0"/>
              <w:keepLines w:val="0"/>
              <w:widowControl/>
              <w:suppressLineNumbers w:val="0"/>
              <w:adjustRightInd w:val="0"/>
              <w:spacing w:before="0" w:beforeAutospacing="0" w:after="0" w:afterAutospacing="0" w:line="400" w:lineRule="exact"/>
              <w:ind w:left="0" w:right="0"/>
              <w:jc w:val="both"/>
              <w:rPr>
                <w:rFonts w:hint="eastAsia" w:ascii="Times New Roman" w:hAnsi="Times New Roman" w:eastAsia="楷体" w:cs="Times New Roman"/>
                <w:b w:val="0"/>
                <w:bCs w:val="0"/>
                <w:color w:val="auto"/>
                <w:kern w:val="0"/>
                <w:sz w:val="21"/>
                <w:szCs w:val="21"/>
                <w:lang w:val="en-US" w:eastAsia="zh-CN"/>
                <w:woUserID w:val="13"/>
              </w:rPr>
            </w:pPr>
            <w:r>
              <w:rPr>
                <w:rFonts w:hint="default" w:ascii="Times New Roman" w:hAnsi="Times New Roman" w:eastAsia="楷体" w:cs="Times New Roman"/>
                <w:b w:val="0"/>
                <w:bCs w:val="0"/>
                <w:color w:val="auto"/>
                <w:kern w:val="0"/>
                <w:sz w:val="21"/>
                <w:szCs w:val="21"/>
                <w:highlight w:val="none"/>
                <w:u w:val="none"/>
                <w:lang w:val="en-US" w:eastAsia="zh-CN"/>
              </w:rPr>
              <w:t>1</w:t>
            </w:r>
            <w:r>
              <w:rPr>
                <w:rFonts w:hint="eastAsia" w:eastAsia="楷体" w:cs="Times New Roman"/>
                <w:b w:val="0"/>
                <w:bCs w:val="0"/>
                <w:color w:val="auto"/>
                <w:kern w:val="0"/>
                <w:sz w:val="21"/>
                <w:szCs w:val="21"/>
                <w:highlight w:val="none"/>
                <w:u w:val="none"/>
                <w:lang w:val="en-US" w:eastAsia="zh-CN"/>
              </w:rPr>
              <w:t>7</w:t>
            </w:r>
            <w:r>
              <w:rPr>
                <w:rFonts w:hint="default" w:ascii="Times New Roman" w:hAnsi="Times New Roman" w:eastAsia="楷体" w:cs="Times New Roman"/>
                <w:b w:val="0"/>
                <w:bCs w:val="0"/>
                <w:color w:val="auto"/>
                <w:kern w:val="0"/>
                <w:sz w:val="21"/>
                <w:szCs w:val="21"/>
                <w:highlight w:val="none"/>
                <w:u w:val="none"/>
                <w:lang w:val="en"/>
              </w:rPr>
              <w:t>.</w:t>
            </w:r>
            <w:r>
              <w:rPr>
                <w:rFonts w:hint="default" w:ascii="Times New Roman" w:hAnsi="Times New Roman" w:eastAsia="楷体" w:cs="Times New Roman"/>
                <w:b w:val="0"/>
                <w:bCs w:val="0"/>
                <w:color w:val="auto"/>
                <w:kern w:val="0"/>
                <w:sz w:val="21"/>
                <w:szCs w:val="21"/>
                <w:highlight w:val="none"/>
                <w:u w:val="none"/>
              </w:rPr>
              <w:t>新能源装机占全</w:t>
            </w:r>
            <w:r>
              <w:rPr>
                <w:rFonts w:hint="default" w:ascii="Times New Roman" w:hAnsi="Times New Roman" w:eastAsia="楷体" w:cs="Times New Roman"/>
                <w:b w:val="0"/>
                <w:bCs w:val="0"/>
                <w:color w:val="auto"/>
                <w:kern w:val="0"/>
                <w:sz w:val="21"/>
                <w:szCs w:val="21"/>
                <w:highlight w:val="none"/>
                <w:u w:val="none"/>
                <w:lang w:eastAsia="zh-CN"/>
              </w:rPr>
              <w:t>县</w:t>
            </w:r>
            <w:r>
              <w:rPr>
                <w:rFonts w:hint="default" w:ascii="Times New Roman" w:hAnsi="Times New Roman" w:eastAsia="楷体" w:cs="Times New Roman"/>
                <w:b w:val="0"/>
                <w:bCs w:val="0"/>
                <w:color w:val="auto"/>
                <w:kern w:val="0"/>
                <w:sz w:val="21"/>
                <w:szCs w:val="21"/>
                <w:highlight w:val="none"/>
                <w:u w:val="none"/>
              </w:rPr>
              <w:t>电力总装机比重</w:t>
            </w:r>
            <w:r>
              <w:rPr>
                <w:rFonts w:hint="eastAsia" w:eastAsia="楷体" w:cs="Times New Roman"/>
                <w:b w:val="0"/>
                <w:bCs w:val="0"/>
                <w:color w:val="auto"/>
                <w:kern w:val="0"/>
                <w:sz w:val="21"/>
                <w:szCs w:val="21"/>
                <w:highlight w:val="none"/>
                <w:u w:val="none"/>
                <w:lang w:eastAsia="zh-CN"/>
              </w:rPr>
              <w:t>（</w:t>
            </w:r>
            <w:r>
              <w:rPr>
                <w:rFonts w:hint="default" w:ascii="Times New Roman" w:hAnsi="Times New Roman" w:eastAsia="楷体" w:cs="Times New Roman"/>
                <w:b w:val="0"/>
                <w:bCs w:val="0"/>
                <w:color w:val="auto"/>
                <w:kern w:val="0"/>
                <w:sz w:val="21"/>
                <w:szCs w:val="21"/>
                <w:highlight w:val="none"/>
                <w:u w:val="none"/>
              </w:rPr>
              <w:t>%</w:t>
            </w:r>
            <w:r>
              <w:rPr>
                <w:rFonts w:hint="eastAsia" w:eastAsia="楷体" w:cs="Times New Roman"/>
                <w:b w:val="0"/>
                <w:bCs w:val="0"/>
                <w:color w:val="auto"/>
                <w:kern w:val="0"/>
                <w:sz w:val="21"/>
                <w:szCs w:val="21"/>
                <w:highlight w:val="none"/>
                <w:u w:val="none"/>
                <w:lang w:eastAsia="zh-CN"/>
              </w:rPr>
              <w:t>）</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27CB2A7E">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仿宋_GB2312" w:cs="Times New Roman"/>
                <w:b w:val="0"/>
                <w:bCs w:val="0"/>
                <w:color w:val="auto"/>
                <w:kern w:val="0"/>
                <w:sz w:val="21"/>
                <w:szCs w:val="21"/>
                <w:lang w:val="en-US" w:eastAsia="zh-CN"/>
                <w:woUserID w:val="13"/>
              </w:rPr>
            </w:pPr>
            <w:r>
              <w:rPr>
                <w:rFonts w:hint="default" w:ascii="Times New Roman" w:hAnsi="Times New Roman" w:eastAsia="仿宋_GB2312" w:cs="Times New Roman"/>
                <w:b w:val="0"/>
                <w:bCs w:val="0"/>
                <w:color w:val="auto"/>
                <w:kern w:val="0"/>
                <w:sz w:val="21"/>
                <w:szCs w:val="21"/>
                <w:highlight w:val="none"/>
                <w:u w:val="none"/>
              </w:rPr>
              <w:t>80</w:t>
            </w:r>
          </w:p>
        </w:tc>
        <w:tc>
          <w:tcPr>
            <w:tcW w:w="17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771D34">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仿宋_GB2312" w:cs="Times New Roman"/>
                <w:b w:val="0"/>
                <w:bCs w:val="0"/>
                <w:color w:val="auto"/>
                <w:kern w:val="0"/>
                <w:sz w:val="21"/>
                <w:szCs w:val="21"/>
                <w:lang w:val="en-US" w:eastAsia="zh"/>
                <w:woUserID w:val="13"/>
              </w:rPr>
            </w:pPr>
            <w:r>
              <w:rPr>
                <w:rFonts w:hint="default" w:ascii="Times New Roman" w:hAnsi="Times New Roman" w:eastAsia="仿宋_GB2312" w:cs="Times New Roman"/>
                <w:b w:val="0"/>
                <w:bCs w:val="0"/>
                <w:color w:val="auto"/>
                <w:kern w:val="0"/>
                <w:sz w:val="21"/>
                <w:szCs w:val="21"/>
                <w:highlight w:val="none"/>
                <w:u w:val="none"/>
              </w:rPr>
              <w:t>——</w:t>
            </w:r>
          </w:p>
        </w:tc>
        <w:tc>
          <w:tcPr>
            <w:tcW w:w="87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138C5C">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lang w:val="en-US"/>
                <w:woUserID w:val="13"/>
              </w:rPr>
            </w:pPr>
            <w:r>
              <w:rPr>
                <w:rFonts w:hint="default" w:ascii="Times New Roman" w:hAnsi="Times New Roman" w:eastAsia="楷体" w:cs="Times New Roman"/>
                <w:b w:val="0"/>
                <w:bCs w:val="0"/>
                <w:color w:val="auto"/>
                <w:kern w:val="0"/>
                <w:sz w:val="20"/>
                <w:szCs w:val="20"/>
                <w:highlight w:val="none"/>
                <w:u w:val="none"/>
              </w:rPr>
              <w:t>预期性</w:t>
            </w:r>
          </w:p>
        </w:tc>
        <w:tc>
          <w:tcPr>
            <w:tcW w:w="9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71976D">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highlight w:val="none"/>
                <w:u w:val="none"/>
                <w:lang w:val="en-US" w:eastAsia="zh-CN"/>
              </w:rPr>
            </w:pPr>
            <w:r>
              <w:rPr>
                <w:rFonts w:hint="default" w:ascii="Times New Roman" w:hAnsi="Times New Roman" w:eastAsia="楷体" w:cs="Times New Roman"/>
                <w:b w:val="0"/>
                <w:bCs w:val="0"/>
                <w:color w:val="auto"/>
                <w:kern w:val="0"/>
                <w:sz w:val="20"/>
                <w:szCs w:val="20"/>
                <w:highlight w:val="none"/>
                <w:u w:val="none"/>
                <w:lang w:val="en-US" w:eastAsia="zh-CN"/>
              </w:rPr>
              <w:t>发改局</w:t>
            </w:r>
          </w:p>
        </w:tc>
      </w:tr>
      <w:tr w14:paraId="1DBE7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2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DC611B">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cs="Times New Roman"/>
                <w:b w:val="0"/>
                <w:bCs w:val="0"/>
                <w:sz w:val="20"/>
                <w:szCs w:val="20"/>
                <w:woUserID w:val="13"/>
              </w:rPr>
            </w:pPr>
          </w:p>
        </w:tc>
        <w:tc>
          <w:tcPr>
            <w:tcW w:w="38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0C2B4A5">
            <w:pPr>
              <w:keepNext w:val="0"/>
              <w:keepLines w:val="0"/>
              <w:widowControl/>
              <w:suppressLineNumbers w:val="0"/>
              <w:adjustRightInd w:val="0"/>
              <w:spacing w:before="0" w:beforeAutospacing="0" w:after="0" w:afterAutospacing="0" w:line="400" w:lineRule="exact"/>
              <w:ind w:left="0" w:right="0"/>
              <w:jc w:val="both"/>
              <w:rPr>
                <w:rFonts w:hint="eastAsia" w:ascii="Times New Roman" w:hAnsi="Times New Roman" w:eastAsia="楷体" w:cs="Times New Roman"/>
                <w:b w:val="0"/>
                <w:bCs w:val="0"/>
                <w:color w:val="auto"/>
                <w:kern w:val="0"/>
                <w:sz w:val="21"/>
                <w:szCs w:val="21"/>
                <w:lang w:val="en-US" w:eastAsia="zh-CN"/>
                <w:woUserID w:val="13"/>
              </w:rPr>
            </w:pPr>
            <w:r>
              <w:rPr>
                <w:rFonts w:hint="default" w:ascii="Times New Roman" w:hAnsi="Times New Roman" w:eastAsia="楷体" w:cs="Times New Roman"/>
                <w:b w:val="0"/>
                <w:bCs w:val="0"/>
                <w:color w:val="auto"/>
                <w:kern w:val="0"/>
                <w:sz w:val="21"/>
                <w:szCs w:val="21"/>
                <w:highlight w:val="none"/>
                <w:u w:val="none"/>
                <w:lang w:val="en-US" w:eastAsia="zh-CN"/>
              </w:rPr>
              <w:t>1</w:t>
            </w:r>
            <w:r>
              <w:rPr>
                <w:rFonts w:hint="eastAsia" w:eastAsia="楷体" w:cs="Times New Roman"/>
                <w:b w:val="0"/>
                <w:bCs w:val="0"/>
                <w:color w:val="auto"/>
                <w:kern w:val="0"/>
                <w:sz w:val="21"/>
                <w:szCs w:val="21"/>
                <w:highlight w:val="none"/>
                <w:u w:val="none"/>
                <w:lang w:val="en-US" w:eastAsia="zh-CN"/>
              </w:rPr>
              <w:t>8</w:t>
            </w:r>
            <w:r>
              <w:rPr>
                <w:rFonts w:hint="default" w:ascii="Times New Roman" w:hAnsi="Times New Roman" w:eastAsia="楷体" w:cs="Times New Roman"/>
                <w:b w:val="0"/>
                <w:bCs w:val="0"/>
                <w:color w:val="auto"/>
                <w:kern w:val="0"/>
                <w:sz w:val="21"/>
                <w:szCs w:val="21"/>
                <w:highlight w:val="none"/>
                <w:u w:val="none"/>
                <w:lang w:val="en"/>
              </w:rPr>
              <w:t>.</w:t>
            </w:r>
            <w:r>
              <w:rPr>
                <w:rFonts w:hint="default" w:ascii="Times New Roman" w:hAnsi="Times New Roman" w:eastAsia="楷体" w:cs="Times New Roman"/>
                <w:b w:val="0"/>
                <w:bCs w:val="0"/>
                <w:color w:val="auto"/>
                <w:kern w:val="0"/>
                <w:sz w:val="21"/>
                <w:szCs w:val="21"/>
                <w:highlight w:val="none"/>
                <w:u w:val="none"/>
              </w:rPr>
              <w:t>地级及以上城市细颗粒物</w:t>
            </w:r>
            <w:r>
              <w:rPr>
                <w:rFonts w:hint="eastAsia" w:eastAsia="楷体" w:cs="Times New Roman"/>
                <w:b w:val="0"/>
                <w:bCs w:val="0"/>
                <w:color w:val="auto"/>
                <w:kern w:val="0"/>
                <w:sz w:val="21"/>
                <w:szCs w:val="21"/>
                <w:highlight w:val="none"/>
                <w:u w:val="none"/>
                <w:lang w:eastAsia="zh-CN"/>
              </w:rPr>
              <w:t>（</w:t>
            </w:r>
            <w:r>
              <w:rPr>
                <w:rFonts w:hint="default" w:ascii="Times New Roman" w:hAnsi="Times New Roman" w:eastAsia="楷体" w:cs="Times New Roman"/>
                <w:b w:val="0"/>
                <w:bCs w:val="0"/>
                <w:color w:val="auto"/>
                <w:kern w:val="0"/>
                <w:sz w:val="21"/>
                <w:szCs w:val="21"/>
                <w:highlight w:val="none"/>
                <w:u w:val="none"/>
              </w:rPr>
              <w:t>PM2.5</w:t>
            </w:r>
            <w:r>
              <w:rPr>
                <w:rFonts w:hint="eastAsia" w:eastAsia="楷体" w:cs="Times New Roman"/>
                <w:b w:val="0"/>
                <w:bCs w:val="0"/>
                <w:color w:val="auto"/>
                <w:kern w:val="0"/>
                <w:sz w:val="21"/>
                <w:szCs w:val="21"/>
                <w:highlight w:val="none"/>
                <w:u w:val="none"/>
                <w:lang w:eastAsia="zh-CN"/>
              </w:rPr>
              <w:t>）</w:t>
            </w:r>
            <w:r>
              <w:rPr>
                <w:rFonts w:hint="default" w:ascii="Times New Roman" w:hAnsi="Times New Roman" w:eastAsia="楷体" w:cs="Times New Roman"/>
                <w:b w:val="0"/>
                <w:bCs w:val="0"/>
                <w:color w:val="auto"/>
                <w:kern w:val="0"/>
                <w:sz w:val="21"/>
                <w:szCs w:val="21"/>
                <w:highlight w:val="none"/>
                <w:u w:val="none"/>
              </w:rPr>
              <w:t>浓度</w:t>
            </w:r>
            <w:r>
              <w:rPr>
                <w:rFonts w:hint="eastAsia" w:eastAsia="楷体" w:cs="Times New Roman"/>
                <w:b w:val="0"/>
                <w:bCs w:val="0"/>
                <w:color w:val="auto"/>
                <w:kern w:val="0"/>
                <w:sz w:val="21"/>
                <w:szCs w:val="21"/>
                <w:highlight w:val="none"/>
                <w:u w:val="none"/>
                <w:lang w:eastAsia="zh-CN"/>
              </w:rPr>
              <w:t>（</w:t>
            </w:r>
            <w:r>
              <w:rPr>
                <w:rFonts w:hint="default" w:ascii="Times New Roman" w:hAnsi="Times New Roman" w:eastAsia="楷体" w:cs="Times New Roman"/>
                <w:b w:val="0"/>
                <w:bCs w:val="0"/>
                <w:color w:val="auto"/>
                <w:kern w:val="0"/>
                <w:sz w:val="21"/>
                <w:szCs w:val="21"/>
                <w:highlight w:val="none"/>
                <w:u w:val="none"/>
              </w:rPr>
              <w:t>微克/立方米</w:t>
            </w:r>
            <w:r>
              <w:rPr>
                <w:rFonts w:hint="eastAsia" w:eastAsia="楷体" w:cs="Times New Roman"/>
                <w:b w:val="0"/>
                <w:bCs w:val="0"/>
                <w:color w:val="auto"/>
                <w:kern w:val="0"/>
                <w:sz w:val="21"/>
                <w:szCs w:val="21"/>
                <w:highlight w:val="none"/>
                <w:u w:val="none"/>
                <w:lang w:eastAsia="zh-CN"/>
              </w:rPr>
              <w:t>）</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603D1DCD">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1"/>
                <w:szCs w:val="21"/>
                <w:highlight w:val="none"/>
                <w:u w:val="none"/>
                <w:lang w:val="en-US" w:eastAsia="zh-CN"/>
              </w:rPr>
            </w:pPr>
            <w:r>
              <w:rPr>
                <w:rFonts w:hint="default" w:ascii="Times New Roman" w:hAnsi="Times New Roman" w:eastAsia="楷体" w:cs="Times New Roman"/>
                <w:b w:val="0"/>
                <w:bCs w:val="0"/>
                <w:color w:val="auto"/>
                <w:kern w:val="0"/>
                <w:sz w:val="21"/>
                <w:szCs w:val="21"/>
                <w:highlight w:val="none"/>
                <w:u w:val="none"/>
                <w:lang w:val="en-US" w:eastAsia="zh-CN"/>
              </w:rPr>
              <w:t>完成</w:t>
            </w:r>
          </w:p>
          <w:p w14:paraId="0335D55A">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1"/>
                <w:szCs w:val="21"/>
                <w:highlight w:val="none"/>
                <w:u w:val="none"/>
                <w:lang w:val="en-US" w:eastAsia="zh"/>
              </w:rPr>
            </w:pPr>
            <w:r>
              <w:rPr>
                <w:rFonts w:hint="default" w:ascii="Times New Roman" w:hAnsi="Times New Roman" w:eastAsia="楷体" w:cs="Times New Roman"/>
                <w:b w:val="0"/>
                <w:bCs w:val="0"/>
                <w:color w:val="auto"/>
                <w:kern w:val="0"/>
                <w:sz w:val="21"/>
                <w:szCs w:val="21"/>
                <w:highlight w:val="none"/>
                <w:u w:val="none"/>
                <w:lang w:val="en-US" w:eastAsia="zh-CN"/>
              </w:rPr>
              <w:t>市标</w:t>
            </w:r>
          </w:p>
        </w:tc>
        <w:tc>
          <w:tcPr>
            <w:tcW w:w="17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F28DB5">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仿宋_GB2312" w:cs="Times New Roman"/>
                <w:b w:val="0"/>
                <w:bCs w:val="0"/>
                <w:color w:val="auto"/>
                <w:kern w:val="0"/>
                <w:sz w:val="21"/>
                <w:szCs w:val="21"/>
                <w:lang w:val="en-US" w:eastAsia="zh"/>
                <w:woUserID w:val="13"/>
              </w:rPr>
            </w:pPr>
            <w:r>
              <w:rPr>
                <w:rFonts w:hint="default" w:ascii="Times New Roman" w:hAnsi="Times New Roman" w:eastAsia="仿宋_GB2312" w:cs="Times New Roman"/>
                <w:b w:val="0"/>
                <w:bCs w:val="0"/>
                <w:color w:val="auto"/>
                <w:kern w:val="0"/>
                <w:sz w:val="21"/>
                <w:szCs w:val="21"/>
                <w:highlight w:val="none"/>
                <w:u w:val="none"/>
              </w:rPr>
              <w:t>——</w:t>
            </w:r>
          </w:p>
        </w:tc>
        <w:tc>
          <w:tcPr>
            <w:tcW w:w="87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519DCE">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lang w:val="en-US"/>
                <w:woUserID w:val="13"/>
              </w:rPr>
            </w:pPr>
            <w:r>
              <w:rPr>
                <w:rFonts w:hint="default" w:ascii="Times New Roman" w:hAnsi="Times New Roman" w:eastAsia="楷体" w:cs="Times New Roman"/>
                <w:b w:val="0"/>
                <w:bCs w:val="0"/>
                <w:color w:val="auto"/>
                <w:kern w:val="0"/>
                <w:sz w:val="20"/>
                <w:szCs w:val="20"/>
                <w:highlight w:val="none"/>
                <w:u w:val="none"/>
              </w:rPr>
              <w:t>约束性</w:t>
            </w:r>
          </w:p>
        </w:tc>
        <w:tc>
          <w:tcPr>
            <w:tcW w:w="9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1BC64B">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highlight w:val="none"/>
                <w:u w:val="none"/>
                <w:lang w:val="en-US" w:eastAsia="zh-CN"/>
              </w:rPr>
            </w:pPr>
            <w:r>
              <w:rPr>
                <w:rFonts w:hint="default" w:ascii="Times New Roman" w:hAnsi="Times New Roman" w:eastAsia="楷体" w:cs="Times New Roman"/>
                <w:b w:val="0"/>
                <w:bCs w:val="0"/>
                <w:color w:val="auto"/>
                <w:kern w:val="0"/>
                <w:sz w:val="20"/>
                <w:szCs w:val="20"/>
                <w:highlight w:val="none"/>
                <w:u w:val="none"/>
                <w:lang w:val="en-US" w:eastAsia="zh-CN"/>
              </w:rPr>
              <w:t>生态局</w:t>
            </w:r>
          </w:p>
        </w:tc>
      </w:tr>
      <w:tr w14:paraId="7B84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82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BE9754">
            <w:pPr>
              <w:jc w:val="center"/>
              <w:rPr>
                <w:rFonts w:hint="default" w:ascii="Times New Roman" w:hAnsi="Times New Roman" w:cs="Times New Roman"/>
                <w:b w:val="0"/>
                <w:bCs w:val="0"/>
                <w:sz w:val="21"/>
                <w:szCs w:val="24"/>
              </w:rPr>
            </w:pPr>
          </w:p>
          <w:p w14:paraId="159E0064">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000000"/>
                <w:kern w:val="0"/>
                <w:sz w:val="24"/>
                <w:szCs w:val="24"/>
                <w:lang w:val="en-US"/>
                <w:woUserID w:val="13"/>
              </w:rPr>
            </w:pPr>
          </w:p>
        </w:tc>
        <w:tc>
          <w:tcPr>
            <w:tcW w:w="38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1BBBF20">
            <w:pPr>
              <w:keepNext w:val="0"/>
              <w:keepLines w:val="0"/>
              <w:widowControl/>
              <w:suppressLineNumbers w:val="0"/>
              <w:adjustRightInd w:val="0"/>
              <w:spacing w:before="0" w:beforeAutospacing="0" w:after="0" w:afterAutospacing="0" w:line="400" w:lineRule="exact"/>
              <w:ind w:left="0" w:right="0"/>
              <w:jc w:val="both"/>
              <w:rPr>
                <w:rFonts w:hint="default" w:ascii="Times New Roman" w:hAnsi="Times New Roman" w:eastAsia="楷体" w:cs="Times New Roman"/>
                <w:b w:val="0"/>
                <w:bCs w:val="0"/>
                <w:color w:val="auto"/>
                <w:kern w:val="0"/>
                <w:sz w:val="21"/>
                <w:szCs w:val="21"/>
                <w:lang w:val="en-US"/>
                <w:woUserID w:val="13"/>
              </w:rPr>
            </w:pPr>
            <w:r>
              <w:rPr>
                <w:rFonts w:hint="default" w:ascii="Times New Roman" w:hAnsi="Times New Roman" w:eastAsia="楷体" w:cs="Times New Roman"/>
                <w:b w:val="0"/>
                <w:bCs w:val="0"/>
                <w:color w:val="auto"/>
                <w:kern w:val="0"/>
                <w:sz w:val="21"/>
                <w:szCs w:val="21"/>
                <w:highlight w:val="none"/>
                <w:u w:val="none"/>
              </w:rPr>
              <w:t>1</w:t>
            </w:r>
            <w:r>
              <w:rPr>
                <w:rFonts w:hint="eastAsia" w:eastAsia="楷体" w:cs="Times New Roman"/>
                <w:b w:val="0"/>
                <w:bCs w:val="0"/>
                <w:color w:val="auto"/>
                <w:kern w:val="0"/>
                <w:sz w:val="21"/>
                <w:szCs w:val="21"/>
                <w:highlight w:val="none"/>
                <w:u w:val="none"/>
                <w:lang w:val="en-US" w:eastAsia="zh-CN"/>
              </w:rPr>
              <w:t>9</w:t>
            </w:r>
            <w:r>
              <w:rPr>
                <w:rFonts w:hint="default" w:ascii="Times New Roman" w:hAnsi="Times New Roman" w:eastAsia="楷体" w:cs="Times New Roman"/>
                <w:b w:val="0"/>
                <w:bCs w:val="0"/>
                <w:color w:val="auto"/>
                <w:kern w:val="0"/>
                <w:sz w:val="21"/>
                <w:szCs w:val="21"/>
                <w:highlight w:val="none"/>
                <w:u w:val="none"/>
                <w:lang w:val="en"/>
              </w:rPr>
              <w:t>.</w:t>
            </w:r>
            <w:r>
              <w:rPr>
                <w:rFonts w:hint="default" w:ascii="Times New Roman" w:hAnsi="Times New Roman" w:eastAsia="楷体" w:cs="Times New Roman"/>
                <w:b w:val="0"/>
                <w:bCs w:val="0"/>
                <w:color w:val="auto"/>
                <w:kern w:val="0"/>
                <w:sz w:val="21"/>
                <w:szCs w:val="21"/>
                <w:highlight w:val="none"/>
                <w:u w:val="none"/>
              </w:rPr>
              <w:t>地表水优良水体比例</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231A0184">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1"/>
                <w:szCs w:val="21"/>
                <w:highlight w:val="none"/>
                <w:u w:val="none"/>
                <w:lang w:val="en-US" w:eastAsia="zh-CN"/>
              </w:rPr>
            </w:pPr>
            <w:r>
              <w:rPr>
                <w:rFonts w:hint="default" w:ascii="Times New Roman" w:hAnsi="Times New Roman" w:eastAsia="楷体" w:cs="Times New Roman"/>
                <w:b w:val="0"/>
                <w:bCs w:val="0"/>
                <w:color w:val="auto"/>
                <w:kern w:val="0"/>
                <w:sz w:val="21"/>
                <w:szCs w:val="21"/>
                <w:highlight w:val="none"/>
                <w:u w:val="none"/>
                <w:lang w:val="en-US" w:eastAsia="zh-CN"/>
              </w:rPr>
              <w:t>完成</w:t>
            </w:r>
          </w:p>
          <w:p w14:paraId="49C93061">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1"/>
                <w:szCs w:val="21"/>
                <w:highlight w:val="none"/>
                <w:u w:val="none"/>
                <w:lang w:val="en-US" w:eastAsia="zh"/>
              </w:rPr>
            </w:pPr>
            <w:r>
              <w:rPr>
                <w:rFonts w:hint="default" w:ascii="Times New Roman" w:hAnsi="Times New Roman" w:eastAsia="楷体" w:cs="Times New Roman"/>
                <w:b w:val="0"/>
                <w:bCs w:val="0"/>
                <w:color w:val="auto"/>
                <w:kern w:val="0"/>
                <w:sz w:val="21"/>
                <w:szCs w:val="21"/>
                <w:highlight w:val="none"/>
                <w:u w:val="none"/>
                <w:lang w:val="en-US" w:eastAsia="zh-CN"/>
              </w:rPr>
              <w:t>市标</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7432B640">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仿宋_GB2312" w:cs="Times New Roman"/>
                <w:b w:val="0"/>
                <w:bCs w:val="0"/>
                <w:color w:val="auto"/>
                <w:kern w:val="0"/>
                <w:sz w:val="21"/>
                <w:szCs w:val="21"/>
                <w:lang w:val="en-US" w:eastAsia="zh"/>
                <w:woUserID w:val="13"/>
              </w:rPr>
            </w:pPr>
            <w:r>
              <w:rPr>
                <w:rFonts w:hint="default" w:ascii="Times New Roman" w:hAnsi="Times New Roman" w:eastAsia="仿宋_GB2312" w:cs="Times New Roman"/>
                <w:b w:val="0"/>
                <w:bCs w:val="0"/>
                <w:color w:val="auto"/>
                <w:kern w:val="0"/>
                <w:sz w:val="21"/>
                <w:szCs w:val="21"/>
                <w:highlight w:val="none"/>
                <w:u w:val="none"/>
              </w:rPr>
              <w:t>——</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14:paraId="752BCF50">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lang w:val="en-US"/>
                <w:woUserID w:val="13"/>
              </w:rPr>
            </w:pPr>
            <w:r>
              <w:rPr>
                <w:rFonts w:hint="default" w:ascii="Times New Roman" w:hAnsi="Times New Roman" w:eastAsia="楷体" w:cs="Times New Roman"/>
                <w:b w:val="0"/>
                <w:bCs w:val="0"/>
                <w:color w:val="auto"/>
                <w:kern w:val="0"/>
                <w:sz w:val="20"/>
                <w:szCs w:val="20"/>
                <w:highlight w:val="none"/>
                <w:u w:val="none"/>
              </w:rPr>
              <w:t>约束性</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4A8DA2B2">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highlight w:val="none"/>
                <w:u w:val="none"/>
                <w:lang w:val="en-US" w:eastAsia="zh-CN"/>
              </w:rPr>
            </w:pPr>
            <w:r>
              <w:rPr>
                <w:rFonts w:hint="default" w:ascii="Times New Roman" w:hAnsi="Times New Roman" w:eastAsia="楷体" w:cs="Times New Roman"/>
                <w:b w:val="0"/>
                <w:bCs w:val="0"/>
                <w:color w:val="auto"/>
                <w:kern w:val="0"/>
                <w:sz w:val="20"/>
                <w:szCs w:val="20"/>
                <w:highlight w:val="none"/>
                <w:u w:val="none"/>
                <w:lang w:val="en-US" w:eastAsia="zh-CN"/>
              </w:rPr>
              <w:t>生态局</w:t>
            </w:r>
          </w:p>
        </w:tc>
      </w:tr>
      <w:tr w14:paraId="3297C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2" w:hRule="atLeast"/>
          <w:jc w:val="center"/>
        </w:trPr>
        <w:tc>
          <w:tcPr>
            <w:tcW w:w="82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B0651D0">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cs="Times New Roman"/>
                <w:b w:val="0"/>
                <w:bCs w:val="0"/>
                <w:sz w:val="20"/>
                <w:szCs w:val="20"/>
                <w:woUserID w:val="13"/>
              </w:rPr>
            </w:pPr>
          </w:p>
        </w:tc>
        <w:tc>
          <w:tcPr>
            <w:tcW w:w="38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23E6FF5">
            <w:pPr>
              <w:keepNext w:val="0"/>
              <w:keepLines w:val="0"/>
              <w:widowControl/>
              <w:suppressLineNumbers w:val="0"/>
              <w:adjustRightInd w:val="0"/>
              <w:spacing w:before="0" w:beforeAutospacing="0" w:after="0" w:afterAutospacing="0" w:line="400" w:lineRule="exact"/>
              <w:ind w:left="0" w:right="0"/>
              <w:jc w:val="both"/>
              <w:rPr>
                <w:rFonts w:hint="eastAsia" w:ascii="Times New Roman" w:hAnsi="Times New Roman" w:eastAsia="楷体" w:cs="Times New Roman"/>
                <w:b w:val="0"/>
                <w:bCs w:val="0"/>
                <w:color w:val="auto"/>
                <w:kern w:val="0"/>
                <w:sz w:val="21"/>
                <w:szCs w:val="21"/>
                <w:lang w:val="en-US" w:eastAsia="zh-CN"/>
                <w:woUserID w:val="13"/>
              </w:rPr>
            </w:pPr>
            <w:r>
              <w:rPr>
                <w:rFonts w:hint="eastAsia" w:eastAsia="楷体" w:cs="Times New Roman"/>
                <w:b w:val="0"/>
                <w:bCs w:val="0"/>
                <w:color w:val="auto"/>
                <w:kern w:val="0"/>
                <w:sz w:val="21"/>
                <w:szCs w:val="21"/>
                <w:highlight w:val="none"/>
                <w:u w:val="none"/>
                <w:lang w:val="en-US" w:eastAsia="zh-CN"/>
              </w:rPr>
              <w:t>20</w:t>
            </w:r>
            <w:r>
              <w:rPr>
                <w:rFonts w:hint="default" w:ascii="Times New Roman" w:hAnsi="Times New Roman" w:eastAsia="楷体" w:cs="Times New Roman"/>
                <w:b w:val="0"/>
                <w:bCs w:val="0"/>
                <w:color w:val="auto"/>
                <w:kern w:val="0"/>
                <w:sz w:val="21"/>
                <w:szCs w:val="21"/>
                <w:highlight w:val="none"/>
                <w:u w:val="none"/>
                <w:lang w:val="en"/>
              </w:rPr>
              <w:t>.</w:t>
            </w:r>
            <w:r>
              <w:rPr>
                <w:rFonts w:hint="default" w:ascii="Times New Roman" w:hAnsi="Times New Roman" w:eastAsia="楷体" w:cs="Times New Roman"/>
                <w:b w:val="0"/>
                <w:bCs w:val="0"/>
                <w:color w:val="auto"/>
                <w:kern w:val="0"/>
                <w:sz w:val="21"/>
                <w:szCs w:val="21"/>
                <w:highlight w:val="none"/>
                <w:u w:val="none"/>
              </w:rPr>
              <w:t>森林覆盖率</w:t>
            </w:r>
            <w:r>
              <w:rPr>
                <w:rFonts w:hint="eastAsia" w:eastAsia="楷体" w:cs="Times New Roman"/>
                <w:b w:val="0"/>
                <w:bCs w:val="0"/>
                <w:color w:val="auto"/>
                <w:kern w:val="0"/>
                <w:sz w:val="21"/>
                <w:szCs w:val="21"/>
                <w:highlight w:val="none"/>
                <w:u w:val="none"/>
                <w:lang w:eastAsia="zh-CN"/>
              </w:rPr>
              <w:t>（</w:t>
            </w:r>
            <w:r>
              <w:rPr>
                <w:rFonts w:hint="default" w:ascii="Times New Roman" w:hAnsi="Times New Roman" w:eastAsia="楷体" w:cs="Times New Roman"/>
                <w:b w:val="0"/>
                <w:bCs w:val="0"/>
                <w:color w:val="auto"/>
                <w:kern w:val="0"/>
                <w:sz w:val="21"/>
                <w:szCs w:val="21"/>
                <w:highlight w:val="none"/>
                <w:u w:val="none"/>
              </w:rPr>
              <w:t>%</w:t>
            </w:r>
            <w:r>
              <w:rPr>
                <w:rFonts w:hint="eastAsia" w:eastAsia="楷体" w:cs="Times New Roman"/>
                <w:b w:val="0"/>
                <w:bCs w:val="0"/>
                <w:color w:val="auto"/>
                <w:kern w:val="0"/>
                <w:sz w:val="21"/>
                <w:szCs w:val="21"/>
                <w:highlight w:val="none"/>
                <w:u w:val="none"/>
                <w:lang w:eastAsia="zh-CN"/>
              </w:rPr>
              <w:t>）</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48826CC7">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cs="Times New Roman"/>
                <w:b w:val="0"/>
                <w:bCs w:val="0"/>
                <w:color w:val="auto"/>
                <w:sz w:val="21"/>
                <w:szCs w:val="24"/>
              </w:rPr>
            </w:pPr>
            <w:r>
              <w:rPr>
                <w:rFonts w:hint="default" w:ascii="Times New Roman" w:hAnsi="Times New Roman" w:eastAsia="仿宋_GB2312" w:cs="Times New Roman"/>
                <w:b w:val="0"/>
                <w:bCs w:val="0"/>
                <w:color w:val="auto"/>
                <w:kern w:val="0"/>
                <w:sz w:val="21"/>
                <w:szCs w:val="21"/>
                <w:highlight w:val="none"/>
                <w:u w:val="none"/>
              </w:rPr>
              <w:t>14.45</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7A5F522A">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仿宋_GB2312" w:cs="Times New Roman"/>
                <w:b w:val="0"/>
                <w:bCs w:val="0"/>
                <w:color w:val="auto"/>
                <w:kern w:val="0"/>
                <w:sz w:val="21"/>
                <w:szCs w:val="21"/>
                <w:lang w:val="en-US" w:eastAsia="zh"/>
                <w:woUserID w:val="13"/>
              </w:rPr>
            </w:pPr>
            <w:r>
              <w:rPr>
                <w:rFonts w:hint="default" w:ascii="Times New Roman" w:hAnsi="Times New Roman" w:eastAsia="仿宋_GB2312" w:cs="Times New Roman"/>
                <w:b w:val="0"/>
                <w:bCs w:val="0"/>
                <w:color w:val="auto"/>
                <w:kern w:val="0"/>
                <w:sz w:val="21"/>
                <w:szCs w:val="21"/>
                <w:highlight w:val="none"/>
                <w:u w:val="none"/>
              </w:rPr>
              <w:t>——</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14:paraId="3581899D">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lang w:val="en-US"/>
                <w:woUserID w:val="13"/>
              </w:rPr>
            </w:pPr>
            <w:r>
              <w:rPr>
                <w:rFonts w:hint="default" w:ascii="Times New Roman" w:hAnsi="Times New Roman" w:eastAsia="楷体" w:cs="Times New Roman"/>
                <w:b w:val="0"/>
                <w:bCs w:val="0"/>
                <w:color w:val="auto"/>
                <w:kern w:val="0"/>
                <w:sz w:val="20"/>
                <w:szCs w:val="20"/>
                <w:highlight w:val="none"/>
                <w:u w:val="none"/>
              </w:rPr>
              <w:t>约束性</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64D4681D">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highlight w:val="none"/>
                <w:u w:val="none"/>
                <w:lang w:val="en-US" w:eastAsia="zh-CN"/>
              </w:rPr>
            </w:pPr>
            <w:r>
              <w:rPr>
                <w:rFonts w:hint="default" w:ascii="Times New Roman" w:hAnsi="Times New Roman" w:eastAsia="楷体" w:cs="Times New Roman"/>
                <w:b w:val="0"/>
                <w:bCs w:val="0"/>
                <w:color w:val="auto"/>
                <w:kern w:val="0"/>
                <w:sz w:val="20"/>
                <w:szCs w:val="20"/>
                <w:highlight w:val="none"/>
                <w:u w:val="none"/>
                <w:lang w:val="en-US" w:eastAsia="zh-CN"/>
              </w:rPr>
              <w:t>林草局</w:t>
            </w:r>
          </w:p>
        </w:tc>
      </w:tr>
      <w:tr w14:paraId="36BF2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2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3ECA24">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cs="Times New Roman"/>
                <w:b w:val="0"/>
                <w:bCs w:val="0"/>
                <w:sz w:val="20"/>
                <w:szCs w:val="20"/>
                <w:woUserID w:val="13"/>
              </w:rPr>
            </w:pPr>
          </w:p>
        </w:tc>
        <w:tc>
          <w:tcPr>
            <w:tcW w:w="38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8F616B6">
            <w:pPr>
              <w:keepNext w:val="0"/>
              <w:keepLines w:val="0"/>
              <w:widowControl/>
              <w:suppressLineNumbers w:val="0"/>
              <w:adjustRightInd w:val="0"/>
              <w:spacing w:before="0" w:beforeAutospacing="0" w:after="0" w:afterAutospacing="0" w:line="400" w:lineRule="exact"/>
              <w:ind w:left="0" w:right="0"/>
              <w:jc w:val="both"/>
              <w:rPr>
                <w:rFonts w:hint="default" w:ascii="Times New Roman" w:hAnsi="Times New Roman" w:eastAsia="楷体" w:cs="Times New Roman"/>
                <w:b w:val="0"/>
                <w:bCs w:val="0"/>
                <w:color w:val="auto"/>
                <w:kern w:val="0"/>
                <w:sz w:val="21"/>
                <w:szCs w:val="21"/>
                <w:highlight w:val="none"/>
                <w:lang w:val="en-US"/>
                <w:woUserID w:val="13"/>
              </w:rPr>
            </w:pPr>
            <w:r>
              <w:rPr>
                <w:rFonts w:hint="eastAsia" w:eastAsia="楷体" w:cs="Times New Roman"/>
                <w:b w:val="0"/>
                <w:bCs w:val="0"/>
                <w:color w:val="auto"/>
                <w:kern w:val="0"/>
                <w:sz w:val="21"/>
                <w:szCs w:val="21"/>
                <w:highlight w:val="none"/>
                <w:u w:val="none"/>
                <w:lang w:val="en-US" w:eastAsia="zh-CN"/>
              </w:rPr>
              <w:t>21</w:t>
            </w:r>
            <w:r>
              <w:rPr>
                <w:rFonts w:hint="default" w:ascii="Times New Roman" w:hAnsi="Times New Roman" w:eastAsia="楷体" w:cs="Times New Roman"/>
                <w:b w:val="0"/>
                <w:bCs w:val="0"/>
                <w:color w:val="auto"/>
                <w:kern w:val="0"/>
                <w:sz w:val="21"/>
                <w:szCs w:val="21"/>
                <w:highlight w:val="none"/>
                <w:u w:val="none"/>
              </w:rPr>
              <w:t>.</w:t>
            </w:r>
            <w:r>
              <w:rPr>
                <w:rFonts w:hint="default" w:ascii="Times New Roman" w:hAnsi="Times New Roman" w:eastAsia="楷体" w:cs="Times New Roman"/>
                <w:b w:val="0"/>
                <w:bCs w:val="0"/>
                <w:color w:val="auto"/>
                <w:kern w:val="0"/>
                <w:sz w:val="21"/>
                <w:szCs w:val="21"/>
                <w:highlight w:val="none"/>
                <w:u w:val="none"/>
                <w:lang w:val="en-US" w:eastAsia="zh-CN"/>
              </w:rPr>
              <w:t>县</w:t>
            </w:r>
            <w:r>
              <w:rPr>
                <w:rFonts w:hint="default" w:ascii="Times New Roman" w:hAnsi="Times New Roman" w:eastAsia="楷体" w:cs="Times New Roman"/>
                <w:b w:val="0"/>
                <w:bCs w:val="0"/>
                <w:color w:val="auto"/>
                <w:kern w:val="0"/>
                <w:sz w:val="21"/>
                <w:szCs w:val="21"/>
                <w:highlight w:val="none"/>
                <w:u w:val="none"/>
              </w:rPr>
              <w:t>域耕地质量等级</w:t>
            </w:r>
            <w:r>
              <w:rPr>
                <w:rFonts w:hint="eastAsia" w:eastAsia="楷体" w:cs="Times New Roman"/>
                <w:b w:val="0"/>
                <w:bCs w:val="0"/>
                <w:color w:val="auto"/>
                <w:kern w:val="0"/>
                <w:sz w:val="21"/>
                <w:szCs w:val="21"/>
                <w:highlight w:val="none"/>
                <w:u w:val="none"/>
                <w:lang w:eastAsia="zh-CN"/>
              </w:rPr>
              <w:t>（</w:t>
            </w:r>
            <w:r>
              <w:rPr>
                <w:rFonts w:hint="default" w:ascii="Times New Roman" w:hAnsi="Times New Roman" w:eastAsia="楷体" w:cs="Times New Roman"/>
                <w:b w:val="0"/>
                <w:bCs w:val="0"/>
                <w:color w:val="auto"/>
                <w:kern w:val="0"/>
                <w:sz w:val="21"/>
                <w:szCs w:val="21"/>
                <w:highlight w:val="none"/>
                <w:u w:val="none"/>
              </w:rPr>
              <w:t>等）</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6482E54D">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cs="Times New Roman"/>
                <w:b w:val="0"/>
                <w:bCs w:val="0"/>
                <w:color w:val="auto"/>
                <w:sz w:val="21"/>
                <w:szCs w:val="24"/>
                <w:lang w:val="en-US"/>
              </w:rPr>
            </w:pPr>
            <w:r>
              <w:rPr>
                <w:rFonts w:hint="default" w:ascii="Times New Roman" w:hAnsi="Times New Roman" w:eastAsia="仿宋_GB2312" w:cs="Times New Roman"/>
                <w:b w:val="0"/>
                <w:bCs w:val="0"/>
                <w:color w:val="auto"/>
                <w:kern w:val="0"/>
                <w:sz w:val="21"/>
                <w:szCs w:val="21"/>
                <w:highlight w:val="none"/>
                <w:u w:val="none"/>
                <w:lang w:val="en-US" w:eastAsia="zh-CN"/>
              </w:rPr>
              <w:t>2.29</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7992FD05">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仿宋_GB2312" w:cs="Times New Roman"/>
                <w:b w:val="0"/>
                <w:bCs w:val="0"/>
                <w:color w:val="auto"/>
                <w:kern w:val="0"/>
                <w:sz w:val="21"/>
                <w:szCs w:val="21"/>
                <w:lang w:val="en-US" w:eastAsia="zh"/>
                <w:woUserID w:val="13"/>
              </w:rPr>
            </w:pPr>
            <w:r>
              <w:rPr>
                <w:rFonts w:hint="default" w:ascii="Times New Roman" w:hAnsi="Times New Roman" w:eastAsia="仿宋_GB2312" w:cs="Times New Roman"/>
                <w:b w:val="0"/>
                <w:bCs w:val="0"/>
                <w:color w:val="auto"/>
                <w:kern w:val="0"/>
                <w:sz w:val="21"/>
                <w:szCs w:val="21"/>
                <w:highlight w:val="none"/>
                <w:u w:val="none"/>
              </w:rPr>
              <w:t>——</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14:paraId="6C8FE996">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lang w:val="en-US"/>
                <w:woUserID w:val="13"/>
              </w:rPr>
            </w:pPr>
            <w:r>
              <w:rPr>
                <w:rFonts w:hint="default" w:ascii="Times New Roman" w:hAnsi="Times New Roman" w:eastAsia="楷体" w:cs="Times New Roman"/>
                <w:b w:val="0"/>
                <w:bCs w:val="0"/>
                <w:color w:val="auto"/>
                <w:kern w:val="0"/>
                <w:sz w:val="20"/>
                <w:szCs w:val="20"/>
                <w:highlight w:val="none"/>
                <w:u w:val="none"/>
              </w:rPr>
              <w:t>预期性</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7247D0BD">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highlight w:val="none"/>
                <w:u w:val="none"/>
                <w:lang w:val="en-US" w:eastAsia="zh-CN"/>
              </w:rPr>
            </w:pPr>
            <w:r>
              <w:rPr>
                <w:rFonts w:hint="default" w:ascii="Times New Roman" w:hAnsi="Times New Roman" w:eastAsia="楷体" w:cs="Times New Roman"/>
                <w:b w:val="0"/>
                <w:bCs w:val="0"/>
                <w:color w:val="auto"/>
                <w:kern w:val="0"/>
                <w:sz w:val="20"/>
                <w:szCs w:val="20"/>
                <w:highlight w:val="none"/>
                <w:u w:val="none"/>
                <w:lang w:val="en-US" w:eastAsia="zh-CN"/>
              </w:rPr>
              <w:t>农业局</w:t>
            </w:r>
          </w:p>
        </w:tc>
      </w:tr>
      <w:tr w14:paraId="34916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0" w:hRule="atLeast"/>
          <w:jc w:val="center"/>
        </w:trPr>
        <w:tc>
          <w:tcPr>
            <w:tcW w:w="826" w:type="dxa"/>
            <w:tcBorders>
              <w:top w:val="single" w:color="auto" w:sz="4" w:space="0"/>
              <w:left w:val="single" w:color="auto" w:sz="4" w:space="0"/>
              <w:bottom w:val="single" w:color="auto" w:sz="4" w:space="0"/>
              <w:right w:val="single" w:color="auto" w:sz="4" w:space="0"/>
            </w:tcBorders>
            <w:shd w:val="clear" w:color="auto" w:fill="auto"/>
            <w:vAlign w:val="center"/>
          </w:tcPr>
          <w:p w14:paraId="546CA01E">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cs="Times New Roman"/>
                <w:b w:val="0"/>
                <w:bCs w:val="0"/>
                <w:sz w:val="20"/>
                <w:szCs w:val="20"/>
                <w:woUserID w:val="13"/>
              </w:rPr>
            </w:pPr>
            <w:r>
              <w:rPr>
                <w:rFonts w:hint="default" w:ascii="Times New Roman" w:hAnsi="Times New Roman" w:eastAsia="楷体" w:cs="Times New Roman"/>
                <w:b w:val="0"/>
                <w:bCs w:val="0"/>
                <w:color w:val="auto"/>
                <w:kern w:val="0"/>
                <w:sz w:val="24"/>
                <w:szCs w:val="24"/>
                <w:highlight w:val="none"/>
                <w:u w:val="none"/>
                <w:lang w:val="en"/>
              </w:rPr>
              <w:t>对外</w:t>
            </w:r>
            <w:r>
              <w:rPr>
                <w:rFonts w:hint="default" w:ascii="Times New Roman" w:hAnsi="Times New Roman" w:eastAsia="楷体" w:cs="Times New Roman"/>
                <w:b w:val="0"/>
                <w:bCs w:val="0"/>
                <w:color w:val="auto"/>
                <w:kern w:val="0"/>
                <w:sz w:val="24"/>
                <w:szCs w:val="24"/>
                <w:highlight w:val="none"/>
                <w:u w:val="none"/>
                <w:lang w:val="en"/>
              </w:rPr>
              <w:br w:type="textWrapping"/>
            </w:r>
            <w:r>
              <w:rPr>
                <w:rFonts w:hint="default" w:ascii="Times New Roman" w:hAnsi="Times New Roman" w:eastAsia="楷体" w:cs="Times New Roman"/>
                <w:b w:val="0"/>
                <w:bCs w:val="0"/>
                <w:color w:val="auto"/>
                <w:kern w:val="0"/>
                <w:sz w:val="24"/>
                <w:szCs w:val="24"/>
                <w:highlight w:val="none"/>
                <w:u w:val="none"/>
                <w:lang w:val="en"/>
              </w:rPr>
              <w:t>开放</w:t>
            </w:r>
          </w:p>
        </w:tc>
        <w:tc>
          <w:tcPr>
            <w:tcW w:w="38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6ABCA25">
            <w:pPr>
              <w:keepNext w:val="0"/>
              <w:keepLines w:val="0"/>
              <w:widowControl/>
              <w:suppressLineNumbers w:val="0"/>
              <w:adjustRightInd w:val="0"/>
              <w:spacing w:before="0" w:beforeAutospacing="0" w:after="0" w:afterAutospacing="0" w:line="400" w:lineRule="exact"/>
              <w:ind w:left="0" w:right="0"/>
              <w:jc w:val="both"/>
              <w:rPr>
                <w:rFonts w:hint="eastAsia" w:ascii="Times New Roman" w:hAnsi="Times New Roman" w:eastAsia="楷体" w:cs="Times New Roman"/>
                <w:b w:val="0"/>
                <w:bCs w:val="0"/>
                <w:color w:val="auto"/>
                <w:kern w:val="0"/>
                <w:sz w:val="21"/>
                <w:szCs w:val="21"/>
                <w:lang w:val="en-US" w:eastAsia="zh-CN"/>
                <w:woUserID w:val="13"/>
              </w:rPr>
            </w:pPr>
            <w:r>
              <w:rPr>
                <w:rFonts w:hint="eastAsia" w:eastAsia="楷体" w:cs="Times New Roman"/>
                <w:b w:val="0"/>
                <w:bCs w:val="0"/>
                <w:color w:val="auto"/>
                <w:kern w:val="0"/>
                <w:sz w:val="21"/>
                <w:szCs w:val="21"/>
                <w:highlight w:val="none"/>
                <w:u w:val="none"/>
                <w:lang w:val="en-US" w:eastAsia="zh-CN"/>
              </w:rPr>
              <w:t>22</w:t>
            </w:r>
            <w:r>
              <w:rPr>
                <w:rFonts w:hint="default" w:ascii="Times New Roman" w:hAnsi="Times New Roman" w:eastAsia="楷体" w:cs="Times New Roman"/>
                <w:b w:val="0"/>
                <w:bCs w:val="0"/>
                <w:color w:val="auto"/>
                <w:kern w:val="0"/>
                <w:sz w:val="21"/>
                <w:szCs w:val="21"/>
                <w:highlight w:val="none"/>
                <w:u w:val="none"/>
              </w:rPr>
              <w:t>.对俄贸易总额</w:t>
            </w:r>
            <w:r>
              <w:rPr>
                <w:rFonts w:hint="eastAsia" w:eastAsia="楷体" w:cs="Times New Roman"/>
                <w:b w:val="0"/>
                <w:bCs w:val="0"/>
                <w:color w:val="auto"/>
                <w:kern w:val="0"/>
                <w:sz w:val="21"/>
                <w:szCs w:val="21"/>
                <w:highlight w:val="none"/>
                <w:u w:val="none"/>
                <w:lang w:eastAsia="zh-CN"/>
              </w:rPr>
              <w:t>（</w:t>
            </w:r>
            <w:r>
              <w:rPr>
                <w:rFonts w:hint="default" w:ascii="Times New Roman" w:hAnsi="Times New Roman" w:eastAsia="楷体" w:cs="Times New Roman"/>
                <w:b w:val="0"/>
                <w:bCs w:val="0"/>
                <w:color w:val="auto"/>
                <w:kern w:val="0"/>
                <w:sz w:val="21"/>
                <w:szCs w:val="21"/>
                <w:highlight w:val="none"/>
                <w:u w:val="none"/>
              </w:rPr>
              <w:t>亿元</w:t>
            </w:r>
            <w:r>
              <w:rPr>
                <w:rFonts w:hint="eastAsia" w:eastAsia="楷体" w:cs="Times New Roman"/>
                <w:b w:val="0"/>
                <w:bCs w:val="0"/>
                <w:color w:val="auto"/>
                <w:kern w:val="0"/>
                <w:sz w:val="21"/>
                <w:szCs w:val="21"/>
                <w:highlight w:val="none"/>
                <w:u w:val="none"/>
                <w:lang w:eastAsia="zh-CN"/>
              </w:rPr>
              <w:t>）</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6A906313">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仿宋_GB2312" w:cs="Times New Roman"/>
                <w:b w:val="0"/>
                <w:bCs w:val="0"/>
                <w:color w:val="auto"/>
                <w:kern w:val="0"/>
                <w:sz w:val="21"/>
                <w:szCs w:val="21"/>
                <w:lang w:val="en-US" w:eastAsia="zh-CN"/>
                <w:woUserID w:val="13"/>
              </w:rPr>
            </w:pPr>
            <w:r>
              <w:rPr>
                <w:rFonts w:hint="default" w:ascii="Times New Roman" w:hAnsi="Times New Roman" w:eastAsia="仿宋_GB2312" w:cs="Times New Roman"/>
                <w:b w:val="0"/>
                <w:bCs w:val="0"/>
                <w:color w:val="auto"/>
                <w:kern w:val="0"/>
                <w:sz w:val="21"/>
                <w:szCs w:val="21"/>
                <w:lang w:val="en-US" w:eastAsia="zh-CN"/>
                <w:woUserID w:val="13"/>
              </w:rPr>
              <w:t>2.09</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161180F3">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仿宋_GB2312" w:cs="Times New Roman"/>
                <w:b w:val="0"/>
                <w:bCs w:val="0"/>
                <w:color w:val="auto"/>
                <w:kern w:val="0"/>
                <w:sz w:val="21"/>
                <w:szCs w:val="21"/>
                <w:lang w:val="en-US" w:eastAsia="zh"/>
                <w:woUserID w:val="13"/>
              </w:rPr>
            </w:pPr>
            <w:r>
              <w:rPr>
                <w:rFonts w:hint="default" w:ascii="Times New Roman" w:hAnsi="Times New Roman" w:eastAsia="仿宋_GB2312" w:cs="Times New Roman"/>
                <w:b w:val="0"/>
                <w:bCs w:val="0"/>
                <w:color w:val="auto"/>
                <w:kern w:val="0"/>
                <w:sz w:val="21"/>
                <w:szCs w:val="21"/>
                <w:lang w:val="en-US" w:eastAsia="zh-CN"/>
                <w:woUserID w:val="13"/>
              </w:rPr>
              <w:t>1.97</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14:paraId="0DCAFC2C">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lang w:val="en-US"/>
                <w:woUserID w:val="13"/>
              </w:rPr>
            </w:pPr>
            <w:r>
              <w:rPr>
                <w:rFonts w:hint="default" w:ascii="Times New Roman" w:hAnsi="Times New Roman" w:eastAsia="楷体" w:cs="Times New Roman"/>
                <w:b w:val="0"/>
                <w:bCs w:val="0"/>
                <w:color w:val="auto"/>
                <w:kern w:val="0"/>
                <w:sz w:val="20"/>
                <w:szCs w:val="20"/>
                <w:highlight w:val="none"/>
                <w:u w:val="none"/>
              </w:rPr>
              <w:t>预期性</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6A24ADAF">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highlight w:val="none"/>
                <w:u w:val="none"/>
                <w:lang w:val="en-US" w:eastAsia="zh-CN"/>
              </w:rPr>
            </w:pPr>
            <w:r>
              <w:rPr>
                <w:rFonts w:hint="default" w:ascii="Times New Roman" w:hAnsi="Times New Roman" w:eastAsia="楷体" w:cs="Times New Roman"/>
                <w:b w:val="0"/>
                <w:bCs w:val="0"/>
                <w:color w:val="auto"/>
                <w:kern w:val="0"/>
                <w:sz w:val="20"/>
                <w:szCs w:val="20"/>
                <w:highlight w:val="none"/>
                <w:u w:val="none"/>
                <w:lang w:val="en-US" w:eastAsia="zh-CN"/>
              </w:rPr>
              <w:t>商务局</w:t>
            </w:r>
          </w:p>
        </w:tc>
      </w:tr>
      <w:tr w14:paraId="06302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82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3A5B4BC">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4"/>
                <w:szCs w:val="24"/>
                <w:highlight w:val="none"/>
                <w:u w:val="none"/>
              </w:rPr>
            </w:pPr>
            <w:r>
              <w:rPr>
                <w:rFonts w:hint="default" w:ascii="Times New Roman" w:hAnsi="Times New Roman" w:eastAsia="楷体" w:cs="Times New Roman"/>
                <w:b w:val="0"/>
                <w:bCs w:val="0"/>
                <w:color w:val="auto"/>
                <w:kern w:val="0"/>
                <w:sz w:val="24"/>
                <w:szCs w:val="24"/>
                <w:highlight w:val="none"/>
                <w:u w:val="none"/>
              </w:rPr>
              <w:t>安全</w:t>
            </w:r>
          </w:p>
          <w:p w14:paraId="5609CCEC">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cs="Times New Roman"/>
                <w:b w:val="0"/>
                <w:bCs w:val="0"/>
                <w:sz w:val="20"/>
                <w:szCs w:val="20"/>
                <w:woUserID w:val="13"/>
              </w:rPr>
            </w:pPr>
            <w:r>
              <w:rPr>
                <w:rFonts w:hint="default" w:ascii="Times New Roman" w:hAnsi="Times New Roman" w:eastAsia="楷体" w:cs="Times New Roman"/>
                <w:b w:val="0"/>
                <w:bCs w:val="0"/>
                <w:color w:val="auto"/>
                <w:kern w:val="0"/>
                <w:sz w:val="24"/>
                <w:szCs w:val="24"/>
                <w:highlight w:val="none"/>
                <w:u w:val="none"/>
              </w:rPr>
              <w:t>保障</w:t>
            </w:r>
          </w:p>
        </w:tc>
        <w:tc>
          <w:tcPr>
            <w:tcW w:w="38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A57CA3">
            <w:pPr>
              <w:keepNext w:val="0"/>
              <w:keepLines w:val="0"/>
              <w:widowControl/>
              <w:suppressLineNumbers w:val="0"/>
              <w:adjustRightInd w:val="0"/>
              <w:spacing w:before="0" w:beforeAutospacing="0" w:after="0" w:afterAutospacing="0" w:line="400" w:lineRule="exact"/>
              <w:ind w:left="0" w:right="0"/>
              <w:rPr>
                <w:rFonts w:hint="eastAsia" w:ascii="Times New Roman" w:hAnsi="Times New Roman" w:eastAsia="楷体" w:cs="Times New Roman"/>
                <w:b w:val="0"/>
                <w:bCs w:val="0"/>
                <w:color w:val="auto"/>
                <w:kern w:val="0"/>
                <w:sz w:val="21"/>
                <w:szCs w:val="21"/>
                <w:lang w:val="en-US" w:eastAsia="zh-CN"/>
                <w:woUserID w:val="13"/>
              </w:rPr>
            </w:pPr>
            <w:r>
              <w:rPr>
                <w:rFonts w:hint="default" w:ascii="Times New Roman" w:hAnsi="Times New Roman" w:eastAsia="楷体" w:cs="Times New Roman"/>
                <w:b w:val="0"/>
                <w:bCs w:val="0"/>
                <w:color w:val="auto"/>
                <w:kern w:val="0"/>
                <w:sz w:val="21"/>
                <w:szCs w:val="21"/>
                <w:highlight w:val="none"/>
                <w:u w:val="none"/>
              </w:rPr>
              <w:t>2</w:t>
            </w:r>
            <w:r>
              <w:rPr>
                <w:rFonts w:hint="eastAsia" w:eastAsia="楷体" w:cs="Times New Roman"/>
                <w:b w:val="0"/>
                <w:bCs w:val="0"/>
                <w:color w:val="auto"/>
                <w:kern w:val="0"/>
                <w:sz w:val="21"/>
                <w:szCs w:val="21"/>
                <w:highlight w:val="none"/>
                <w:u w:val="none"/>
                <w:lang w:val="en-US" w:eastAsia="zh-CN"/>
              </w:rPr>
              <w:t>3</w:t>
            </w:r>
            <w:r>
              <w:rPr>
                <w:rFonts w:hint="default" w:ascii="Times New Roman" w:hAnsi="Times New Roman" w:eastAsia="楷体" w:cs="Times New Roman"/>
                <w:b w:val="0"/>
                <w:bCs w:val="0"/>
                <w:color w:val="auto"/>
                <w:kern w:val="0"/>
                <w:sz w:val="21"/>
                <w:szCs w:val="21"/>
                <w:highlight w:val="none"/>
                <w:u w:val="none"/>
              </w:rPr>
              <w:t>.粮食综合生产能力</w:t>
            </w:r>
            <w:r>
              <w:rPr>
                <w:rFonts w:hint="eastAsia" w:eastAsia="楷体" w:cs="Times New Roman"/>
                <w:b w:val="0"/>
                <w:bCs w:val="0"/>
                <w:color w:val="auto"/>
                <w:kern w:val="0"/>
                <w:sz w:val="21"/>
                <w:szCs w:val="21"/>
                <w:highlight w:val="none"/>
                <w:u w:val="none"/>
                <w:lang w:eastAsia="zh-CN"/>
              </w:rPr>
              <w:t>（</w:t>
            </w:r>
            <w:r>
              <w:rPr>
                <w:rFonts w:hint="default" w:ascii="Times New Roman" w:hAnsi="Times New Roman" w:eastAsia="楷体" w:cs="Times New Roman"/>
                <w:b w:val="0"/>
                <w:bCs w:val="0"/>
                <w:color w:val="auto"/>
                <w:kern w:val="0"/>
                <w:sz w:val="21"/>
                <w:szCs w:val="21"/>
                <w:highlight w:val="none"/>
                <w:u w:val="none"/>
                <w:lang w:eastAsia="zh-CN"/>
              </w:rPr>
              <w:t>亿斤</w:t>
            </w:r>
            <w:r>
              <w:rPr>
                <w:rFonts w:hint="eastAsia" w:eastAsia="楷体" w:cs="Times New Roman"/>
                <w:b w:val="0"/>
                <w:bCs w:val="0"/>
                <w:color w:val="auto"/>
                <w:kern w:val="0"/>
                <w:sz w:val="21"/>
                <w:szCs w:val="21"/>
                <w:highlight w:val="none"/>
                <w:u w:val="none"/>
                <w:lang w:eastAsia="zh-CN"/>
              </w:rPr>
              <w:t>）</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5D23F869">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宋体" w:cs="Times New Roman"/>
                <w:b w:val="0"/>
                <w:bCs w:val="0"/>
                <w:color w:val="auto"/>
                <w:sz w:val="21"/>
                <w:szCs w:val="24"/>
                <w:lang w:val="en-US" w:eastAsia="zh-CN"/>
              </w:rPr>
            </w:pPr>
            <w:r>
              <w:rPr>
                <w:rFonts w:hint="default" w:ascii="Times New Roman" w:hAnsi="Times New Roman" w:cs="Times New Roman"/>
                <w:b w:val="0"/>
                <w:bCs w:val="0"/>
                <w:color w:val="auto"/>
                <w:sz w:val="21"/>
                <w:szCs w:val="24"/>
                <w:lang w:val="en-US" w:eastAsia="zh-CN"/>
              </w:rPr>
              <w:t>19.4</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0B9C496F">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仿宋_GB2312" w:cs="Times New Roman"/>
                <w:b w:val="0"/>
                <w:bCs w:val="0"/>
                <w:color w:val="auto"/>
                <w:kern w:val="0"/>
                <w:sz w:val="21"/>
                <w:szCs w:val="21"/>
                <w:lang w:val="en-US" w:eastAsia="zh"/>
                <w:woUserID w:val="13"/>
              </w:rPr>
            </w:pPr>
            <w:r>
              <w:rPr>
                <w:rFonts w:hint="default" w:ascii="Times New Roman" w:hAnsi="Times New Roman" w:eastAsia="仿宋_GB2312" w:cs="Times New Roman"/>
                <w:b w:val="0"/>
                <w:bCs w:val="0"/>
                <w:color w:val="auto"/>
                <w:kern w:val="0"/>
                <w:sz w:val="21"/>
                <w:szCs w:val="21"/>
                <w:highlight w:val="none"/>
                <w:u w:val="none"/>
              </w:rPr>
              <w:t>——</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14:paraId="690BE83C">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lang w:val="en-US"/>
                <w:woUserID w:val="13"/>
              </w:rPr>
            </w:pPr>
            <w:r>
              <w:rPr>
                <w:rFonts w:hint="default" w:ascii="Times New Roman" w:hAnsi="Times New Roman" w:eastAsia="楷体" w:cs="Times New Roman"/>
                <w:b w:val="0"/>
                <w:bCs w:val="0"/>
                <w:color w:val="auto"/>
                <w:kern w:val="0"/>
                <w:sz w:val="20"/>
                <w:szCs w:val="20"/>
                <w:highlight w:val="none"/>
                <w:u w:val="none"/>
              </w:rPr>
              <w:t>约束性</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57277D87">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highlight w:val="none"/>
                <w:u w:val="none"/>
                <w:lang w:val="en-US" w:eastAsia="zh-CN"/>
              </w:rPr>
            </w:pPr>
            <w:r>
              <w:rPr>
                <w:rFonts w:hint="default" w:ascii="Times New Roman" w:hAnsi="Times New Roman" w:eastAsia="楷体" w:cs="Times New Roman"/>
                <w:b w:val="0"/>
                <w:bCs w:val="0"/>
                <w:color w:val="auto"/>
                <w:kern w:val="0"/>
                <w:sz w:val="20"/>
                <w:szCs w:val="20"/>
                <w:highlight w:val="none"/>
                <w:u w:val="none"/>
                <w:lang w:val="en-US" w:eastAsia="zh-CN"/>
              </w:rPr>
              <w:t>农业局</w:t>
            </w:r>
          </w:p>
        </w:tc>
      </w:tr>
      <w:tr w14:paraId="55055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2" w:hRule="atLeast"/>
          <w:jc w:val="center"/>
        </w:trPr>
        <w:tc>
          <w:tcPr>
            <w:tcW w:w="82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83ACD3">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cs="Times New Roman"/>
                <w:b w:val="0"/>
                <w:bCs w:val="0"/>
                <w:sz w:val="20"/>
                <w:szCs w:val="20"/>
                <w:woUserID w:val="13"/>
              </w:rPr>
            </w:pPr>
          </w:p>
        </w:tc>
        <w:tc>
          <w:tcPr>
            <w:tcW w:w="381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3D406FC">
            <w:pPr>
              <w:keepNext w:val="0"/>
              <w:keepLines w:val="0"/>
              <w:widowControl/>
              <w:suppressLineNumbers w:val="0"/>
              <w:adjustRightInd w:val="0"/>
              <w:spacing w:before="0" w:beforeAutospacing="0" w:after="0" w:afterAutospacing="0" w:line="400" w:lineRule="exact"/>
              <w:ind w:left="0" w:right="0"/>
              <w:rPr>
                <w:rFonts w:hint="default" w:ascii="Times New Roman" w:hAnsi="Times New Roman" w:eastAsia="楷体" w:cs="Times New Roman"/>
                <w:b w:val="0"/>
                <w:bCs w:val="0"/>
                <w:color w:val="auto"/>
                <w:kern w:val="0"/>
                <w:sz w:val="21"/>
                <w:szCs w:val="21"/>
                <w:lang w:val="en-US"/>
                <w:woUserID w:val="13"/>
              </w:rPr>
            </w:pPr>
            <w:r>
              <w:rPr>
                <w:rFonts w:hint="default" w:ascii="Times New Roman" w:hAnsi="Times New Roman" w:eastAsia="楷体" w:cs="Times New Roman"/>
                <w:b w:val="0"/>
                <w:bCs w:val="0"/>
                <w:color w:val="auto"/>
                <w:kern w:val="0"/>
                <w:sz w:val="21"/>
                <w:szCs w:val="21"/>
                <w:highlight w:val="none"/>
                <w:u w:val="none"/>
              </w:rPr>
              <w:t>2</w:t>
            </w:r>
            <w:r>
              <w:rPr>
                <w:rFonts w:hint="eastAsia" w:eastAsia="楷体" w:cs="Times New Roman"/>
                <w:b w:val="0"/>
                <w:bCs w:val="0"/>
                <w:color w:val="auto"/>
                <w:kern w:val="0"/>
                <w:sz w:val="21"/>
                <w:szCs w:val="21"/>
                <w:highlight w:val="none"/>
                <w:u w:val="none"/>
                <w:lang w:val="en-US" w:eastAsia="zh-CN"/>
              </w:rPr>
              <w:t>4</w:t>
            </w:r>
            <w:r>
              <w:rPr>
                <w:rFonts w:hint="default" w:ascii="Times New Roman" w:hAnsi="Times New Roman" w:eastAsia="楷体" w:cs="Times New Roman"/>
                <w:b w:val="0"/>
                <w:bCs w:val="0"/>
                <w:color w:val="auto"/>
                <w:kern w:val="0"/>
                <w:sz w:val="21"/>
                <w:szCs w:val="21"/>
                <w:highlight w:val="none"/>
                <w:u w:val="none"/>
              </w:rPr>
              <w:t>.能源综合生产能力</w:t>
            </w:r>
            <w:r>
              <w:rPr>
                <w:rFonts w:hint="eastAsia" w:eastAsia="楷体" w:cs="Times New Roman"/>
                <w:b w:val="0"/>
                <w:bCs w:val="0"/>
                <w:color w:val="auto"/>
                <w:kern w:val="0"/>
                <w:sz w:val="21"/>
                <w:szCs w:val="21"/>
                <w:highlight w:val="none"/>
                <w:u w:val="none"/>
                <w:lang w:eastAsia="zh-CN"/>
              </w:rPr>
              <w:t>（</w:t>
            </w:r>
            <w:r>
              <w:rPr>
                <w:rFonts w:hint="default" w:ascii="Times New Roman" w:hAnsi="Times New Roman" w:eastAsia="楷体" w:cs="Times New Roman"/>
                <w:b w:val="0"/>
                <w:bCs w:val="0"/>
                <w:color w:val="auto"/>
                <w:kern w:val="0"/>
                <w:sz w:val="21"/>
                <w:szCs w:val="21"/>
                <w:highlight w:val="none"/>
                <w:u w:val="none"/>
              </w:rPr>
              <w:t>万吨标准煤</w:t>
            </w:r>
            <w:r>
              <w:rPr>
                <w:rFonts w:hint="eastAsia" w:eastAsia="楷体" w:cs="Times New Roman"/>
                <w:b w:val="0"/>
                <w:bCs w:val="0"/>
                <w:color w:val="auto"/>
                <w:kern w:val="0"/>
                <w:sz w:val="21"/>
                <w:szCs w:val="21"/>
                <w:highlight w:val="none"/>
                <w:u w:val="none"/>
                <w:lang w:eastAsia="zh-CN"/>
              </w:rPr>
              <w:t>）</w:t>
            </w:r>
            <w:r>
              <w:rPr>
                <w:rFonts w:hint="default" w:ascii="Times New Roman" w:hAnsi="Times New Roman" w:eastAsia="楷体" w:cs="Times New Roman"/>
                <w:b w:val="0"/>
                <w:bCs w:val="0"/>
                <w:color w:val="auto"/>
                <w:kern w:val="0"/>
                <w:sz w:val="21"/>
                <w:szCs w:val="21"/>
                <w:highlight w:val="none"/>
                <w:u w:val="none"/>
              </w:rPr>
              <w:t xml:space="preserve"> </w:t>
            </w:r>
          </w:p>
        </w:tc>
        <w:tc>
          <w:tcPr>
            <w:tcW w:w="977" w:type="dxa"/>
            <w:tcBorders>
              <w:top w:val="single" w:color="auto" w:sz="4" w:space="0"/>
              <w:left w:val="single" w:color="auto" w:sz="4" w:space="0"/>
              <w:bottom w:val="single" w:color="auto" w:sz="4" w:space="0"/>
              <w:right w:val="single" w:color="auto" w:sz="4" w:space="0"/>
            </w:tcBorders>
            <w:shd w:val="clear" w:color="auto" w:fill="auto"/>
            <w:vAlign w:val="center"/>
          </w:tcPr>
          <w:p w14:paraId="6E91B64D">
            <w:pPr>
              <w:keepNext w:val="0"/>
              <w:keepLines w:val="0"/>
              <w:widowControl/>
              <w:suppressLineNumbers w:val="0"/>
              <w:overflowPunct w:val="0"/>
              <w:adjustRightInd w:val="0"/>
              <w:spacing w:before="0" w:beforeAutospacing="0" w:after="0" w:afterAutospacing="0" w:line="400" w:lineRule="exact"/>
              <w:ind w:left="0" w:right="0"/>
              <w:jc w:val="center"/>
              <w:rPr>
                <w:rFonts w:hint="default" w:ascii="Times New Roman" w:hAnsi="Times New Roman" w:cs="Times New Roman"/>
                <w:b w:val="0"/>
                <w:bCs w:val="0"/>
                <w:color w:val="auto"/>
                <w:sz w:val="21"/>
                <w:szCs w:val="24"/>
              </w:rPr>
            </w:pPr>
            <w:r>
              <w:rPr>
                <w:rFonts w:hint="default" w:ascii="Times New Roman" w:hAnsi="Times New Roman" w:eastAsia="仿宋_GB2312" w:cs="Times New Roman"/>
                <w:b w:val="0"/>
                <w:bCs w:val="0"/>
                <w:color w:val="auto"/>
                <w:kern w:val="0"/>
                <w:sz w:val="21"/>
                <w:szCs w:val="21"/>
                <w:highlight w:val="none"/>
                <w:u w:val="none"/>
              </w:rPr>
              <w:t>——</w:t>
            </w:r>
          </w:p>
        </w:tc>
        <w:tc>
          <w:tcPr>
            <w:tcW w:w="1744" w:type="dxa"/>
            <w:tcBorders>
              <w:top w:val="single" w:color="auto" w:sz="4" w:space="0"/>
              <w:left w:val="single" w:color="auto" w:sz="4" w:space="0"/>
              <w:bottom w:val="single" w:color="auto" w:sz="4" w:space="0"/>
              <w:right w:val="single" w:color="auto" w:sz="4" w:space="0"/>
            </w:tcBorders>
            <w:shd w:val="clear" w:color="auto" w:fill="auto"/>
            <w:vAlign w:val="center"/>
          </w:tcPr>
          <w:p w14:paraId="7CA7DC17">
            <w:pPr>
              <w:keepNext w:val="0"/>
              <w:keepLines w:val="0"/>
              <w:widowControl/>
              <w:suppressLineNumbers w:val="0"/>
              <w:overflowPunct w:val="0"/>
              <w:adjustRightInd w:val="0"/>
              <w:spacing w:before="0" w:beforeAutospacing="0" w:after="0" w:afterAutospacing="0" w:line="400" w:lineRule="exact"/>
              <w:ind w:left="0" w:right="0"/>
              <w:jc w:val="center"/>
              <w:rPr>
                <w:rFonts w:hint="default" w:ascii="Times New Roman" w:hAnsi="Times New Roman" w:eastAsia="仿宋_GB2312" w:cs="Times New Roman"/>
                <w:b w:val="0"/>
                <w:bCs w:val="0"/>
                <w:color w:val="auto"/>
                <w:kern w:val="0"/>
                <w:sz w:val="21"/>
                <w:szCs w:val="21"/>
                <w:lang w:val="en-US" w:eastAsia="zh"/>
                <w:woUserID w:val="13"/>
              </w:rPr>
            </w:pPr>
            <w:r>
              <w:rPr>
                <w:rFonts w:hint="default" w:ascii="Times New Roman" w:hAnsi="Times New Roman" w:eastAsia="仿宋_GB2312" w:cs="Times New Roman"/>
                <w:b w:val="0"/>
                <w:bCs w:val="0"/>
                <w:color w:val="auto"/>
                <w:kern w:val="0"/>
                <w:sz w:val="21"/>
                <w:szCs w:val="21"/>
                <w:highlight w:val="none"/>
                <w:u w:val="none"/>
              </w:rPr>
              <w:t>——</w:t>
            </w:r>
          </w:p>
        </w:tc>
        <w:tc>
          <w:tcPr>
            <w:tcW w:w="871" w:type="dxa"/>
            <w:tcBorders>
              <w:top w:val="single" w:color="auto" w:sz="4" w:space="0"/>
              <w:left w:val="single" w:color="auto" w:sz="4" w:space="0"/>
              <w:bottom w:val="single" w:color="auto" w:sz="4" w:space="0"/>
              <w:right w:val="single" w:color="auto" w:sz="4" w:space="0"/>
            </w:tcBorders>
            <w:shd w:val="clear" w:color="auto" w:fill="auto"/>
            <w:vAlign w:val="center"/>
          </w:tcPr>
          <w:p w14:paraId="3C7C4BEA">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lang w:val="en-US"/>
                <w:woUserID w:val="13"/>
              </w:rPr>
            </w:pPr>
            <w:r>
              <w:rPr>
                <w:rFonts w:hint="default" w:ascii="Times New Roman" w:hAnsi="Times New Roman" w:eastAsia="楷体" w:cs="Times New Roman"/>
                <w:b w:val="0"/>
                <w:bCs w:val="0"/>
                <w:color w:val="auto"/>
                <w:kern w:val="0"/>
                <w:sz w:val="20"/>
                <w:szCs w:val="20"/>
                <w:highlight w:val="none"/>
                <w:u w:val="none"/>
              </w:rPr>
              <w:t>约束性</w:t>
            </w:r>
          </w:p>
        </w:tc>
        <w:tc>
          <w:tcPr>
            <w:tcW w:w="955" w:type="dxa"/>
            <w:tcBorders>
              <w:top w:val="single" w:color="auto" w:sz="4" w:space="0"/>
              <w:left w:val="single" w:color="auto" w:sz="4" w:space="0"/>
              <w:bottom w:val="single" w:color="auto" w:sz="4" w:space="0"/>
              <w:right w:val="single" w:color="auto" w:sz="4" w:space="0"/>
            </w:tcBorders>
            <w:shd w:val="clear" w:color="auto" w:fill="auto"/>
            <w:vAlign w:val="center"/>
          </w:tcPr>
          <w:p w14:paraId="7F775584">
            <w:pPr>
              <w:keepNext w:val="0"/>
              <w:keepLines w:val="0"/>
              <w:widowControl/>
              <w:suppressLineNumbers w:val="0"/>
              <w:adjustRightInd w:val="0"/>
              <w:spacing w:before="0" w:beforeAutospacing="0" w:after="0" w:afterAutospacing="0" w:line="400" w:lineRule="exact"/>
              <w:ind w:left="0" w:right="0"/>
              <w:jc w:val="center"/>
              <w:rPr>
                <w:rFonts w:hint="default" w:ascii="Times New Roman" w:hAnsi="Times New Roman" w:eastAsia="楷体" w:cs="Times New Roman"/>
                <w:b w:val="0"/>
                <w:bCs w:val="0"/>
                <w:color w:val="auto"/>
                <w:kern w:val="0"/>
                <w:sz w:val="20"/>
                <w:szCs w:val="20"/>
                <w:highlight w:val="none"/>
                <w:u w:val="none"/>
                <w:lang w:val="en-US" w:eastAsia="zh-CN"/>
              </w:rPr>
            </w:pPr>
            <w:r>
              <w:rPr>
                <w:rFonts w:hint="default" w:ascii="Times New Roman" w:hAnsi="Times New Roman" w:eastAsia="楷体" w:cs="Times New Roman"/>
                <w:b w:val="0"/>
                <w:bCs w:val="0"/>
                <w:color w:val="auto"/>
                <w:kern w:val="0"/>
                <w:sz w:val="20"/>
                <w:szCs w:val="20"/>
                <w:highlight w:val="none"/>
                <w:u w:val="none"/>
                <w:lang w:val="en-US" w:eastAsia="zh-CN"/>
              </w:rPr>
              <w:t>发改局</w:t>
            </w:r>
          </w:p>
        </w:tc>
      </w:tr>
    </w:tbl>
    <w:p w14:paraId="2EA6BC9F">
      <w:pPr>
        <w:ind w:firstLine="0" w:firstLineChars="0"/>
        <w:rPr>
          <w:rFonts w:hint="default" w:ascii="Times New Roman" w:hAnsi="Times New Roman" w:eastAsia="仿宋_GB2312" w:cs="Times New Roman"/>
          <w:bCs w:val="0"/>
          <w:color w:val="auto"/>
          <w:kern w:val="0"/>
          <w:sz w:val="20"/>
          <w:szCs w:val="20"/>
          <w:highlight w:val="none"/>
          <w:u w:val="none"/>
        </w:rPr>
      </w:pPr>
      <w:r>
        <w:rPr>
          <w:rFonts w:hint="default" w:ascii="Times New Roman" w:hAnsi="Times New Roman" w:cs="Times New Roman"/>
          <w:color w:val="auto"/>
          <w:sz w:val="21"/>
          <w:szCs w:val="24"/>
          <w:highlight w:val="none"/>
          <w:u w:val="none"/>
        </w:rPr>
        <w:t>注：</w:t>
      </w:r>
      <w:r>
        <w:rPr>
          <w:rFonts w:hint="default" w:ascii="Times New Roman" w:hAnsi="Times New Roman" w:eastAsia="仿宋_GB2312" w:cs="Times New Roman"/>
          <w:color w:val="auto"/>
          <w:kern w:val="0"/>
          <w:sz w:val="21"/>
          <w:szCs w:val="21"/>
          <w:highlight w:val="none"/>
          <w:u w:val="none"/>
        </w:rPr>
        <w:t>[  ]内为5年累计数</w:t>
      </w:r>
    </w:p>
    <w:p w14:paraId="26B03CB8">
      <w:pPr>
        <w:pageBreakBefore w:val="0"/>
        <w:widowControl w:val="0"/>
        <w:kinsoku/>
        <w:wordWrap/>
        <w:overflowPunct/>
        <w:topLinePunct w:val="0"/>
        <w:autoSpaceDE/>
        <w:autoSpaceDN/>
        <w:bidi w:val="0"/>
        <w:adjustRightInd/>
        <w:snapToGrid w:val="0"/>
        <w:spacing w:line="560" w:lineRule="exact"/>
        <w:jc w:val="center"/>
        <w:textAlignment w:val="auto"/>
        <w:outlineLvl w:val="0"/>
        <w:rPr>
          <w:rFonts w:hint="default" w:ascii="Times New Roman" w:hAnsi="Times New Roman" w:eastAsia="黑体" w:cs="Times New Roman"/>
          <w:b w:val="0"/>
          <w:bCs w:val="0"/>
          <w:color w:val="auto"/>
          <w:sz w:val="32"/>
          <w:szCs w:val="32"/>
          <w:highlight w:val="none"/>
          <w:lang w:eastAsia="zh"/>
          <w14:ligatures w14:val="standardContextual"/>
        </w:rPr>
      </w:pPr>
      <w:bookmarkStart w:id="432" w:name="_Toc18267"/>
      <w:bookmarkStart w:id="433" w:name="_Toc4264"/>
      <w:bookmarkStart w:id="434" w:name="_Toc13789"/>
      <w:bookmarkStart w:id="435" w:name="_Toc1690908024"/>
      <w:bookmarkStart w:id="436" w:name="_Toc2806"/>
      <w:bookmarkStart w:id="437" w:name="_Toc12609"/>
      <w:bookmarkStart w:id="438" w:name="_Toc13013"/>
      <w:bookmarkStart w:id="439" w:name="_Toc1307339557"/>
      <w:bookmarkStart w:id="440" w:name="_Toc24278"/>
      <w:bookmarkStart w:id="441" w:name="_Toc2775"/>
      <w:bookmarkStart w:id="442" w:name="_Toc13072"/>
      <w:bookmarkStart w:id="443" w:name="_Toc10182"/>
      <w:bookmarkStart w:id="444" w:name="_Toc23968"/>
      <w:bookmarkStart w:id="445" w:name="_Toc1907"/>
      <w:bookmarkStart w:id="446" w:name="_Hlk204423455"/>
      <w:r>
        <w:rPr>
          <w:rFonts w:hint="default" w:ascii="Times New Roman" w:hAnsi="Times New Roman" w:eastAsia="黑体" w:cs="Times New Roman"/>
          <w:b w:val="0"/>
          <w:bCs w:val="0"/>
          <w:color w:val="auto"/>
          <w:sz w:val="32"/>
          <w:szCs w:val="32"/>
          <w:highlight w:val="none"/>
          <w14:ligatures w14:val="standardContextual"/>
        </w:rPr>
        <w:t>第三</w:t>
      </w:r>
      <w:r>
        <w:rPr>
          <w:rFonts w:hint="default" w:ascii="Times New Roman" w:hAnsi="Times New Roman" w:eastAsia="黑体" w:cs="Times New Roman"/>
          <w:b w:val="0"/>
          <w:bCs w:val="0"/>
          <w:color w:val="auto"/>
          <w:sz w:val="32"/>
          <w:szCs w:val="32"/>
          <w:highlight w:val="none"/>
          <w:lang w:eastAsia="zh"/>
          <w14:ligatures w14:val="standardContextual"/>
          <w:woUserID w:val="0"/>
        </w:rPr>
        <w:t>篇</w:t>
      </w:r>
      <w:r>
        <w:rPr>
          <w:rFonts w:hint="default" w:ascii="Times New Roman" w:hAnsi="Times New Roman" w:eastAsia="黑体" w:cs="Times New Roman"/>
          <w:b w:val="0"/>
          <w:bCs w:val="0"/>
          <w:color w:val="auto"/>
          <w:sz w:val="32"/>
          <w:szCs w:val="32"/>
          <w:highlight w:val="none"/>
          <w14:ligatures w14:val="standardContextual"/>
        </w:rPr>
        <w:t xml:space="preserve"> </w:t>
      </w:r>
      <w:r>
        <w:rPr>
          <w:rFonts w:hint="default" w:ascii="Times New Roman" w:hAnsi="Times New Roman" w:eastAsia="黑体" w:cs="Times New Roman"/>
          <w:b w:val="0"/>
          <w:bCs w:val="0"/>
          <w:color w:val="auto"/>
          <w:sz w:val="32"/>
          <w:szCs w:val="32"/>
          <w:highlight w:val="none"/>
          <w:lang w:eastAsia="zh"/>
          <w14:ligatures w14:val="standardContextual"/>
        </w:rPr>
        <w:t>建设现代化大农业</w:t>
      </w:r>
      <w:r>
        <w:rPr>
          <w:rFonts w:hint="default" w:ascii="Times New Roman" w:hAnsi="Times New Roman" w:eastAsia="黑体" w:cs="Times New Roman"/>
          <w:b w:val="0"/>
          <w:bCs w:val="0"/>
          <w:color w:val="auto"/>
          <w:sz w:val="32"/>
          <w:szCs w:val="32"/>
          <w:highlight w:val="none"/>
          <w14:ligatures w14:val="standardContextual"/>
        </w:rPr>
        <w:t xml:space="preserve"> </w:t>
      </w:r>
      <w:r>
        <w:rPr>
          <w:rFonts w:hint="default" w:ascii="Times New Roman" w:hAnsi="Times New Roman" w:eastAsia="黑体" w:cs="Times New Roman"/>
          <w:b w:val="0"/>
          <w:bCs w:val="0"/>
          <w:color w:val="auto"/>
          <w:sz w:val="32"/>
          <w:szCs w:val="32"/>
          <w:highlight w:val="none"/>
          <w:lang w:eastAsia="zh"/>
          <w14:ligatures w14:val="standardContextual"/>
        </w:rPr>
        <w:t>扎实推进乡村全面振兴</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p>
    <w:p w14:paraId="7F8702AD">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坚持以发展现代化大农业为主攻方向，统筹发展科技农业、绿色农业、质量农业、品牌农业，深入实施千万吨粮食增产计划，保障粮食等重要农产品供给。深化农业农村改革，持续巩固拓展脱贫攻坚成果，</w:t>
      </w:r>
      <w:r>
        <w:rPr>
          <w:rFonts w:hint="default" w:ascii="Times New Roman" w:hAnsi="Times New Roman" w:eastAsia="仿宋_GB2312" w:cs="Times New Roman"/>
          <w:b w:val="0"/>
          <w:bCs w:val="0"/>
          <w:color w:val="auto"/>
          <w:sz w:val="32"/>
          <w:szCs w:val="32"/>
          <w:highlight w:val="none"/>
        </w:rPr>
        <w:t>学习运用“千万工程”经验，</w:t>
      </w:r>
      <w:r>
        <w:rPr>
          <w:rFonts w:hint="default" w:ascii="Times New Roman" w:hAnsi="Times New Roman" w:eastAsia="仿宋_GB2312" w:cs="Times New Roman"/>
          <w:b w:val="0"/>
          <w:bCs w:val="0"/>
          <w:color w:val="auto"/>
          <w:sz w:val="32"/>
          <w:szCs w:val="32"/>
          <w:highlight w:val="none"/>
          <w:lang w:eastAsia="zh"/>
        </w:rPr>
        <w:t>扎实</w:t>
      </w:r>
      <w:r>
        <w:rPr>
          <w:rFonts w:hint="default" w:ascii="Times New Roman" w:hAnsi="Times New Roman" w:eastAsia="仿宋_GB2312" w:cs="Times New Roman"/>
          <w:b w:val="0"/>
          <w:bCs w:val="0"/>
          <w:color w:val="auto"/>
          <w:sz w:val="32"/>
          <w:szCs w:val="32"/>
          <w:highlight w:val="none"/>
        </w:rPr>
        <w:t>推进乡村全面振兴</w:t>
      </w:r>
      <w:r>
        <w:rPr>
          <w:rFonts w:hint="default" w:ascii="Times New Roman" w:hAnsi="Times New Roman" w:eastAsia="仿宋_GB2312" w:cs="Times New Roman"/>
          <w:b w:val="0"/>
          <w:bCs w:val="0"/>
          <w:color w:val="auto"/>
          <w:sz w:val="32"/>
          <w:szCs w:val="32"/>
          <w:highlight w:val="none"/>
          <w:lang w:eastAsia="zh"/>
        </w:rPr>
        <w:t>，一体推进农业现代化和农村现代化，加快建设农业强县。</w:t>
      </w:r>
    </w:p>
    <w:p w14:paraId="367E8E52">
      <w:pPr>
        <w:pStyle w:val="3"/>
        <w:pageBreakBefore w:val="0"/>
        <w:widowControl w:val="0"/>
        <w:numPr>
          <w:ilvl w:val="0"/>
          <w:numId w:val="3"/>
        </w:numPr>
        <w:kinsoku/>
        <w:wordWrap/>
        <w:overflowPunct/>
        <w:topLinePunct w:val="0"/>
        <w:autoSpaceDE/>
        <w:autoSpaceDN/>
        <w:bidi w:val="0"/>
        <w:adjustRightInd/>
        <w:spacing w:before="0" w:after="0" w:line="560" w:lineRule="exact"/>
        <w:ind w:firstLine="0" w:firstLineChars="0"/>
        <w:jc w:val="center"/>
        <w:textAlignment w:val="auto"/>
        <w:rPr>
          <w:rFonts w:hint="default" w:ascii="Times New Roman" w:hAnsi="Times New Roman" w:eastAsia="楷体" w:cs="Times New Roman"/>
          <w:b w:val="0"/>
          <w:bCs w:val="0"/>
          <w:color w:val="auto"/>
          <w:sz w:val="32"/>
          <w:szCs w:val="32"/>
          <w:highlight w:val="none"/>
          <w:lang w:eastAsia="zh"/>
        </w:rPr>
      </w:pPr>
      <w:bookmarkStart w:id="447" w:name="_Toc20138"/>
      <w:bookmarkStart w:id="448" w:name="_Toc1297655847"/>
      <w:bookmarkStart w:id="449" w:name="_Toc1820"/>
      <w:bookmarkStart w:id="450" w:name="_Toc16923"/>
      <w:bookmarkStart w:id="451" w:name="_Toc3755"/>
      <w:bookmarkStart w:id="452" w:name="_Toc2400"/>
      <w:bookmarkStart w:id="453" w:name="_Toc25538"/>
      <w:bookmarkStart w:id="454" w:name="_Toc27864"/>
      <w:bookmarkStart w:id="455" w:name="_Toc1270"/>
      <w:bookmarkStart w:id="456" w:name="_Toc12514"/>
      <w:bookmarkStart w:id="457" w:name="_Toc10358"/>
      <w:bookmarkStart w:id="458" w:name="_Toc1345333971"/>
      <w:bookmarkStart w:id="459" w:name="_Toc28134"/>
      <w:bookmarkStart w:id="460" w:name="_Toc28534"/>
      <w:r>
        <w:rPr>
          <w:rFonts w:hint="default" w:ascii="Times New Roman" w:hAnsi="Times New Roman" w:eastAsia="楷体" w:cs="Times New Roman"/>
          <w:b w:val="0"/>
          <w:bCs w:val="0"/>
          <w:color w:val="auto"/>
          <w:sz w:val="32"/>
          <w:szCs w:val="32"/>
          <w:highlight w:val="none"/>
          <w:lang w:eastAsia="zh"/>
        </w:rPr>
        <w:t>筑牢粮食安全“压舱石”</w:t>
      </w:r>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p>
    <w:p w14:paraId="75D1FDA7">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461" w:name="_Toc58549631"/>
      <w:bookmarkStart w:id="462" w:name="_Toc21767"/>
      <w:bookmarkStart w:id="463" w:name="_Toc32710"/>
      <w:bookmarkStart w:id="464" w:name="_Toc23526"/>
      <w:bookmarkStart w:id="465" w:name="_Toc163"/>
      <w:bookmarkStart w:id="466" w:name="_Toc14388"/>
      <w:bookmarkStart w:id="467" w:name="_Toc4510"/>
      <w:bookmarkStart w:id="468" w:name="_Toc32609"/>
      <w:bookmarkStart w:id="469" w:name="_Toc536063146"/>
      <w:bookmarkStart w:id="470" w:name="_Toc5611"/>
      <w:bookmarkStart w:id="471" w:name="_Toc5365"/>
      <w:r>
        <w:rPr>
          <w:rFonts w:hint="default" w:ascii="Times New Roman" w:hAnsi="Times New Roman" w:eastAsia="仿宋_GB2312" w:cs="Times New Roman"/>
          <w:b w:val="0"/>
          <w:bCs w:val="0"/>
          <w:color w:val="auto"/>
          <w:sz w:val="32"/>
          <w:szCs w:val="32"/>
          <w:highlight w:val="none"/>
          <w:u w:val="none"/>
          <w:lang w:eastAsia="zh" w:bidi="ar"/>
          <w:woUserID w:val="0"/>
        </w:rPr>
        <w:t>第一节 全面加强耕地保护与质量建设</w:t>
      </w:r>
      <w:bookmarkEnd w:id="461"/>
      <w:bookmarkEnd w:id="462"/>
      <w:bookmarkEnd w:id="463"/>
      <w:bookmarkEnd w:id="464"/>
      <w:bookmarkEnd w:id="465"/>
      <w:bookmarkEnd w:id="466"/>
      <w:bookmarkEnd w:id="467"/>
      <w:bookmarkEnd w:id="468"/>
      <w:bookmarkEnd w:id="469"/>
      <w:bookmarkEnd w:id="470"/>
      <w:bookmarkEnd w:id="471"/>
    </w:p>
    <w:p w14:paraId="59F52E50">
      <w:pPr>
        <w:pageBreakBefore w:val="0"/>
        <w:widowControl w:val="0"/>
        <w:suppressAutoHyphen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bidi="ar"/>
        </w:rPr>
      </w:pPr>
      <w:r>
        <w:rPr>
          <w:rFonts w:hint="default" w:ascii="Times New Roman" w:hAnsi="Times New Roman" w:eastAsia="仿宋_GB2312" w:cs="Times New Roman"/>
          <w:b w:val="0"/>
          <w:bCs w:val="0"/>
          <w:color w:val="auto"/>
          <w:sz w:val="32"/>
          <w:szCs w:val="32"/>
          <w:highlight w:val="none"/>
          <w:lang w:eastAsia="zh"/>
        </w:rPr>
        <w:t>健全耕地数量、质量、生态“三位一体”保护制度体系，严格执行“以补定占”“占补平衡”管理原则，推动各类耕地占用纳入统一管理，建立全周期表土剥离监管机制，坚决遏制耕地“非农化”、防止“非粮化”，守牢耕地保护红线。持续推广保护性耕作模式、健全耕地轮作制度，分类集成普及秸秆还田、增施有机肥等配套技术，提升土壤有机质含量和基础地力。推动高标准农田建设与水利工程精准配套，在悦来镇、新城镇、苏家店镇、创业乡打造4个建设成效显著的示范区。到2030年，全县推广保护性耕作面积40万亩以上、耕地轮作面积20万亩以上。落实测土配方施肥面积40万亩以上</w:t>
      </w:r>
      <w:r>
        <w:rPr>
          <w:rFonts w:hint="eastAsia" w:eastAsia="仿宋_GB2312" w:cs="Times New Roman"/>
          <w:b w:val="0"/>
          <w:bCs w:val="0"/>
          <w:color w:val="auto"/>
          <w:sz w:val="32"/>
          <w:szCs w:val="32"/>
          <w:highlight w:val="none"/>
          <w:lang w:eastAsia="zh-CN"/>
        </w:rPr>
        <w:t>、畜禽粪污</w:t>
      </w:r>
      <w:r>
        <w:rPr>
          <w:rFonts w:hint="default" w:ascii="Times New Roman" w:hAnsi="Times New Roman" w:eastAsia="仿宋_GB2312" w:cs="Times New Roman"/>
          <w:b w:val="0"/>
          <w:bCs w:val="0"/>
          <w:color w:val="auto"/>
          <w:sz w:val="32"/>
          <w:szCs w:val="32"/>
          <w:highlight w:val="none"/>
          <w:lang w:eastAsia="zh"/>
        </w:rPr>
        <w:t>还田面积25万亩以上，耕地质量提升0.2个等级。高标准农田建设面积达到167万亩，率先把基本农田全部建成高标准农田。开展补充耕地项目，通过新增耕地指标，‌压实耕地保护和占补平衡责任，缓解我县占补平衡指标不足问题，提高重大项目建设用地要素保障能力，保障县域内经济持续发展。</w:t>
      </w:r>
    </w:p>
    <w:p w14:paraId="4E7A9FE2">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472" w:name="_Toc32654"/>
      <w:bookmarkStart w:id="473" w:name="_Toc23733"/>
      <w:bookmarkStart w:id="474" w:name="_Toc28992"/>
      <w:bookmarkStart w:id="475" w:name="_Toc7803"/>
      <w:bookmarkStart w:id="476" w:name="_Toc6821"/>
      <w:bookmarkStart w:id="477" w:name="_Toc859228439"/>
      <w:bookmarkStart w:id="478" w:name="_Toc25227"/>
      <w:bookmarkStart w:id="479" w:name="_Toc12848"/>
      <w:bookmarkStart w:id="480" w:name="_Toc30180"/>
      <w:bookmarkStart w:id="481" w:name="_Toc222202599"/>
      <w:bookmarkStart w:id="482" w:name="_Toc31534"/>
      <w:r>
        <w:rPr>
          <w:rFonts w:hint="default" w:ascii="Times New Roman" w:hAnsi="Times New Roman" w:eastAsia="仿宋_GB2312" w:cs="Times New Roman"/>
          <w:b w:val="0"/>
          <w:bCs w:val="0"/>
          <w:color w:val="auto"/>
          <w:sz w:val="32"/>
          <w:szCs w:val="32"/>
          <w:highlight w:val="none"/>
          <w:u w:val="none"/>
          <w:lang w:eastAsia="zh" w:bidi="ar"/>
          <w:woUserID w:val="0"/>
        </w:rPr>
        <w:t>第二节 持续推动主要粮食作物大面积单产提升</w:t>
      </w:r>
      <w:bookmarkEnd w:id="472"/>
      <w:bookmarkEnd w:id="473"/>
      <w:bookmarkEnd w:id="474"/>
      <w:bookmarkEnd w:id="475"/>
      <w:bookmarkEnd w:id="476"/>
      <w:bookmarkEnd w:id="477"/>
      <w:bookmarkEnd w:id="478"/>
      <w:bookmarkEnd w:id="479"/>
      <w:bookmarkEnd w:id="480"/>
      <w:bookmarkEnd w:id="481"/>
      <w:bookmarkEnd w:id="482"/>
    </w:p>
    <w:p w14:paraId="0A1DBC9D">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持续推进粮食单产提升“四双”工程，深度促进“五良”融合。以玉米、水稻、大豆为重点作物，科学选择种植品种，合理安排茬口，落实关键技术，突出不同环节生产特点，因地制宜实施不同技术路径。突出大面积和整建制，强化主体带动和政策支持，推动单产提升水平见实效。持续推广大豆、玉米大垄密植技术，示范推广水肥一体化、测土配方施肥、侧深施肥技术，实施“一喷多促”等单产提升项目，建设省级“三新”示范区，打造水稻、玉米高产高效行动示范县。深入开展农机装备补短板行动，全面推动气力式播种机代替传统勺轮式播种机，加速老旧农机淘汰进程。大力推广先进适用精量播种机、智能绿色收获机械，持续推广科学储粮用具和高效减损物流模式，推进粮食播种、收获、储运、加工、消费等全链条节约减损。推进“六五工程”建设，与中国农科院合作，在每个乡（镇）筛选1个试点村，引导农户种植优质品种，扩大主推品种的影响力和市场占有率。到2030年，粮食平均单产再提升5个百分点以上，力争全县粮食总产量达19亿斤以上。</w:t>
      </w:r>
    </w:p>
    <w:p w14:paraId="4893E753">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483" w:name="_Toc6644"/>
      <w:bookmarkStart w:id="484" w:name="_Toc26909"/>
      <w:bookmarkStart w:id="485" w:name="_Toc14150"/>
      <w:bookmarkStart w:id="486" w:name="_Toc2118029403"/>
      <w:bookmarkStart w:id="487" w:name="_Toc11349"/>
      <w:bookmarkStart w:id="488" w:name="_Toc29739"/>
      <w:bookmarkStart w:id="489" w:name="_Toc12304"/>
      <w:bookmarkStart w:id="490" w:name="_Toc30379"/>
      <w:bookmarkStart w:id="491" w:name="_Toc23141"/>
      <w:bookmarkStart w:id="492" w:name="_Toc6871"/>
      <w:bookmarkStart w:id="493" w:name="_Toc1833094219"/>
      <w:r>
        <w:rPr>
          <w:rFonts w:hint="default" w:ascii="Times New Roman" w:hAnsi="Times New Roman" w:eastAsia="仿宋_GB2312" w:cs="Times New Roman"/>
          <w:b w:val="0"/>
          <w:bCs w:val="0"/>
          <w:color w:val="auto"/>
          <w:sz w:val="32"/>
          <w:szCs w:val="32"/>
          <w:highlight w:val="none"/>
          <w:u w:val="none"/>
          <w:lang w:eastAsia="zh" w:bidi="ar"/>
          <w:woUserID w:val="0"/>
        </w:rPr>
        <w:t>第三节 加快优质高效农业发展进程</w:t>
      </w:r>
      <w:bookmarkEnd w:id="483"/>
      <w:bookmarkEnd w:id="484"/>
      <w:bookmarkEnd w:id="485"/>
      <w:bookmarkEnd w:id="486"/>
      <w:bookmarkEnd w:id="487"/>
      <w:bookmarkEnd w:id="488"/>
      <w:bookmarkEnd w:id="489"/>
      <w:bookmarkEnd w:id="490"/>
      <w:bookmarkEnd w:id="491"/>
      <w:bookmarkEnd w:id="492"/>
      <w:bookmarkEnd w:id="493"/>
    </w:p>
    <w:p w14:paraId="25B8D482">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建立健全农产品溯源体系，完善“互联网+”指挥平台监测点建设，增强田间监测和农产品溯源功能，提高农产品质量安全水平。加强县、乡、村农产品质量监管能力建设，加大农产品质量监管工作人员培训力度，围绕农产品生产全过程抽样检测，实现全覆盖监管，确保全县农产品生产安全。深入开展农资打假专项治理行动，农业农村、市场监管、公安等多部门联合执法，形成监管合力。重点针对种子、农药、化肥等农业投入品进行监管，严厉打击制售假劣农资违法行为。推进化肥农药减量增效和统防统治，加强畜禽粪污资源化利用。到2030年，全县入驻省追溯平台企业数量保持在15家以上、可追溯面积超110万亩，农产品质量安全追溯管理的比例提升到85%以上。主要农作物病虫害绿色防控覆盖率提升至65%以上、畜禽粪污资源化利用率达到88%以上。</w:t>
      </w:r>
    </w:p>
    <w:p w14:paraId="0286F17E">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494" w:name="_Toc4385"/>
      <w:bookmarkStart w:id="495" w:name="_Toc13473"/>
      <w:bookmarkStart w:id="496" w:name="_Toc1546"/>
      <w:bookmarkStart w:id="497" w:name="_Toc13905"/>
      <w:bookmarkStart w:id="498" w:name="_Toc434494089"/>
      <w:bookmarkStart w:id="499" w:name="_Toc15268"/>
      <w:bookmarkStart w:id="500" w:name="_Toc16011"/>
      <w:bookmarkStart w:id="501" w:name="_Toc1312373575"/>
      <w:bookmarkStart w:id="502" w:name="_Toc22298"/>
      <w:bookmarkStart w:id="503" w:name="_Toc106"/>
      <w:bookmarkStart w:id="504" w:name="_Toc7206"/>
      <w:r>
        <w:rPr>
          <w:rFonts w:hint="default" w:ascii="Times New Roman" w:hAnsi="Times New Roman" w:eastAsia="仿宋_GB2312" w:cs="Times New Roman"/>
          <w:b w:val="0"/>
          <w:bCs w:val="0"/>
          <w:color w:val="auto"/>
          <w:sz w:val="32"/>
          <w:szCs w:val="32"/>
          <w:highlight w:val="none"/>
          <w:u w:val="none"/>
          <w:lang w:eastAsia="zh" w:bidi="ar"/>
          <w:woUserID w:val="0"/>
        </w:rPr>
        <w:t>第四节 推进一二三产业融合高质量发展</w:t>
      </w:r>
      <w:bookmarkEnd w:id="494"/>
      <w:bookmarkEnd w:id="495"/>
      <w:bookmarkEnd w:id="496"/>
      <w:bookmarkEnd w:id="497"/>
      <w:bookmarkEnd w:id="498"/>
      <w:bookmarkEnd w:id="499"/>
      <w:bookmarkEnd w:id="500"/>
      <w:bookmarkEnd w:id="501"/>
      <w:bookmarkEnd w:id="502"/>
      <w:bookmarkEnd w:id="503"/>
      <w:bookmarkEnd w:id="504"/>
    </w:p>
    <w:p w14:paraId="7C62C6C0">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加快推进粮食生产标准化，打造最安全最健康绿色食品，开展农产品“三品一标”提升行动，推动粮食作物生产从“量大”向“质优”转变。发挥全国水稻绿色高质高效示范县、全国</w:t>
      </w:r>
      <w:r>
        <w:rPr>
          <w:rFonts w:hint="eastAsia" w:eastAsia="仿宋_GB2312" w:cs="Times New Roman"/>
          <w:b w:val="0"/>
          <w:bCs w:val="0"/>
          <w:color w:val="auto"/>
          <w:sz w:val="32"/>
          <w:szCs w:val="32"/>
          <w:highlight w:val="none"/>
          <w:lang w:eastAsia="zh-CN"/>
        </w:rPr>
        <w:t>绿色食品原料（水稻）标准化生产基地</w:t>
      </w:r>
      <w:r>
        <w:rPr>
          <w:rFonts w:hint="default" w:ascii="Times New Roman" w:hAnsi="Times New Roman" w:eastAsia="仿宋_GB2312" w:cs="Times New Roman"/>
          <w:b w:val="0"/>
          <w:bCs w:val="0"/>
          <w:color w:val="auto"/>
          <w:sz w:val="32"/>
          <w:szCs w:val="32"/>
          <w:highlight w:val="none"/>
          <w:lang w:eastAsia="zh"/>
        </w:rPr>
        <w:t>优势，构建以黑土寒地粳稻品种选育、播期选择、机械耕作、病虫害防治、水肥管理等为核心的系统化标准化技术模式，重点发展水稻标准化种植等绿色高效种植产业。依托付士米业、</w:t>
      </w:r>
      <w:r>
        <w:rPr>
          <w:rFonts w:hint="default" w:ascii="Times New Roman" w:hAnsi="Times New Roman" w:eastAsia="仿宋_GB2312" w:cs="Times New Roman"/>
          <w:b w:val="0"/>
          <w:bCs w:val="0"/>
          <w:color w:val="auto"/>
          <w:sz w:val="32"/>
          <w:szCs w:val="32"/>
          <w:highlight w:val="none"/>
          <w:lang w:val="en-US" w:eastAsia="zh-CN"/>
        </w:rPr>
        <w:t>顺发物流</w:t>
      </w:r>
      <w:r>
        <w:rPr>
          <w:rFonts w:hint="default" w:ascii="Times New Roman" w:hAnsi="Times New Roman" w:eastAsia="仿宋_GB2312" w:cs="Times New Roman"/>
          <w:b w:val="0"/>
          <w:bCs w:val="0"/>
          <w:color w:val="auto"/>
          <w:sz w:val="32"/>
          <w:szCs w:val="32"/>
          <w:highlight w:val="none"/>
          <w:lang w:eastAsia="zh"/>
        </w:rPr>
        <w:t>、桦誉粮油等稻米加工龙头企业，开展绿色优质稻米精深加工，打造绿色高质高效农产品生产加工核心区。不断拓宽定制农业发展规模，优化“桦川好物平台”建设，确保源头供货、原产地发货、政府担保背书，实现“精准订单+按需配送”完美闭环。到2030年，全县</w:t>
      </w:r>
      <w:r>
        <w:rPr>
          <w:rFonts w:hint="eastAsia" w:eastAsia="仿宋_GB2312" w:cs="Times New Roman"/>
          <w:b w:val="0"/>
          <w:bCs w:val="0"/>
          <w:color w:val="auto"/>
          <w:sz w:val="32"/>
          <w:szCs w:val="32"/>
          <w:highlight w:val="none"/>
          <w:lang w:eastAsia="zh-CN"/>
        </w:rPr>
        <w:t>绿色食品原料（水稻）标准化</w:t>
      </w:r>
      <w:r>
        <w:rPr>
          <w:rFonts w:hint="default" w:ascii="Times New Roman" w:hAnsi="Times New Roman" w:eastAsia="仿宋_GB2312" w:cs="Times New Roman"/>
          <w:b w:val="0"/>
          <w:bCs w:val="0"/>
          <w:color w:val="auto"/>
          <w:sz w:val="32"/>
          <w:szCs w:val="32"/>
          <w:highlight w:val="none"/>
          <w:lang w:eastAsia="zh"/>
        </w:rPr>
        <w:t>基地稳定在110万亩以上，稻米加工业产值达到30亿元以上，化肥和农药利用率均达到45%以上，“黑土优品”授权企业超过10家，品牌产品达到15个以上，定制农业产值达4亿元以上。</w:t>
      </w:r>
    </w:p>
    <w:p w14:paraId="6DFC5A3F">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505" w:name="_Toc1064430775"/>
      <w:bookmarkStart w:id="506" w:name="_Toc1065708722"/>
      <w:bookmarkStart w:id="507" w:name="_Toc23983"/>
      <w:bookmarkStart w:id="508" w:name="_Toc7787"/>
      <w:bookmarkStart w:id="509" w:name="_Toc22879"/>
      <w:bookmarkStart w:id="510" w:name="_Toc6999"/>
      <w:bookmarkStart w:id="511" w:name="_Toc18745"/>
      <w:bookmarkStart w:id="512" w:name="_Toc28288"/>
      <w:bookmarkStart w:id="513" w:name="_Toc27734"/>
      <w:bookmarkStart w:id="514" w:name="_Toc9290"/>
      <w:bookmarkStart w:id="515" w:name="_Toc17433"/>
      <w:r>
        <w:rPr>
          <w:rFonts w:hint="default" w:ascii="Times New Roman" w:hAnsi="Times New Roman" w:eastAsia="仿宋_GB2312" w:cs="Times New Roman"/>
          <w:b w:val="0"/>
          <w:bCs w:val="0"/>
          <w:color w:val="auto"/>
          <w:sz w:val="32"/>
          <w:szCs w:val="32"/>
          <w:highlight w:val="none"/>
          <w:u w:val="none"/>
          <w:lang w:eastAsia="zh" w:bidi="ar"/>
          <w:woUserID w:val="0"/>
        </w:rPr>
        <w:t>第五节 推动农产品品牌提升</w:t>
      </w:r>
      <w:bookmarkEnd w:id="505"/>
      <w:bookmarkEnd w:id="506"/>
      <w:bookmarkEnd w:id="507"/>
      <w:bookmarkEnd w:id="508"/>
      <w:bookmarkEnd w:id="509"/>
      <w:bookmarkEnd w:id="510"/>
      <w:bookmarkEnd w:id="511"/>
      <w:bookmarkEnd w:id="512"/>
      <w:bookmarkEnd w:id="513"/>
      <w:bookmarkEnd w:id="514"/>
      <w:bookmarkEnd w:id="515"/>
    </w:p>
    <w:p w14:paraId="7CBC0E03">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深度挖掘“桦川大米”“星火大米”品牌效益，申报“桦川大豆”地理标志产品品牌，积极组织企业参加绿博会、农博会及“黑土优品”营销季等各类展会，持续提升桦川产品品牌知名度。加强与中国农业科学院合作交流，全力争取“农科优品”授权。积极举办“星火大米”品鉴会，设立“稻田餐桌”，邀请游客现场品鉴星火大米制作的特色美食，带动星火大米销售和品牌推广。推出企业礼品米、联名包装等设计产品，满足大型商超、电商平台、团购企业采购需求。拍摄精美宣传片重点突出“桦川大米”“星火大米”等产品品质，在央视、黑龙江广播等线上平台以软性植入方式增加曝光度和知晓率。到2030年，全县区域公共品牌价值达到25亿元以上，拥有绿色食品企业50家、绿标证书180个，有机农产品企业5家、有机证书20个，绿色认证标志占佳木斯市总量30%以上。</w:t>
      </w:r>
    </w:p>
    <w:p w14:paraId="0E241F4D">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516" w:name="_Toc30428"/>
      <w:bookmarkStart w:id="517" w:name="_Toc20203"/>
      <w:bookmarkStart w:id="518" w:name="_Toc1105379502"/>
      <w:bookmarkStart w:id="519" w:name="_Toc8395"/>
      <w:bookmarkStart w:id="520" w:name="_Toc4082"/>
      <w:bookmarkStart w:id="521" w:name="_Toc1510629422"/>
      <w:bookmarkStart w:id="522" w:name="_Toc30775"/>
      <w:bookmarkStart w:id="523" w:name="_Toc24355"/>
      <w:bookmarkStart w:id="524" w:name="_Toc10235"/>
      <w:bookmarkStart w:id="525" w:name="_Toc26613"/>
      <w:bookmarkStart w:id="526" w:name="_Toc2985"/>
      <w:r>
        <w:rPr>
          <w:rFonts w:hint="default" w:ascii="Times New Roman" w:hAnsi="Times New Roman" w:eastAsia="仿宋_GB2312" w:cs="Times New Roman"/>
          <w:b w:val="0"/>
          <w:bCs w:val="0"/>
          <w:color w:val="auto"/>
          <w:sz w:val="32"/>
          <w:szCs w:val="32"/>
          <w:highlight w:val="none"/>
          <w:u w:val="none"/>
          <w:lang w:eastAsia="zh" w:bidi="ar"/>
          <w:woUserID w:val="0"/>
        </w:rPr>
        <w:t>第六节 构建多元化食物供给体系</w:t>
      </w:r>
      <w:bookmarkEnd w:id="516"/>
      <w:bookmarkEnd w:id="517"/>
      <w:bookmarkEnd w:id="518"/>
      <w:bookmarkEnd w:id="519"/>
      <w:bookmarkEnd w:id="520"/>
      <w:bookmarkEnd w:id="521"/>
      <w:bookmarkEnd w:id="522"/>
      <w:bookmarkEnd w:id="523"/>
      <w:bookmarkEnd w:id="524"/>
      <w:bookmarkEnd w:id="525"/>
      <w:bookmarkEnd w:id="526"/>
    </w:p>
    <w:p w14:paraId="60D260D4">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积极践行大食物观，充分发挥山水林田湖草资源优势，着力建设果蔬菌药、现代畜禽、冷水渔业三大优势特色产业集群，加快构建粮经饲统筹、农林牧渔结合、植物动物微生物并举的多元化食物供给体系。稳定发展生猪产业，支持双兆、谷实等龙头企业稳产扩能，做好生猪产能和价格监测调控，促进生猪产业平稳发展。全力推进鹅全产业链发展，发挥桦盛鹅业发展有限公司龙头企业带动作用，积极培育一体化养殖企业，大力塑造“星火雪鹅”品牌，打造全省最大种鹅繁育基地。实施冷水渔业振兴行动，推广寒地稻渔综合种养模式，建设寒地小龙虾繁育中心。聚焦草莓、菇娘等特色种植重点领域，带动周边农户二次利用育秧大棚种植特色经济作物，形成“合作社＋基地＋农户”的利益联结机制，打造佳木斯的“菜篮子”基地。到2030年，设施农业面积达400万平方米以上，稻田综合种养面积8万亩以上，冷水鱼产量达1.3万吨以上，食用菌20万袋。能繁母猪达1.5万头以上，年供仔猪37万头以上，生猪出栏量35万头以上，年出栏大鹅300万只以上，全产业链销售收入超5亿元，“一猪一鹅”区域性公共品牌逐渐成熟并实现全链条发展。</w:t>
      </w:r>
    </w:p>
    <w:tbl>
      <w:tblPr>
        <w:tblStyle w:val="25"/>
        <w:tblW w:w="0" w:type="auto"/>
        <w:jc w:val="center"/>
        <w:tblLayout w:type="autofit"/>
        <w:tblCellMar>
          <w:top w:w="0" w:type="dxa"/>
          <w:left w:w="108" w:type="dxa"/>
          <w:bottom w:w="0" w:type="dxa"/>
          <w:right w:w="108" w:type="dxa"/>
        </w:tblCellMar>
      </w:tblPr>
      <w:tblGrid>
        <w:gridCol w:w="8296"/>
      </w:tblGrid>
      <w:tr w14:paraId="09A431B1">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54AC55B7">
            <w:pPr>
              <w:spacing w:line="360" w:lineRule="auto"/>
              <w:ind w:firstLine="0" w:firstLineChars="0"/>
              <w:jc w:val="center"/>
              <w:rPr>
                <w:rFonts w:hint="default" w:ascii="Times New Roman" w:hAnsi="Times New Roman" w:eastAsia="仿宋" w:cs="Times New Roman"/>
                <w:b/>
                <w:bCs/>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专栏3-1 保障粮食等重要农产品供给专项行动</w:t>
            </w:r>
          </w:p>
        </w:tc>
      </w:tr>
      <w:tr w14:paraId="51AA4CED">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7ACF6270">
            <w:pPr>
              <w:spacing w:line="360" w:lineRule="exact"/>
              <w:ind w:firstLine="420" w:firstLineChars="200"/>
              <w:rPr>
                <w:rFonts w:hint="default" w:ascii="Times New Roman" w:hAnsi="Times New Roman" w:eastAsia="仿宋_GB2312" w:cs="Times New Roman"/>
                <w:b w:val="0"/>
                <w:bCs/>
                <w:color w:val="auto"/>
                <w:szCs w:val="21"/>
                <w:highlight w:val="none"/>
              </w:rPr>
            </w:pPr>
            <w:r>
              <w:rPr>
                <w:rFonts w:hint="default" w:ascii="Times New Roman" w:hAnsi="Times New Roman" w:eastAsia="仿宋_GB2312" w:cs="Times New Roman"/>
                <w:b w:val="0"/>
                <w:bCs/>
                <w:color w:val="auto"/>
                <w:szCs w:val="21"/>
                <w:highlight w:val="none"/>
              </w:rPr>
              <w:t>加强黑土地保护利用专项行动。采取工程、农艺、生物等综合措施把黑土地保护好利用好。持续推广保护性耕作模式，健全耕地轮作制度，实现土地用养结合和各作物均衡增产增</w:t>
            </w:r>
            <w:r>
              <w:rPr>
                <w:rFonts w:hint="default" w:ascii="Times New Roman" w:hAnsi="Times New Roman" w:eastAsia="仿宋_GB2312" w:cs="Times New Roman"/>
                <w:b w:val="0"/>
                <w:bCs/>
                <w:color w:val="auto"/>
                <w:szCs w:val="21"/>
                <w:highlight w:val="none"/>
                <w:lang w:eastAsia="zh"/>
              </w:rPr>
              <w:t>收</w:t>
            </w:r>
            <w:r>
              <w:rPr>
                <w:rFonts w:hint="default" w:ascii="Times New Roman" w:hAnsi="Times New Roman" w:eastAsia="仿宋_GB2312" w:cs="Times New Roman"/>
                <w:b w:val="0"/>
                <w:bCs/>
                <w:color w:val="auto"/>
                <w:szCs w:val="21"/>
                <w:highlight w:val="none"/>
              </w:rPr>
              <w:t>。</w:t>
            </w:r>
          </w:p>
          <w:p w14:paraId="3BC8BF8A">
            <w:pPr>
              <w:spacing w:line="360" w:lineRule="exact"/>
              <w:ind w:firstLine="420" w:firstLineChars="200"/>
              <w:rPr>
                <w:rFonts w:hint="default" w:ascii="Times New Roman" w:hAnsi="Times New Roman" w:eastAsia="仿宋_GB2312" w:cs="Times New Roman"/>
                <w:b w:val="0"/>
                <w:bCs/>
                <w:color w:val="auto"/>
                <w:szCs w:val="21"/>
                <w:highlight w:val="none"/>
              </w:rPr>
            </w:pPr>
            <w:r>
              <w:rPr>
                <w:rFonts w:hint="default" w:ascii="Times New Roman" w:hAnsi="Times New Roman" w:eastAsia="仿宋_GB2312" w:cs="Times New Roman"/>
                <w:b w:val="0"/>
                <w:bCs/>
                <w:color w:val="auto"/>
                <w:szCs w:val="21"/>
                <w:highlight w:val="none"/>
              </w:rPr>
              <w:t>畜禽养殖扩规提质专项行动。以扩增畜禽养殖规模、增加存栏量为基础，以延伸加工产业链条为提升，推动生产、分配、流通、消费各环节融合发展，坚持全产业链联动、一体化发展方向，不断提高畜牧产业化、规模化水平。</w:t>
            </w:r>
          </w:p>
          <w:p w14:paraId="1F766157">
            <w:pPr>
              <w:spacing w:line="360" w:lineRule="exact"/>
              <w:ind w:firstLine="420" w:firstLineChars="200"/>
              <w:rPr>
                <w:rFonts w:hint="default" w:ascii="Times New Roman" w:hAnsi="Times New Roman" w:eastAsia="仿宋_GB2312" w:cs="Times New Roman"/>
                <w:color w:val="auto"/>
                <w:szCs w:val="21"/>
                <w:highlight w:val="none"/>
              </w:rPr>
            </w:pPr>
            <w:r>
              <w:rPr>
                <w:rFonts w:hint="default" w:ascii="Times New Roman" w:hAnsi="Times New Roman" w:eastAsia="仿宋_GB2312" w:cs="Times New Roman"/>
                <w:b w:val="0"/>
                <w:bCs/>
                <w:color w:val="auto"/>
                <w:szCs w:val="21"/>
                <w:highlight w:val="none"/>
              </w:rPr>
              <w:t>粮食单产大面积提升专项行动。</w:t>
            </w:r>
            <w:r>
              <w:rPr>
                <w:rFonts w:hint="default" w:ascii="Times New Roman" w:hAnsi="Times New Roman" w:eastAsia="仿宋_GB2312" w:cs="Times New Roman"/>
                <w:color w:val="auto"/>
                <w:szCs w:val="21"/>
                <w:highlight w:val="none"/>
              </w:rPr>
              <w:t>推广五良深度融合，以玉米、水稻、大豆为重点作物，科学选择种植品种，合理安排茬口，落实关键技术，突出不同地域、不同环节生产特点，因地制宜实施技术路径。推广“三新”施肥模式（新产品、新技术、新机具），建设15个千亩方、2个万亩方。政策性农业保险覆盖160万亩，实现“保成本”向“保收入”转变。</w:t>
            </w:r>
          </w:p>
          <w:p w14:paraId="57E7D22C">
            <w:pPr>
              <w:spacing w:line="360" w:lineRule="exact"/>
              <w:ind w:firstLine="420" w:firstLineChars="200"/>
              <w:rPr>
                <w:rFonts w:hint="default" w:ascii="Times New Roman" w:hAnsi="Times New Roman" w:eastAsia="仿宋" w:cs="Times New Roman"/>
                <w:color w:val="auto"/>
                <w:szCs w:val="21"/>
                <w:highlight w:val="none"/>
              </w:rPr>
            </w:pPr>
            <w:r>
              <w:rPr>
                <w:rFonts w:hint="default" w:ascii="Times New Roman" w:hAnsi="Times New Roman" w:eastAsia="仿宋_GB2312" w:cs="Times New Roman"/>
                <w:b w:val="0"/>
                <w:bCs/>
                <w:color w:val="auto"/>
                <w:szCs w:val="21"/>
                <w:highlight w:val="none"/>
              </w:rPr>
              <w:t>践行大食物观专项行动。</w:t>
            </w:r>
            <w:r>
              <w:rPr>
                <w:rFonts w:hint="default" w:ascii="Times New Roman" w:hAnsi="Times New Roman" w:eastAsia="仿宋_GB2312" w:cs="Times New Roman"/>
                <w:color w:val="auto"/>
                <w:szCs w:val="21"/>
                <w:highlight w:val="none"/>
              </w:rPr>
              <w:t>加快构建粮经饲统筹、农林牧渔结合、植物动物微生物并举的多元化食物供给体系，在保护好生态环境前提下，从传统农作物和畜禽资源向更丰富的生物资源拓展。</w:t>
            </w:r>
          </w:p>
        </w:tc>
      </w:tr>
    </w:tbl>
    <w:p w14:paraId="3662D156">
      <w:pPr>
        <w:pStyle w:val="3"/>
        <w:pageBreakBefore w:val="0"/>
        <w:widowControl w:val="0"/>
        <w:kinsoku/>
        <w:wordWrap/>
        <w:overflowPunct/>
        <w:topLinePunct w:val="0"/>
        <w:autoSpaceDE/>
        <w:autoSpaceDN/>
        <w:bidi w:val="0"/>
        <w:adjustRightInd/>
        <w:spacing w:before="0" w:after="0" w:line="560" w:lineRule="exact"/>
        <w:ind w:firstLine="0" w:firstLineChars="0"/>
        <w:jc w:val="center"/>
        <w:textAlignment w:val="auto"/>
        <w:rPr>
          <w:rFonts w:hint="default" w:ascii="Times New Roman" w:hAnsi="Times New Roman" w:eastAsia="楷体" w:cs="Times New Roman"/>
          <w:b w:val="0"/>
          <w:bCs/>
          <w:color w:val="auto"/>
          <w:sz w:val="32"/>
          <w:szCs w:val="32"/>
          <w:highlight w:val="none"/>
        </w:rPr>
      </w:pPr>
      <w:bookmarkStart w:id="527" w:name="_Toc3902"/>
      <w:bookmarkStart w:id="528" w:name="_Toc1981201549"/>
      <w:bookmarkStart w:id="529" w:name="_Toc15210"/>
      <w:bookmarkStart w:id="530" w:name="_Toc2404"/>
      <w:bookmarkStart w:id="531" w:name="_Toc295"/>
      <w:bookmarkStart w:id="532" w:name="_Toc20868"/>
      <w:bookmarkStart w:id="533" w:name="_Toc6690"/>
      <w:bookmarkStart w:id="534" w:name="_Toc17700"/>
      <w:bookmarkStart w:id="535" w:name="_Toc19100"/>
      <w:bookmarkStart w:id="536" w:name="_Toc26318"/>
      <w:bookmarkStart w:id="537" w:name="_Toc18400"/>
      <w:bookmarkStart w:id="538" w:name="_Toc7826"/>
      <w:bookmarkStart w:id="539" w:name="_Toc232073788"/>
      <w:bookmarkStart w:id="540" w:name="_Toc25914"/>
      <w:r>
        <w:rPr>
          <w:rFonts w:hint="default" w:ascii="Times New Roman" w:hAnsi="Times New Roman" w:eastAsia="楷体" w:cs="Times New Roman"/>
          <w:b w:val="0"/>
          <w:bCs/>
          <w:color w:val="auto"/>
          <w:sz w:val="32"/>
          <w:szCs w:val="32"/>
          <w:highlight w:val="none"/>
        </w:rPr>
        <w:t>第二</w:t>
      </w:r>
      <w:r>
        <w:rPr>
          <w:rFonts w:hint="default" w:ascii="Times New Roman" w:hAnsi="Times New Roman" w:eastAsia="楷体" w:cs="Times New Roman"/>
          <w:b w:val="0"/>
          <w:bCs/>
          <w:color w:val="auto"/>
          <w:sz w:val="32"/>
          <w:szCs w:val="32"/>
          <w:highlight w:val="none"/>
          <w:lang w:eastAsia="zh"/>
          <w:woUserID w:val="0"/>
        </w:rPr>
        <w:t>章</w:t>
      </w:r>
      <w:r>
        <w:rPr>
          <w:rFonts w:hint="default" w:ascii="Times New Roman" w:hAnsi="Times New Roman" w:eastAsia="楷体" w:cs="Times New Roman"/>
          <w:b w:val="0"/>
          <w:bCs/>
          <w:color w:val="auto"/>
          <w:sz w:val="32"/>
          <w:szCs w:val="32"/>
          <w:highlight w:val="none"/>
        </w:rPr>
        <w:t xml:space="preserve"> </w:t>
      </w:r>
      <w:r>
        <w:rPr>
          <w:rFonts w:hint="default" w:ascii="Times New Roman" w:hAnsi="Times New Roman" w:eastAsia="楷体" w:cs="Times New Roman"/>
          <w:b w:val="0"/>
          <w:bCs/>
          <w:color w:val="auto"/>
          <w:sz w:val="32"/>
          <w:szCs w:val="32"/>
          <w:highlight w:val="none"/>
          <w:lang w:eastAsia="zh"/>
        </w:rPr>
        <w:t>因地制宜发展农业新质生产力</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p w14:paraId="0187DB60">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以农业关键核心技术攻关为引领，以产业急需为导向，加快以种业为重点的农业科技创新，推进重大农业科技突破，以发展农业新质生产力推进农业强县建设。</w:t>
      </w:r>
      <w:bookmarkStart w:id="541" w:name="_Toc9635"/>
      <w:bookmarkStart w:id="542" w:name="_Toc21705"/>
      <w:bookmarkStart w:id="543" w:name="_Toc20589"/>
      <w:bookmarkStart w:id="544" w:name="_Toc9322"/>
      <w:bookmarkStart w:id="545" w:name="_Toc8794"/>
      <w:bookmarkStart w:id="546" w:name="_Toc160229071"/>
      <w:bookmarkStart w:id="547" w:name="_Toc23964"/>
      <w:bookmarkStart w:id="548" w:name="_Toc4585"/>
      <w:bookmarkStart w:id="549" w:name="_Toc14591"/>
      <w:bookmarkStart w:id="550" w:name="_Toc1703245414"/>
      <w:bookmarkStart w:id="551" w:name="_Toc15462"/>
    </w:p>
    <w:p w14:paraId="215C1124">
      <w:pPr>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仿宋_GB2312" w:cs="Times New Roman"/>
          <w:b w:val="0"/>
          <w:bCs/>
          <w:color w:val="auto"/>
          <w:sz w:val="32"/>
          <w:szCs w:val="32"/>
          <w:highlight w:val="none"/>
          <w:u w:val="none"/>
          <w:lang w:eastAsia="zh" w:bidi="ar"/>
          <w:woUserID w:val="0"/>
        </w:rPr>
      </w:pPr>
      <w:r>
        <w:rPr>
          <w:rFonts w:hint="default" w:ascii="Times New Roman" w:hAnsi="Times New Roman" w:eastAsia="仿宋_GB2312" w:cs="Times New Roman"/>
          <w:b w:val="0"/>
          <w:bCs/>
          <w:color w:val="auto"/>
          <w:sz w:val="32"/>
          <w:szCs w:val="32"/>
          <w:highlight w:val="none"/>
          <w:u w:val="none"/>
          <w:lang w:eastAsia="zh" w:bidi="ar"/>
          <w:woUserID w:val="0"/>
        </w:rPr>
        <w:t>第一节 推动种业自主创新全面突破</w:t>
      </w:r>
      <w:bookmarkEnd w:id="541"/>
      <w:bookmarkEnd w:id="542"/>
      <w:bookmarkEnd w:id="543"/>
      <w:bookmarkEnd w:id="544"/>
      <w:bookmarkEnd w:id="545"/>
      <w:bookmarkEnd w:id="546"/>
      <w:bookmarkEnd w:id="547"/>
      <w:bookmarkEnd w:id="548"/>
      <w:bookmarkEnd w:id="549"/>
      <w:bookmarkEnd w:id="550"/>
      <w:bookmarkEnd w:id="551"/>
    </w:p>
    <w:p w14:paraId="2B8082B0">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以“四乡镇四基地”为核心区，高标准打造良种繁育产业示范带，推广水稻良种繁育新品种、新技术。依托国家区域性水稻良种繁育基地、国家级水稻制种大县发展优势，借助中国农业科学院佳木斯（桦川）工作站、黑龙江省水稻研究所科技人才力量，引进扶持一批优秀研发、推广企业，加快构建“育繁推”一体化现代种业体系。支持田友种业公司上市，鼓励企业开展生物育种关键技术攻关，培育一批适合机收、高产多抗的突破性新品种。强化种质资源开发保护利用，建立种质资源库，持续完善种业发展配套设施，引导种业企业形成集聚效应，构建一体发展的产业格局，全力打造寒地粳稻育种核心区。到2030年，全县水稻良种繁育面积38万亩、育种量19万吨以上，全省占比达到48%以上。</w:t>
      </w:r>
    </w:p>
    <w:p w14:paraId="0EFC8E53">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552" w:name="_Toc25889"/>
      <w:bookmarkStart w:id="553" w:name="_Toc7049"/>
      <w:bookmarkStart w:id="554" w:name="_Toc715"/>
      <w:bookmarkStart w:id="555" w:name="_Toc24511"/>
      <w:bookmarkStart w:id="556" w:name="_Toc29343"/>
      <w:bookmarkStart w:id="557" w:name="_Toc1340"/>
      <w:bookmarkStart w:id="558" w:name="_Toc28990"/>
      <w:bookmarkStart w:id="559" w:name="_Toc27463"/>
      <w:bookmarkStart w:id="560" w:name="_Toc7954"/>
      <w:r>
        <w:rPr>
          <w:rFonts w:hint="default" w:ascii="Times New Roman" w:hAnsi="Times New Roman" w:eastAsia="仿宋_GB2312" w:cs="Times New Roman"/>
          <w:b w:val="0"/>
          <w:bCs/>
          <w:color w:val="auto"/>
          <w:sz w:val="32"/>
          <w:szCs w:val="32"/>
          <w:highlight w:val="none"/>
          <w:u w:val="none"/>
          <w:lang w:eastAsia="zh" w:bidi="ar"/>
          <w:woUserID w:val="0"/>
        </w:rPr>
        <w:t>第二节 提高农作物全程机械化水平</w:t>
      </w:r>
      <w:bookmarkEnd w:id="552"/>
      <w:bookmarkEnd w:id="553"/>
      <w:bookmarkEnd w:id="554"/>
      <w:bookmarkEnd w:id="555"/>
      <w:bookmarkEnd w:id="556"/>
      <w:bookmarkEnd w:id="557"/>
      <w:bookmarkEnd w:id="558"/>
      <w:bookmarkEnd w:id="559"/>
      <w:bookmarkEnd w:id="560"/>
    </w:p>
    <w:p w14:paraId="41117BDB">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以推动农业机械化高质量发展为核心，以科技创新为驱动，以提升农机装备水平、作业水平为重点，</w:t>
      </w:r>
      <w:r>
        <w:rPr>
          <w:rFonts w:hint="default" w:ascii="Times New Roman" w:hAnsi="Times New Roman" w:eastAsia="仿宋_GB2312" w:cs="Times New Roman"/>
          <w:b w:val="0"/>
          <w:bCs/>
          <w:color w:val="auto"/>
          <w:sz w:val="32"/>
          <w:szCs w:val="32"/>
          <w:highlight w:val="none"/>
          <w:lang w:eastAsia="zh-CN"/>
        </w:rPr>
        <w:t>推进老旧农机报废更新，加大绿色、智能、高效农业机械更新力度，</w:t>
      </w:r>
      <w:r>
        <w:rPr>
          <w:rFonts w:hint="default" w:ascii="Times New Roman" w:hAnsi="Times New Roman" w:eastAsia="仿宋_GB2312" w:cs="Times New Roman"/>
          <w:b w:val="0"/>
          <w:bCs/>
          <w:color w:val="auto"/>
          <w:sz w:val="32"/>
          <w:szCs w:val="32"/>
          <w:highlight w:val="none"/>
          <w:lang w:eastAsia="zh"/>
        </w:rPr>
        <w:t>优化农机装备结构，努力构建与现代农业发展相适应的农业机械化体系</w:t>
      </w:r>
      <w:r>
        <w:rPr>
          <w:rFonts w:hint="default" w:ascii="Times New Roman" w:hAnsi="Times New Roman" w:eastAsia="仿宋_GB2312" w:cs="Times New Roman"/>
          <w:b w:val="0"/>
          <w:bCs/>
          <w:color w:val="auto"/>
          <w:sz w:val="32"/>
          <w:szCs w:val="32"/>
          <w:highlight w:val="none"/>
          <w:lang w:eastAsia="zh-CN"/>
        </w:rPr>
        <w:t>。发展</w:t>
      </w:r>
      <w:r>
        <w:rPr>
          <w:rFonts w:hint="default" w:ascii="Times New Roman" w:hAnsi="Times New Roman" w:eastAsia="仿宋_GB2312" w:cs="Times New Roman"/>
          <w:b w:val="0"/>
          <w:bCs/>
          <w:color w:val="auto"/>
          <w:sz w:val="32"/>
          <w:szCs w:val="32"/>
          <w:highlight w:val="none"/>
          <w:lang w:eastAsia="zh"/>
        </w:rPr>
        <w:t>先进</w:t>
      </w:r>
      <w:r>
        <w:rPr>
          <w:rFonts w:hint="default" w:ascii="Times New Roman" w:hAnsi="Times New Roman" w:eastAsia="仿宋_GB2312" w:cs="Times New Roman"/>
          <w:b w:val="0"/>
          <w:bCs/>
          <w:color w:val="auto"/>
          <w:sz w:val="32"/>
          <w:szCs w:val="32"/>
          <w:highlight w:val="none"/>
          <w:lang w:eastAsia="zh-CN"/>
        </w:rPr>
        <w:t>电驱智能</w:t>
      </w:r>
      <w:r>
        <w:rPr>
          <w:rFonts w:hint="default" w:ascii="Times New Roman" w:hAnsi="Times New Roman" w:eastAsia="仿宋_GB2312" w:cs="Times New Roman"/>
          <w:b w:val="0"/>
          <w:bCs/>
          <w:color w:val="auto"/>
          <w:sz w:val="32"/>
          <w:szCs w:val="32"/>
          <w:highlight w:val="none"/>
          <w:lang w:eastAsia="zh"/>
        </w:rPr>
        <w:t>播种机</w:t>
      </w:r>
      <w:r>
        <w:rPr>
          <w:rFonts w:hint="default" w:ascii="Times New Roman" w:hAnsi="Times New Roman" w:eastAsia="仿宋_GB2312" w:cs="Times New Roman"/>
          <w:b w:val="0"/>
          <w:bCs/>
          <w:color w:val="auto"/>
          <w:sz w:val="32"/>
          <w:szCs w:val="32"/>
          <w:highlight w:val="none"/>
          <w:lang w:eastAsia="zh-CN"/>
        </w:rPr>
        <w:t>、牵引式激光除草机、仿生摘穗鲜食玉米收获</w:t>
      </w:r>
      <w:r>
        <w:rPr>
          <w:rFonts w:hint="eastAsia" w:eastAsia="仿宋_GB2312" w:cs="Times New Roman"/>
          <w:b w:val="0"/>
          <w:bCs/>
          <w:color w:val="auto"/>
          <w:sz w:val="32"/>
          <w:szCs w:val="32"/>
          <w:highlight w:val="none"/>
          <w:lang w:eastAsia="zh-CN"/>
        </w:rPr>
        <w:t>机械</w:t>
      </w:r>
      <w:r>
        <w:rPr>
          <w:rFonts w:hint="default" w:ascii="Times New Roman" w:hAnsi="Times New Roman" w:eastAsia="仿宋_GB2312" w:cs="Times New Roman"/>
          <w:b w:val="0"/>
          <w:bCs/>
          <w:color w:val="auto"/>
          <w:sz w:val="32"/>
          <w:szCs w:val="32"/>
          <w:highlight w:val="none"/>
          <w:lang w:eastAsia="zh"/>
        </w:rPr>
        <w:t>，推动卫星技术和产品在农机具上的应用，实施保护性耕作技术。重点</w:t>
      </w:r>
      <w:r>
        <w:rPr>
          <w:rFonts w:hint="default" w:ascii="Times New Roman" w:hAnsi="Times New Roman" w:eastAsia="仿宋_GB2312" w:cs="Times New Roman"/>
          <w:b w:val="0"/>
          <w:bCs/>
          <w:color w:val="auto"/>
          <w:sz w:val="32"/>
          <w:szCs w:val="32"/>
          <w:highlight w:val="none"/>
          <w:lang w:eastAsia="zh-CN"/>
        </w:rPr>
        <w:t>推广动力</w:t>
      </w:r>
      <w:r>
        <w:rPr>
          <w:rFonts w:hint="default" w:ascii="Times New Roman" w:hAnsi="Times New Roman" w:eastAsia="仿宋_GB2312" w:cs="Times New Roman"/>
          <w:b w:val="0"/>
          <w:bCs/>
          <w:color w:val="auto"/>
          <w:sz w:val="32"/>
          <w:szCs w:val="32"/>
          <w:highlight w:val="none"/>
          <w:lang w:eastAsia="zh"/>
        </w:rPr>
        <w:t>换挡</w:t>
      </w:r>
      <w:r>
        <w:rPr>
          <w:rFonts w:hint="default" w:ascii="Times New Roman" w:hAnsi="Times New Roman" w:eastAsia="仿宋_GB2312" w:cs="Times New Roman"/>
          <w:b w:val="0"/>
          <w:bCs/>
          <w:color w:val="auto"/>
          <w:sz w:val="32"/>
          <w:szCs w:val="32"/>
          <w:highlight w:val="none"/>
          <w:lang w:eastAsia="zh-CN"/>
        </w:rPr>
        <w:t>和无级变速拖拉机、气力式播种机、玉米籽粒收获机等先进适用农业机械，</w:t>
      </w:r>
      <w:r>
        <w:rPr>
          <w:rFonts w:hint="default" w:ascii="Times New Roman" w:hAnsi="Times New Roman" w:eastAsia="仿宋_GB2312" w:cs="Times New Roman"/>
          <w:b w:val="0"/>
          <w:bCs/>
          <w:color w:val="auto"/>
          <w:sz w:val="32"/>
          <w:szCs w:val="32"/>
          <w:highlight w:val="none"/>
          <w:lang w:eastAsia="zh"/>
        </w:rPr>
        <w:t>提高本地智能农机普及率，构建智能化农机装备体系</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eastAsia="zh"/>
        </w:rPr>
        <w:t>推动农作物全程机械化。推动全链条全环节粮食节约减损，加大先进适用精量播种机、智能绿色高效收获机械等研发推广力度，推动粮食产后服务体系建设，持续普及农户科学储粮装具和粮食高效减损物流模式。到2030年，全县农业机械化综合水平显著提升，主要农作物耕种收综合机械化率达到99.63%以上，特色经济作物机械化水平大幅提高</w:t>
      </w:r>
      <w:r>
        <w:rPr>
          <w:rFonts w:hint="eastAsia"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eastAsia="zh"/>
        </w:rPr>
        <w:t>实现先进播种机播种面积达100%，加装卫星作业终端监测设备达到1300台以上。</w:t>
      </w:r>
    </w:p>
    <w:p w14:paraId="25F0A270">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561" w:name="_Toc12649"/>
      <w:bookmarkStart w:id="562" w:name="_Toc17082"/>
      <w:bookmarkStart w:id="563" w:name="_Toc7801"/>
      <w:bookmarkStart w:id="564" w:name="_Toc24700"/>
      <w:bookmarkStart w:id="565" w:name="_Toc18821"/>
      <w:bookmarkStart w:id="566" w:name="_Toc16771"/>
      <w:bookmarkStart w:id="567" w:name="_Toc31555"/>
      <w:bookmarkStart w:id="568" w:name="_Toc7880"/>
      <w:r>
        <w:rPr>
          <w:rFonts w:hint="default" w:ascii="Times New Roman" w:hAnsi="Times New Roman" w:eastAsia="仿宋_GB2312" w:cs="Times New Roman"/>
          <w:b w:val="0"/>
          <w:bCs/>
          <w:color w:val="auto"/>
          <w:sz w:val="32"/>
          <w:szCs w:val="32"/>
          <w:highlight w:val="none"/>
          <w:u w:val="none"/>
          <w:lang w:eastAsia="zh" w:bidi="ar"/>
          <w:woUserID w:val="0"/>
        </w:rPr>
        <w:t>第三</w:t>
      </w:r>
      <w:bookmarkEnd w:id="561"/>
      <w:bookmarkEnd w:id="562"/>
      <w:bookmarkEnd w:id="563"/>
      <w:bookmarkEnd w:id="564"/>
      <w:bookmarkEnd w:id="565"/>
      <w:bookmarkEnd w:id="566"/>
      <w:r>
        <w:rPr>
          <w:rFonts w:hint="default" w:ascii="Times New Roman" w:hAnsi="Times New Roman" w:eastAsia="仿宋_GB2312" w:cs="Times New Roman"/>
          <w:b w:val="0"/>
          <w:bCs/>
          <w:color w:val="auto"/>
          <w:sz w:val="32"/>
          <w:szCs w:val="32"/>
          <w:highlight w:val="none"/>
          <w:u w:val="none"/>
          <w:lang w:val="en-US" w:eastAsia="zh" w:bidi="ar"/>
          <w:woUserID w:val="0"/>
        </w:rPr>
        <w:t>节 提升农业科技创新能力</w:t>
      </w:r>
      <w:bookmarkEnd w:id="567"/>
      <w:bookmarkEnd w:id="568"/>
    </w:p>
    <w:p w14:paraId="2E975F07">
      <w:pPr>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CN"/>
        </w:rPr>
        <w:t>加强</w:t>
      </w:r>
      <w:r>
        <w:rPr>
          <w:rFonts w:hint="default" w:ascii="Times New Roman" w:hAnsi="Times New Roman" w:eastAsia="仿宋_GB2312" w:cs="Times New Roman"/>
          <w:b w:val="0"/>
          <w:bCs/>
          <w:color w:val="auto"/>
          <w:sz w:val="32"/>
          <w:szCs w:val="32"/>
          <w:highlight w:val="none"/>
          <w:lang w:eastAsia="zh"/>
        </w:rPr>
        <w:t>与中国</w:t>
      </w:r>
      <w:r>
        <w:rPr>
          <w:rFonts w:hint="default" w:ascii="Times New Roman" w:hAnsi="Times New Roman" w:eastAsia="仿宋_GB2312" w:cs="Times New Roman"/>
          <w:b w:val="0"/>
          <w:bCs/>
          <w:color w:val="auto"/>
          <w:sz w:val="32"/>
          <w:szCs w:val="32"/>
          <w:highlight w:val="none"/>
          <w:lang w:eastAsia="zh-CN"/>
        </w:rPr>
        <w:t>农业科学</w:t>
      </w:r>
      <w:r>
        <w:rPr>
          <w:rFonts w:hint="default" w:ascii="Times New Roman" w:hAnsi="Times New Roman" w:eastAsia="仿宋_GB2312" w:cs="Times New Roman"/>
          <w:b w:val="0"/>
          <w:bCs/>
          <w:color w:val="auto"/>
          <w:sz w:val="32"/>
          <w:szCs w:val="32"/>
          <w:highlight w:val="none"/>
          <w:lang w:eastAsia="zh"/>
        </w:rPr>
        <w:t>院、中国科学院、</w:t>
      </w:r>
      <w:r>
        <w:rPr>
          <w:rFonts w:hint="default" w:ascii="Times New Roman" w:hAnsi="Times New Roman" w:eastAsia="仿宋_GB2312" w:cs="Times New Roman"/>
          <w:b w:val="0"/>
          <w:bCs/>
          <w:color w:val="auto"/>
          <w:sz w:val="32"/>
          <w:szCs w:val="32"/>
          <w:highlight w:val="none"/>
          <w:lang w:eastAsia="zh-CN"/>
        </w:rPr>
        <w:t>黑龙江</w:t>
      </w:r>
      <w:r>
        <w:rPr>
          <w:rFonts w:hint="default" w:ascii="Times New Roman" w:hAnsi="Times New Roman" w:eastAsia="仿宋_GB2312" w:cs="Times New Roman"/>
          <w:b w:val="0"/>
          <w:bCs/>
          <w:color w:val="auto"/>
          <w:sz w:val="32"/>
          <w:szCs w:val="32"/>
          <w:highlight w:val="none"/>
          <w:lang w:eastAsia="zh"/>
        </w:rPr>
        <w:t>省</w:t>
      </w:r>
      <w:r>
        <w:rPr>
          <w:rFonts w:hint="default" w:ascii="Times New Roman" w:hAnsi="Times New Roman" w:eastAsia="仿宋_GB2312" w:cs="Times New Roman"/>
          <w:b w:val="0"/>
          <w:bCs/>
          <w:color w:val="auto"/>
          <w:sz w:val="32"/>
          <w:szCs w:val="32"/>
          <w:highlight w:val="none"/>
          <w:lang w:eastAsia="zh-CN"/>
        </w:rPr>
        <w:t>农业科学</w:t>
      </w:r>
      <w:r>
        <w:rPr>
          <w:rFonts w:hint="default" w:ascii="Times New Roman" w:hAnsi="Times New Roman" w:eastAsia="仿宋_GB2312" w:cs="Times New Roman"/>
          <w:b w:val="0"/>
          <w:bCs/>
          <w:color w:val="auto"/>
          <w:sz w:val="32"/>
          <w:szCs w:val="32"/>
          <w:highlight w:val="none"/>
          <w:lang w:eastAsia="zh"/>
        </w:rPr>
        <w:t>院合作，坚持“3+N”帮扶机制，深入基层制定个性化方案，拓展科技帮扶工作成果。加强新品种、新技术、新产品、新方式等科技创新成果的示范展示与推广，落实玉米、水稻、大豆专家领办样板田，打造水田、旱田科研示范基地。集成推广新产品、新技术、新机具的“三新”模式，建设“三新”集成配套推进县。建立以企业为主体、市场为导向、产学研结合的技术创新体系，全面提升企业技术研发、成果转化和产业化能力，示范大豆根瘤菌、水稻微生物菌剂等新技术。依托田间课堂、科技包县工程，对接国内科研院所专家开展一线指导，做好新型职业农民培育工作，提升技术到位率和覆盖面。到2030年，农业科技贡献率达76%以上。</w:t>
      </w:r>
    </w:p>
    <w:p w14:paraId="7087815B">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569" w:name="_Toc18357"/>
      <w:bookmarkStart w:id="570" w:name="_Toc13353"/>
      <w:bookmarkStart w:id="571" w:name="_Toc1692"/>
      <w:bookmarkStart w:id="572" w:name="_Toc773"/>
      <w:bookmarkStart w:id="573" w:name="_Toc869"/>
      <w:bookmarkStart w:id="574" w:name="_Toc13867"/>
      <w:bookmarkStart w:id="575" w:name="_Toc2045"/>
      <w:bookmarkStart w:id="576" w:name="_Toc14514"/>
      <w:bookmarkStart w:id="577" w:name="_Toc25178"/>
      <w:r>
        <w:rPr>
          <w:rFonts w:hint="default" w:ascii="Times New Roman" w:hAnsi="Times New Roman" w:eastAsia="仿宋_GB2312" w:cs="Times New Roman"/>
          <w:b w:val="0"/>
          <w:bCs/>
          <w:color w:val="auto"/>
          <w:sz w:val="32"/>
          <w:szCs w:val="32"/>
          <w:highlight w:val="none"/>
          <w:u w:val="none"/>
          <w:lang w:eastAsia="zh" w:bidi="ar"/>
          <w:woUserID w:val="0"/>
        </w:rPr>
        <w:t>第四节 促进数字技术与现代农业融合</w:t>
      </w:r>
      <w:bookmarkEnd w:id="569"/>
      <w:bookmarkEnd w:id="570"/>
      <w:bookmarkEnd w:id="571"/>
      <w:bookmarkEnd w:id="572"/>
      <w:bookmarkEnd w:id="573"/>
      <w:bookmarkEnd w:id="574"/>
      <w:bookmarkEnd w:id="575"/>
      <w:bookmarkEnd w:id="576"/>
      <w:bookmarkEnd w:id="577"/>
    </w:p>
    <w:p w14:paraId="442FFFCB">
      <w:pPr>
        <w:pageBreakBefore w:val="0"/>
        <w:widowControl w:val="0"/>
        <w:kinsoku/>
        <w:wordWrap/>
        <w:overflowPunct/>
        <w:topLinePunct w:val="0"/>
        <w:autoSpaceDE/>
        <w:autoSpaceDN/>
        <w:bidi w:val="0"/>
        <w:adjustRightInd/>
        <w:spacing w:line="560" w:lineRule="exact"/>
        <w:ind w:firstLine="640" w:firstLineChars="200"/>
        <w:jc w:val="both"/>
        <w:textAlignment w:val="auto"/>
        <w:rPr>
          <w:rFonts w:hint="default"/>
          <w:lang w:eastAsia="zh"/>
        </w:rPr>
      </w:pPr>
      <w:r>
        <w:rPr>
          <w:rFonts w:hint="default" w:ascii="Times New Roman" w:hAnsi="Times New Roman" w:eastAsia="仿宋_GB2312" w:cs="Times New Roman"/>
          <w:b w:val="0"/>
          <w:bCs/>
          <w:color w:val="auto"/>
          <w:sz w:val="32"/>
          <w:szCs w:val="32"/>
          <w:highlight w:val="none"/>
          <w:lang w:eastAsia="zh"/>
        </w:rPr>
        <w:t>加快智慧农业发展步伐，以玉成合作社为示范，打造万亩智慧农业示范基地。系统构建以“农业大模型为底座、多智能体为机制、数字平台为载体”的农业智能基础设施集群，全面打通从“智能育秧—精密耕种—数智决策—品牌销售”的农业全链路径，构建现代农业新业态、新模式。以星火乡申报粮食主产区省级横向补贴项目为契机，开展农业现代化AI试点工作，统筹推进“AI育秧植物工厂”“AI社会化农服平台”与“AI驱动农产品体系”高质量建设，通过技术替代人力、服务下沉农户、链条增值共享，实现农产品 “从种得好到卖得好”的质变，以数智化驱动传统农业转型升级，打造可复制、可推广的智能农业发展范式。</w:t>
      </w:r>
    </w:p>
    <w:tbl>
      <w:tblPr>
        <w:tblStyle w:val="25"/>
        <w:tblW w:w="0" w:type="auto"/>
        <w:jc w:val="center"/>
        <w:tblLayout w:type="autofit"/>
        <w:tblCellMar>
          <w:top w:w="0" w:type="dxa"/>
          <w:left w:w="108" w:type="dxa"/>
          <w:bottom w:w="0" w:type="dxa"/>
          <w:right w:w="108" w:type="dxa"/>
        </w:tblCellMar>
      </w:tblPr>
      <w:tblGrid>
        <w:gridCol w:w="8296"/>
      </w:tblGrid>
      <w:tr w14:paraId="7432E8A5">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2DDC3FB3">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专栏3-2</w:t>
            </w:r>
            <w:r>
              <w:rPr>
                <w:rFonts w:hint="eastAsia" w:eastAsia="楷体_GB2312" w:cs="Times New Roman"/>
                <w:b w:val="0"/>
                <w:bCs w:val="0"/>
                <w:color w:val="auto"/>
                <w:sz w:val="24"/>
                <w:highlight w:val="none"/>
                <w:lang w:val="en-US" w:eastAsia="zh-CN"/>
                <w14:ligatures w14:val="standardContextual"/>
              </w:rPr>
              <w:t xml:space="preserve"> </w:t>
            </w:r>
            <w:r>
              <w:rPr>
                <w:rFonts w:hint="default" w:ascii="Times New Roman" w:hAnsi="Times New Roman" w:eastAsia="楷体_GB2312" w:cs="Times New Roman"/>
                <w:b w:val="0"/>
                <w:bCs w:val="0"/>
                <w:color w:val="auto"/>
                <w:sz w:val="24"/>
                <w:highlight w:val="none"/>
                <w14:ligatures w14:val="standardContextual"/>
              </w:rPr>
              <w:t>“一带、两增、四提升”现代种业专项行动</w:t>
            </w:r>
          </w:p>
        </w:tc>
      </w:tr>
      <w:tr w14:paraId="332D80DC">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0C04022E">
            <w:pPr>
              <w:spacing w:line="360" w:lineRule="exact"/>
              <w:ind w:firstLine="420" w:firstLineChars="200"/>
              <w:rPr>
                <w:rFonts w:hint="eastAsia" w:ascii="仿宋_GB2312" w:hAnsi="仿宋_GB2312" w:eastAsia="仿宋_GB2312" w:cs="仿宋_GB2312"/>
                <w:b w:val="0"/>
                <w:bCs w:val="0"/>
                <w:color w:val="auto"/>
                <w:sz w:val="21"/>
                <w:szCs w:val="21"/>
                <w:highlight w:val="none"/>
                <w14:ligatures w14:val="standardContextual"/>
              </w:rPr>
            </w:pPr>
            <w:r>
              <w:rPr>
                <w:rFonts w:hint="eastAsia" w:ascii="仿宋_GB2312" w:hAnsi="仿宋_GB2312" w:eastAsia="仿宋_GB2312" w:cs="仿宋_GB2312"/>
                <w:b w:val="0"/>
                <w:bCs w:val="0"/>
                <w:color w:val="auto"/>
                <w:sz w:val="21"/>
                <w:szCs w:val="21"/>
                <w:highlight w:val="none"/>
                <w14:ligatures w14:val="standardContextual"/>
              </w:rPr>
              <w:t>全力打造良种繁育示范带。沿佳抚路和双桦路，打造星火乡至苏家店镇以及江川、宝山农场水稻良种繁育产业示范带。依托水稻良种示范带、育繁推一体化基地等，集中示范规模化、科技化水稻育种田，展示水稻良种繁育新品种、新技术。</w:t>
            </w:r>
          </w:p>
          <w:p w14:paraId="173A770E">
            <w:pPr>
              <w:spacing w:line="360" w:lineRule="exact"/>
              <w:ind w:firstLine="420" w:firstLineChars="200"/>
              <w:rPr>
                <w:rFonts w:hint="eastAsia" w:ascii="仿宋_GB2312" w:hAnsi="仿宋_GB2312" w:eastAsia="仿宋_GB2312" w:cs="仿宋_GB2312"/>
                <w:b w:val="0"/>
                <w:bCs w:val="0"/>
                <w:color w:val="auto"/>
                <w:sz w:val="21"/>
                <w:szCs w:val="21"/>
                <w:highlight w:val="none"/>
                <w14:ligatures w14:val="standardContextual"/>
              </w:rPr>
            </w:pPr>
            <w:r>
              <w:rPr>
                <w:rFonts w:hint="eastAsia" w:ascii="仿宋_GB2312" w:hAnsi="仿宋_GB2312" w:eastAsia="仿宋_GB2312" w:cs="仿宋_GB2312"/>
                <w:b w:val="0"/>
                <w:bCs w:val="0"/>
                <w:color w:val="auto"/>
                <w:sz w:val="21"/>
                <w:szCs w:val="21"/>
                <w:highlight w:val="none"/>
                <w14:ligatures w14:val="standardContextual"/>
              </w:rPr>
              <w:t>增强科研育种能力。加强院县合作。依托中国科学院、中国农科院、省农科院、八一农垦大学等科研院校联合研发的优势，建设育种科研示范基地。完善科研基础设施。分子育种中心投入使用，新建科研育种室、阳光气候室等科研设施，新购置分子育种、基因育种等实验仪器设备。加强种质资源储备能力，发挥2个种质资源库的优势，为育种研发工作</w:t>
            </w:r>
            <w:r>
              <w:rPr>
                <w:rFonts w:hint="eastAsia" w:ascii="仿宋_GB2312" w:hAnsi="仿宋_GB2312" w:eastAsia="仿宋_GB2312" w:cs="仿宋_GB2312"/>
                <w:b w:val="0"/>
                <w:bCs w:val="0"/>
                <w:color w:val="auto"/>
                <w:sz w:val="21"/>
                <w:szCs w:val="21"/>
                <w:highlight w:val="none"/>
                <w:lang w:eastAsia="zh-CN"/>
                <w14:ligatures w14:val="standardContextual"/>
              </w:rPr>
              <w:t>提供</w:t>
            </w:r>
            <w:r>
              <w:rPr>
                <w:rFonts w:hint="eastAsia" w:ascii="仿宋_GB2312" w:hAnsi="仿宋_GB2312" w:eastAsia="仿宋_GB2312" w:cs="仿宋_GB2312"/>
                <w:b w:val="0"/>
                <w:bCs w:val="0"/>
                <w:color w:val="auto"/>
                <w:sz w:val="21"/>
                <w:szCs w:val="21"/>
                <w:highlight w:val="none"/>
                <w14:ligatures w14:val="standardContextual"/>
              </w:rPr>
              <w:t>有力保障。</w:t>
            </w:r>
          </w:p>
          <w:p w14:paraId="496B51B9">
            <w:pPr>
              <w:spacing w:line="360" w:lineRule="exact"/>
              <w:ind w:firstLine="420" w:firstLineChars="200"/>
              <w:rPr>
                <w:rFonts w:hint="eastAsia" w:ascii="仿宋_GB2312" w:hAnsi="仿宋_GB2312" w:eastAsia="仿宋_GB2312" w:cs="仿宋_GB2312"/>
                <w:b w:val="0"/>
                <w:bCs w:val="0"/>
                <w:color w:val="auto"/>
                <w:sz w:val="21"/>
                <w:szCs w:val="21"/>
                <w:highlight w:val="none"/>
                <w14:ligatures w14:val="standardContextual"/>
              </w:rPr>
            </w:pPr>
            <w:r>
              <w:rPr>
                <w:rFonts w:hint="eastAsia" w:ascii="仿宋_GB2312" w:hAnsi="仿宋_GB2312" w:eastAsia="仿宋_GB2312" w:cs="仿宋_GB2312"/>
                <w:b w:val="0"/>
                <w:bCs w:val="0"/>
                <w:color w:val="auto"/>
                <w:sz w:val="21"/>
                <w:szCs w:val="21"/>
                <w:highlight w:val="none"/>
                <w14:ligatures w14:val="standardContextual"/>
              </w:rPr>
              <w:t>巩固南繁基地</w:t>
            </w:r>
            <w:r>
              <w:rPr>
                <w:rFonts w:hint="eastAsia" w:ascii="仿宋_GB2312" w:hAnsi="仿宋_GB2312" w:eastAsia="仿宋_GB2312" w:cs="仿宋_GB2312"/>
                <w:b w:val="0"/>
                <w:bCs w:val="0"/>
                <w:color w:val="auto"/>
                <w:sz w:val="21"/>
                <w:szCs w:val="21"/>
                <w:highlight w:val="none"/>
                <w:lang w:eastAsia="zh-CN"/>
                <w14:ligatures w14:val="standardContextual"/>
              </w:rPr>
              <w:t>。</w:t>
            </w:r>
            <w:r>
              <w:rPr>
                <w:rFonts w:hint="eastAsia" w:ascii="仿宋_GB2312" w:hAnsi="仿宋_GB2312" w:eastAsia="仿宋_GB2312" w:cs="仿宋_GB2312"/>
                <w:b w:val="0"/>
                <w:bCs w:val="0"/>
                <w:color w:val="auto"/>
                <w:sz w:val="21"/>
                <w:szCs w:val="21"/>
                <w:highlight w:val="none"/>
                <w14:ligatures w14:val="standardContextual"/>
              </w:rPr>
              <w:t>按照国家南繁硅谷的战略部署和南繁中心的总体规划，积极参与南繁基地建设。积极组织种业公司与崖州湾国家实验室开展研发合作项目，加快推进田友种业在三亚市南滨农场建设育种实验室和试验基地。</w:t>
            </w:r>
          </w:p>
          <w:p w14:paraId="3DA81474">
            <w:pPr>
              <w:spacing w:line="360" w:lineRule="exact"/>
              <w:ind w:firstLine="420" w:firstLineChars="200"/>
              <w:rPr>
                <w:rFonts w:hint="eastAsia" w:ascii="仿宋_GB2312" w:hAnsi="仿宋_GB2312" w:eastAsia="仿宋_GB2312" w:cs="仿宋_GB2312"/>
                <w:b w:val="0"/>
                <w:bCs w:val="0"/>
                <w:color w:val="auto"/>
                <w:sz w:val="21"/>
                <w:szCs w:val="21"/>
                <w:highlight w:val="none"/>
                <w14:ligatures w14:val="standardContextual"/>
              </w:rPr>
            </w:pPr>
            <w:r>
              <w:rPr>
                <w:rFonts w:hint="eastAsia" w:ascii="仿宋_GB2312" w:hAnsi="仿宋_GB2312" w:eastAsia="仿宋_GB2312" w:cs="仿宋_GB2312"/>
                <w:b w:val="0"/>
                <w:bCs w:val="0"/>
                <w:color w:val="auto"/>
                <w:sz w:val="21"/>
                <w:szCs w:val="21"/>
                <w:highlight w:val="none"/>
                <w14:ligatures w14:val="standardContextual"/>
              </w:rPr>
              <w:t>增强生产能力。以企业为龙头，重点实施科研楼建设、购置基因编辑育种实验设备</w:t>
            </w:r>
            <w:r>
              <w:rPr>
                <w:rFonts w:hint="eastAsia" w:ascii="仿宋_GB2312" w:hAnsi="仿宋_GB2312" w:eastAsia="仿宋_GB2312" w:cs="仿宋_GB2312"/>
                <w:b w:val="0"/>
                <w:bCs w:val="0"/>
                <w:color w:val="auto"/>
                <w:sz w:val="21"/>
                <w:szCs w:val="21"/>
                <w:highlight w:val="none"/>
                <w:lang w:eastAsia="zh-CN"/>
                <w14:ligatures w14:val="standardContextual"/>
              </w:rPr>
              <w:t>、</w:t>
            </w:r>
            <w:r>
              <w:rPr>
                <w:rFonts w:hint="eastAsia" w:ascii="仿宋_GB2312" w:hAnsi="仿宋_GB2312" w:eastAsia="仿宋_GB2312" w:cs="仿宋_GB2312"/>
                <w:b w:val="0"/>
                <w:bCs w:val="0"/>
                <w:color w:val="auto"/>
                <w:sz w:val="21"/>
                <w:szCs w:val="21"/>
                <w:highlight w:val="none"/>
                <w14:ligatures w14:val="standardContextual"/>
              </w:rPr>
              <w:t>自动化生产加工设备以及仓储设施等项目。把水稻研发从常规育种、杂交育种提级至分子育种、基因靶向层面，全面提升全县水稻科研实力，增强稳产保供能力，加快推进良种“五化”建设。大力发展定制种业。推行“定制种业”模式，有效保障农民收益与企业效益。根据生产销售数据分析，企业</w:t>
            </w:r>
            <w:r>
              <w:rPr>
                <w:rFonts w:hint="eastAsia" w:ascii="仿宋_GB2312" w:hAnsi="仿宋_GB2312" w:eastAsia="仿宋_GB2312" w:cs="仿宋_GB2312"/>
                <w:b w:val="0"/>
                <w:bCs w:val="0"/>
                <w:color w:val="auto"/>
                <w:sz w:val="21"/>
                <w:szCs w:val="21"/>
                <w:highlight w:val="none"/>
                <w:lang w:eastAsia="zh-CN"/>
                <w14:ligatures w14:val="standardContextual"/>
              </w:rPr>
              <w:t>与</w:t>
            </w:r>
            <w:r>
              <w:rPr>
                <w:rFonts w:hint="eastAsia" w:ascii="仿宋_GB2312" w:hAnsi="仿宋_GB2312" w:eastAsia="仿宋_GB2312" w:cs="仿宋_GB2312"/>
                <w:b w:val="0"/>
                <w:bCs w:val="0"/>
                <w:color w:val="auto"/>
                <w:sz w:val="21"/>
                <w:szCs w:val="21"/>
                <w:highlight w:val="none"/>
                <w14:ligatures w14:val="standardContextual"/>
              </w:rPr>
              <w:t>育种户或合作社签订定制品种繁育合同，按照合同约定企业进行回收。</w:t>
            </w:r>
            <w:r>
              <w:rPr>
                <w:rFonts w:hint="eastAsia" w:ascii="仿宋_GB2312" w:hAnsi="仿宋_GB2312" w:eastAsia="仿宋_GB2312" w:cs="仿宋_GB2312"/>
                <w:b w:val="0"/>
                <w:bCs w:val="0"/>
                <w:color w:val="auto"/>
                <w:sz w:val="21"/>
                <w:szCs w:val="21"/>
                <w:highlight w:val="none"/>
                <w:lang w:eastAsia="zh-CN"/>
                <w14:ligatures w14:val="standardContextual"/>
              </w:rPr>
              <w:t>或者</w:t>
            </w:r>
            <w:r>
              <w:rPr>
                <w:rFonts w:hint="eastAsia" w:ascii="仿宋_GB2312" w:hAnsi="仿宋_GB2312" w:eastAsia="仿宋_GB2312" w:cs="仿宋_GB2312"/>
                <w:b w:val="0"/>
                <w:bCs w:val="0"/>
                <w:color w:val="auto"/>
                <w:sz w:val="21"/>
                <w:szCs w:val="21"/>
                <w:highlight w:val="none"/>
                <w14:ligatures w14:val="standardContextual"/>
              </w:rPr>
              <w:t>经销商</w:t>
            </w:r>
            <w:r>
              <w:rPr>
                <w:rFonts w:hint="eastAsia" w:ascii="仿宋_GB2312" w:hAnsi="仿宋_GB2312" w:eastAsia="仿宋_GB2312" w:cs="仿宋_GB2312"/>
                <w:b w:val="0"/>
                <w:bCs w:val="0"/>
                <w:color w:val="auto"/>
                <w:sz w:val="21"/>
                <w:szCs w:val="21"/>
                <w:highlight w:val="none"/>
                <w:lang w:eastAsia="zh-CN"/>
                <w14:ligatures w14:val="standardContextual"/>
              </w:rPr>
              <w:t>、</w:t>
            </w:r>
            <w:r>
              <w:rPr>
                <w:rFonts w:hint="eastAsia" w:ascii="仿宋_GB2312" w:hAnsi="仿宋_GB2312" w:eastAsia="仿宋_GB2312" w:cs="仿宋_GB2312"/>
                <w:b w:val="0"/>
                <w:bCs w:val="0"/>
                <w:color w:val="auto"/>
                <w:sz w:val="21"/>
                <w:szCs w:val="21"/>
                <w:highlight w:val="none"/>
                <w14:ligatures w14:val="standardContextual"/>
              </w:rPr>
              <w:t>合作社、种地大户等向企业定制品种</w:t>
            </w:r>
            <w:r>
              <w:rPr>
                <w:rFonts w:hint="eastAsia" w:ascii="仿宋_GB2312" w:hAnsi="仿宋_GB2312" w:eastAsia="仿宋_GB2312" w:cs="仿宋_GB2312"/>
                <w:b w:val="0"/>
                <w:bCs w:val="0"/>
                <w:color w:val="auto"/>
                <w:sz w:val="21"/>
                <w:szCs w:val="21"/>
                <w:highlight w:val="none"/>
                <w:lang w:eastAsia="zh-CN"/>
                <w14:ligatures w14:val="standardContextual"/>
              </w:rPr>
              <w:t>；</w:t>
            </w:r>
            <w:r>
              <w:rPr>
                <w:rFonts w:hint="eastAsia" w:ascii="仿宋_GB2312" w:hAnsi="仿宋_GB2312" w:eastAsia="仿宋_GB2312" w:cs="仿宋_GB2312"/>
                <w:b w:val="0"/>
                <w:bCs w:val="0"/>
                <w:color w:val="auto"/>
                <w:sz w:val="21"/>
                <w:szCs w:val="21"/>
                <w:highlight w:val="none"/>
                <w14:ligatures w14:val="standardContextual"/>
              </w:rPr>
              <w:t>企业与需求者签订供种合同，企业再与育种方签订定制合同。通过产学研用融合，加入科技和标准化管理，优化品种结构等，提升定制种业的精准性和效率。挖掘地方种质资源。充分利用特色糯稻品种，通过定制化服务，打造差异化品牌。建设糯米原料基地，引进糯稻深加工企业，形成糯稻产业集群。</w:t>
            </w:r>
          </w:p>
          <w:p w14:paraId="64E871CA">
            <w:pPr>
              <w:spacing w:line="360" w:lineRule="exact"/>
              <w:ind w:firstLine="420" w:firstLineChars="200"/>
              <w:rPr>
                <w:rFonts w:hint="eastAsia" w:ascii="仿宋_GB2312" w:hAnsi="仿宋_GB2312" w:eastAsia="仿宋_GB2312" w:cs="仿宋_GB2312"/>
                <w:b w:val="0"/>
                <w:bCs w:val="0"/>
                <w:color w:val="auto"/>
                <w:sz w:val="21"/>
                <w:szCs w:val="21"/>
                <w:highlight w:val="none"/>
                <w14:ligatures w14:val="standardContextual"/>
              </w:rPr>
            </w:pPr>
            <w:r>
              <w:rPr>
                <w:rFonts w:hint="eastAsia" w:ascii="仿宋_GB2312" w:hAnsi="仿宋_GB2312" w:eastAsia="仿宋_GB2312" w:cs="仿宋_GB2312"/>
                <w:b w:val="0"/>
                <w:bCs w:val="0"/>
                <w:color w:val="auto"/>
                <w:sz w:val="21"/>
                <w:szCs w:val="21"/>
                <w:highlight w:val="none"/>
                <w14:ligatures w14:val="standardContextual"/>
              </w:rPr>
              <w:t>提升良种推广质效。积极向上争取重大品种推广补助资金，为推广优良品种助力。通过田间大课堂、高素质农民培训等组织全县的种植大户和合作社，到育种示范田、展示基地等开展实地观摩学习。</w:t>
            </w:r>
          </w:p>
          <w:p w14:paraId="6193F4C0">
            <w:pPr>
              <w:spacing w:line="360" w:lineRule="exact"/>
              <w:ind w:firstLine="420" w:firstLineChars="200"/>
              <w:rPr>
                <w:rFonts w:hint="eastAsia" w:ascii="仿宋_GB2312" w:hAnsi="仿宋_GB2312" w:eastAsia="仿宋_GB2312" w:cs="仿宋_GB2312"/>
                <w:b w:val="0"/>
                <w:bCs w:val="0"/>
                <w:color w:val="auto"/>
                <w:sz w:val="21"/>
                <w:szCs w:val="21"/>
                <w:highlight w:val="none"/>
                <w14:ligatures w14:val="standardContextual"/>
              </w:rPr>
            </w:pPr>
            <w:r>
              <w:rPr>
                <w:rFonts w:hint="eastAsia" w:ascii="仿宋_GB2312" w:hAnsi="仿宋_GB2312" w:eastAsia="仿宋_GB2312" w:cs="仿宋_GB2312"/>
                <w:b w:val="0"/>
                <w:bCs w:val="0"/>
                <w:color w:val="auto"/>
                <w:sz w:val="21"/>
                <w:szCs w:val="21"/>
                <w:highlight w:val="none"/>
                <w14:ligatures w14:val="standardContextual"/>
              </w:rPr>
              <w:t>提升试验示范能力。与中国</w:t>
            </w:r>
            <w:r>
              <w:rPr>
                <w:rFonts w:hint="eastAsia" w:ascii="仿宋_GB2312" w:hAnsi="仿宋_GB2312" w:eastAsia="仿宋_GB2312" w:cs="仿宋_GB2312"/>
                <w:b w:val="0"/>
                <w:bCs w:val="0"/>
                <w:color w:val="auto"/>
                <w:sz w:val="21"/>
                <w:szCs w:val="21"/>
                <w:highlight w:val="none"/>
                <w:lang w:eastAsia="zh"/>
                <w14:ligatures w14:val="standardContextual"/>
              </w:rPr>
              <w:t>农业科学</w:t>
            </w:r>
            <w:r>
              <w:rPr>
                <w:rFonts w:hint="eastAsia" w:ascii="仿宋_GB2312" w:hAnsi="仿宋_GB2312" w:eastAsia="仿宋_GB2312" w:cs="仿宋_GB2312"/>
                <w:b w:val="0"/>
                <w:bCs w:val="0"/>
                <w:color w:val="auto"/>
                <w:sz w:val="21"/>
                <w:szCs w:val="21"/>
                <w:highlight w:val="none"/>
                <w14:ligatures w14:val="standardContextual"/>
              </w:rPr>
              <w:t>院合作开展耕作技术、栽培技术、品种试验展示等多项</w:t>
            </w:r>
            <w:r>
              <w:rPr>
                <w:rFonts w:hint="eastAsia" w:ascii="仿宋_GB2312" w:hAnsi="仿宋_GB2312" w:eastAsia="仿宋_GB2312" w:cs="仿宋_GB2312"/>
                <w:b w:val="0"/>
                <w:bCs w:val="0"/>
                <w:color w:val="auto"/>
                <w:sz w:val="21"/>
                <w:szCs w:val="21"/>
                <w:highlight w:val="none"/>
                <w:lang w:eastAsia="zh-CN"/>
                <w14:ligatures w14:val="standardContextual"/>
              </w:rPr>
              <w:t>工作</w:t>
            </w:r>
            <w:r>
              <w:rPr>
                <w:rFonts w:hint="eastAsia" w:ascii="仿宋_GB2312" w:hAnsi="仿宋_GB2312" w:eastAsia="仿宋_GB2312" w:cs="仿宋_GB2312"/>
                <w:b w:val="0"/>
                <w:bCs w:val="0"/>
                <w:color w:val="auto"/>
                <w:sz w:val="21"/>
                <w:szCs w:val="21"/>
                <w:highlight w:val="none"/>
                <w14:ligatures w14:val="standardContextual"/>
              </w:rPr>
              <w:t>，和</w:t>
            </w:r>
            <w:r>
              <w:rPr>
                <w:rFonts w:hint="eastAsia" w:ascii="仿宋_GB2312" w:hAnsi="仿宋_GB2312" w:eastAsia="仿宋_GB2312" w:cs="仿宋_GB2312"/>
                <w:b w:val="0"/>
                <w:bCs w:val="0"/>
                <w:color w:val="auto"/>
                <w:sz w:val="21"/>
                <w:szCs w:val="21"/>
                <w:highlight w:val="none"/>
                <w:lang w:eastAsia="zh"/>
                <w14:ligatures w14:val="standardContextual"/>
              </w:rPr>
              <w:t>黑龙江</w:t>
            </w:r>
            <w:r>
              <w:rPr>
                <w:rFonts w:hint="eastAsia" w:ascii="仿宋_GB2312" w:hAnsi="仿宋_GB2312" w:eastAsia="仿宋_GB2312" w:cs="仿宋_GB2312"/>
                <w:b w:val="0"/>
                <w:bCs w:val="0"/>
                <w:color w:val="auto"/>
                <w:sz w:val="21"/>
                <w:szCs w:val="21"/>
                <w:highlight w:val="none"/>
                <w14:ligatures w14:val="standardContextual"/>
              </w:rPr>
              <w:t>省</w:t>
            </w:r>
            <w:r>
              <w:rPr>
                <w:rFonts w:hint="eastAsia" w:ascii="仿宋_GB2312" w:hAnsi="仿宋_GB2312" w:eastAsia="仿宋_GB2312" w:cs="仿宋_GB2312"/>
                <w:b w:val="0"/>
                <w:bCs w:val="0"/>
                <w:color w:val="auto"/>
                <w:sz w:val="21"/>
                <w:szCs w:val="21"/>
                <w:highlight w:val="none"/>
                <w:lang w:eastAsia="zh"/>
                <w14:ligatures w14:val="standardContextual"/>
              </w:rPr>
              <w:t>农业科学</w:t>
            </w:r>
            <w:r>
              <w:rPr>
                <w:rFonts w:hint="eastAsia" w:ascii="仿宋_GB2312" w:hAnsi="仿宋_GB2312" w:eastAsia="仿宋_GB2312" w:cs="仿宋_GB2312"/>
                <w:b w:val="0"/>
                <w:bCs w:val="0"/>
                <w:color w:val="auto"/>
                <w:sz w:val="21"/>
                <w:szCs w:val="21"/>
                <w:highlight w:val="none"/>
                <w14:ligatures w14:val="standardContextual"/>
              </w:rPr>
              <w:t>院开展单产提升示范项目，主要示范科学浸种、科学施肥、秸秆还田、黑土保护、大垄栽培、一喷多促等增产技术。承担省级主要农作物专家育种示范试验、省工业大麻试验、黑龙江省农作物种子质量认证试点、优质水稻品种筛选鉴定试验、黑龙江省农作物玉米、大豆、水稻品种试验、水稻联合体试验等多项试验示范</w:t>
            </w:r>
            <w:r>
              <w:rPr>
                <w:rFonts w:hint="eastAsia" w:ascii="仿宋_GB2312" w:hAnsi="仿宋_GB2312" w:eastAsia="仿宋_GB2312" w:cs="仿宋_GB2312"/>
                <w:b w:val="0"/>
                <w:bCs w:val="0"/>
                <w:color w:val="auto"/>
                <w:sz w:val="21"/>
                <w:szCs w:val="21"/>
                <w:highlight w:val="none"/>
                <w:lang w:eastAsia="zh-CN"/>
                <w14:ligatures w14:val="standardContextual"/>
              </w:rPr>
              <w:t>任务</w:t>
            </w:r>
            <w:r>
              <w:rPr>
                <w:rFonts w:hint="eastAsia" w:ascii="仿宋_GB2312" w:hAnsi="仿宋_GB2312" w:eastAsia="仿宋_GB2312" w:cs="仿宋_GB2312"/>
                <w:b w:val="0"/>
                <w:bCs w:val="0"/>
                <w:color w:val="auto"/>
                <w:sz w:val="21"/>
                <w:szCs w:val="21"/>
                <w:highlight w:val="none"/>
                <w14:ligatures w14:val="standardContextual"/>
              </w:rPr>
              <w:t>。</w:t>
            </w:r>
          </w:p>
          <w:p w14:paraId="1FE3A8C8">
            <w:pPr>
              <w:spacing w:line="360" w:lineRule="exact"/>
              <w:ind w:firstLine="420" w:firstLineChars="200"/>
              <w:rPr>
                <w:rFonts w:hint="eastAsia" w:ascii="仿宋_GB2312" w:hAnsi="仿宋_GB2312" w:eastAsia="仿宋_GB2312" w:cs="仿宋_GB2312"/>
                <w:b w:val="0"/>
                <w:bCs w:val="0"/>
                <w:color w:val="auto"/>
                <w:sz w:val="21"/>
                <w:szCs w:val="21"/>
                <w:highlight w:val="none"/>
                <w14:ligatures w14:val="standardContextual"/>
              </w:rPr>
            </w:pPr>
            <w:r>
              <w:rPr>
                <w:rFonts w:hint="eastAsia" w:ascii="仿宋_GB2312" w:hAnsi="仿宋_GB2312" w:eastAsia="仿宋_GB2312" w:cs="仿宋_GB2312"/>
                <w:b w:val="0"/>
                <w:bCs w:val="0"/>
                <w:color w:val="auto"/>
                <w:sz w:val="21"/>
                <w:szCs w:val="21"/>
                <w:highlight w:val="none"/>
                <w14:ligatures w14:val="standardContextual"/>
              </w:rPr>
              <w:t>提升企业发展能力。为了促进种业高质量发展，积极推进上市工作。加大企业上市宣传力度，营造积极上市氛围。组织证券机构与企业对接，提供精准服务。协调有关部门帮助企业解决上市过程中遇到的问题，加快企业上市进程。</w:t>
            </w:r>
          </w:p>
          <w:p w14:paraId="7178F7CE">
            <w:pPr>
              <w:spacing w:line="360" w:lineRule="exact"/>
              <w:ind w:firstLine="420" w:firstLineChars="200"/>
              <w:rPr>
                <w:rFonts w:hint="default" w:ascii="Times New Roman" w:hAnsi="Times New Roman" w:eastAsia="楷体_GB2312" w:cs="Times New Roman"/>
                <w:b w:val="0"/>
                <w:bCs w:val="0"/>
                <w:color w:val="auto"/>
                <w:sz w:val="24"/>
                <w:highlight w:val="none"/>
                <w14:ligatures w14:val="standardContextual"/>
              </w:rPr>
            </w:pPr>
            <w:r>
              <w:rPr>
                <w:rFonts w:hint="eastAsia" w:ascii="仿宋_GB2312" w:hAnsi="仿宋_GB2312" w:eastAsia="仿宋_GB2312" w:cs="仿宋_GB2312"/>
                <w:b w:val="0"/>
                <w:bCs w:val="0"/>
                <w:color w:val="auto"/>
                <w:sz w:val="21"/>
                <w:szCs w:val="21"/>
                <w:highlight w:val="none"/>
                <w14:ligatures w14:val="standardContextual"/>
              </w:rPr>
              <w:t>提升招商引资成效。借助大数据筛选目标企业和重点项目。</w:t>
            </w:r>
            <w:r>
              <w:rPr>
                <w:rFonts w:hint="eastAsia" w:ascii="仿宋_GB2312" w:hAnsi="仿宋_GB2312" w:eastAsia="仿宋_GB2312" w:cs="仿宋_GB2312"/>
                <w:b w:val="0"/>
                <w:bCs w:val="0"/>
                <w:color w:val="auto"/>
                <w:sz w:val="21"/>
                <w:szCs w:val="21"/>
                <w:highlight w:val="none"/>
                <w:lang w:eastAsia="zh-CN"/>
                <w14:ligatures w14:val="standardContextual"/>
              </w:rPr>
              <w:t>通过实施</w:t>
            </w:r>
            <w:r>
              <w:rPr>
                <w:rFonts w:hint="eastAsia" w:ascii="仿宋_GB2312" w:hAnsi="仿宋_GB2312" w:eastAsia="仿宋_GB2312" w:cs="仿宋_GB2312"/>
                <w:b w:val="0"/>
                <w:bCs w:val="0"/>
                <w:color w:val="auto"/>
                <w:sz w:val="21"/>
                <w:szCs w:val="21"/>
                <w:highlight w:val="none"/>
                <w14:ligatures w14:val="standardContextual"/>
              </w:rPr>
              <w:t>重点目标精准招商、现有企业以商招商等方式，紧盯京津冀、长三角、珠三角重点区域，延伸招商合作触角，瞄准国内种业发展优势省份和地区，紧盯中国农业企业500强、种业领军企业等重点招引行业领先企业，持续发力招商。争取招引国家级育繁推制种企业，增强育种实力。</w:t>
            </w:r>
          </w:p>
        </w:tc>
      </w:tr>
    </w:tbl>
    <w:p w14:paraId="43964DED">
      <w:pPr>
        <w:pStyle w:val="3"/>
        <w:pageBreakBefore w:val="0"/>
        <w:widowControl w:val="0"/>
        <w:kinsoku/>
        <w:wordWrap/>
        <w:overflowPunct/>
        <w:topLinePunct w:val="0"/>
        <w:autoSpaceDE/>
        <w:autoSpaceDN/>
        <w:bidi w:val="0"/>
        <w:adjustRightInd/>
        <w:spacing w:before="0" w:after="0" w:line="560" w:lineRule="exact"/>
        <w:ind w:firstLine="0" w:firstLineChars="0"/>
        <w:jc w:val="center"/>
        <w:textAlignment w:val="auto"/>
        <w:outlineLvl w:val="1"/>
        <w:rPr>
          <w:rFonts w:hint="default" w:ascii="Times New Roman" w:hAnsi="Times New Roman" w:eastAsia="楷体" w:cs="Times New Roman"/>
          <w:b w:val="0"/>
          <w:bCs/>
          <w:color w:val="auto"/>
          <w:sz w:val="32"/>
          <w:szCs w:val="32"/>
          <w:highlight w:val="none"/>
          <w14:ligatures w14:val="standardContextual"/>
        </w:rPr>
      </w:pPr>
      <w:bookmarkStart w:id="578" w:name="_Toc19692"/>
      <w:bookmarkStart w:id="579" w:name="_Toc10216"/>
      <w:bookmarkStart w:id="580" w:name="_Toc23419"/>
      <w:bookmarkStart w:id="581" w:name="_Toc24907"/>
      <w:bookmarkStart w:id="582" w:name="_Toc3386"/>
      <w:bookmarkStart w:id="583" w:name="_Toc12233"/>
      <w:bookmarkStart w:id="584" w:name="_Toc8916"/>
      <w:bookmarkStart w:id="585" w:name="_Toc23229"/>
      <w:bookmarkStart w:id="586" w:name="_Toc25854"/>
      <w:bookmarkStart w:id="587" w:name="_Toc1859474052"/>
      <w:bookmarkStart w:id="588" w:name="_Toc26294"/>
      <w:bookmarkStart w:id="589" w:name="_Toc1836276506"/>
      <w:bookmarkStart w:id="590" w:name="_Toc4207"/>
      <w:bookmarkStart w:id="591" w:name="_Toc8636"/>
      <w:r>
        <w:rPr>
          <w:rFonts w:hint="default" w:ascii="Times New Roman" w:hAnsi="Times New Roman" w:eastAsia="楷体" w:cs="Times New Roman"/>
          <w:b w:val="0"/>
          <w:bCs/>
          <w:color w:val="auto"/>
          <w:sz w:val="32"/>
          <w:szCs w:val="32"/>
          <w:highlight w:val="none"/>
          <w14:ligatures w14:val="standardContextual"/>
        </w:rPr>
        <w:t>第</w:t>
      </w:r>
      <w:r>
        <w:rPr>
          <w:rFonts w:hint="default" w:ascii="Times New Roman" w:hAnsi="Times New Roman" w:eastAsia="楷体" w:cs="Times New Roman"/>
          <w:b w:val="0"/>
          <w:bCs/>
          <w:color w:val="auto"/>
          <w:sz w:val="32"/>
          <w:szCs w:val="32"/>
          <w:highlight w:val="none"/>
          <w:lang w:eastAsia="zh"/>
          <w14:ligatures w14:val="standardContextual"/>
        </w:rPr>
        <w:t>三</w:t>
      </w:r>
      <w:r>
        <w:rPr>
          <w:rFonts w:hint="default" w:ascii="Times New Roman" w:hAnsi="Times New Roman" w:eastAsia="楷体" w:cs="Times New Roman"/>
          <w:b w:val="0"/>
          <w:bCs/>
          <w:color w:val="auto"/>
          <w:sz w:val="32"/>
          <w:szCs w:val="32"/>
          <w:highlight w:val="none"/>
          <w:lang w:eastAsia="zh"/>
          <w14:ligatures w14:val="standardContextual"/>
          <w:woUserID w:val="0"/>
        </w:rPr>
        <w:t>章</w:t>
      </w:r>
      <w:r>
        <w:rPr>
          <w:rFonts w:hint="default" w:ascii="Times New Roman" w:hAnsi="Times New Roman" w:eastAsia="楷体" w:cs="Times New Roman"/>
          <w:b w:val="0"/>
          <w:bCs/>
          <w:color w:val="auto"/>
          <w:sz w:val="32"/>
          <w:szCs w:val="32"/>
          <w:highlight w:val="none"/>
          <w14:ligatures w14:val="standardContextual"/>
        </w:rPr>
        <w:t xml:space="preserve"> 完善现代农业经营体系</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14:paraId="4B6DC4A9">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bidi="ar"/>
        </w:rPr>
      </w:pPr>
      <w:r>
        <w:rPr>
          <w:rFonts w:hint="default" w:ascii="Times New Roman" w:hAnsi="Times New Roman" w:eastAsia="仿宋_GB2312" w:cs="Times New Roman"/>
          <w:b w:val="0"/>
          <w:bCs/>
          <w:color w:val="auto"/>
          <w:sz w:val="32"/>
          <w:szCs w:val="32"/>
          <w:highlight w:val="none"/>
          <w:lang w:eastAsia="zh"/>
        </w:rPr>
        <w:t>稳定土地承包关系，在试点基础上，稳步推进土地二轮承包到期后再延长三十年工作。发展适度规模经营，促进小农户和现代农业发展有机衔接，加快发展龙头企业、农民合作社、家庭农场等新型农业经营主体，提高新型农业经营主体发展质量，健全农业社会化服务体系，构建现代农业经营体系。</w:t>
      </w:r>
    </w:p>
    <w:p w14:paraId="4FFAB6A6">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592" w:name="_Toc27277"/>
      <w:bookmarkStart w:id="593" w:name="_Toc1973827822"/>
      <w:bookmarkStart w:id="594" w:name="_Toc8266"/>
      <w:bookmarkStart w:id="595" w:name="_Toc1243790446"/>
      <w:bookmarkStart w:id="596" w:name="_Toc25724"/>
      <w:bookmarkStart w:id="597" w:name="_Toc18092"/>
      <w:bookmarkStart w:id="598" w:name="_Toc6468"/>
      <w:bookmarkStart w:id="599" w:name="_Toc29723"/>
      <w:bookmarkStart w:id="600" w:name="_Toc18560"/>
      <w:bookmarkStart w:id="601" w:name="_Toc27481"/>
      <w:bookmarkStart w:id="602" w:name="_Toc19612"/>
      <w:r>
        <w:rPr>
          <w:rFonts w:hint="default" w:ascii="Times New Roman" w:hAnsi="Times New Roman" w:eastAsia="仿宋_GB2312" w:cs="Times New Roman"/>
          <w:b w:val="0"/>
          <w:bCs/>
          <w:color w:val="auto"/>
          <w:sz w:val="32"/>
          <w:szCs w:val="32"/>
          <w:highlight w:val="none"/>
          <w:u w:val="none"/>
          <w:lang w:eastAsia="zh" w:bidi="ar"/>
          <w:woUserID w:val="0"/>
        </w:rPr>
        <w:t>第一节 提升家庭经营集约化水平</w:t>
      </w:r>
      <w:bookmarkEnd w:id="592"/>
      <w:bookmarkEnd w:id="593"/>
      <w:bookmarkEnd w:id="594"/>
      <w:bookmarkEnd w:id="595"/>
      <w:bookmarkEnd w:id="596"/>
      <w:bookmarkEnd w:id="597"/>
      <w:bookmarkEnd w:id="598"/>
      <w:bookmarkEnd w:id="599"/>
      <w:bookmarkEnd w:id="600"/>
      <w:bookmarkEnd w:id="601"/>
      <w:bookmarkEnd w:id="602"/>
    </w:p>
    <w:p w14:paraId="57144A8D">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bidi="ar"/>
        </w:rPr>
      </w:pPr>
      <w:r>
        <w:rPr>
          <w:rFonts w:hint="default" w:ascii="Times New Roman" w:hAnsi="Times New Roman" w:eastAsia="仿宋_GB2312" w:cs="Times New Roman"/>
          <w:b w:val="0"/>
          <w:bCs/>
          <w:color w:val="auto"/>
          <w:sz w:val="32"/>
          <w:szCs w:val="32"/>
          <w:highlight w:val="none"/>
          <w:lang w:eastAsia="zh"/>
        </w:rPr>
        <w:t>开展土地适度规模经营，提升土地集约化水平。鼓励小农户承包经营权在农村产权交易市场向专业大户、家庭农场、农民合作社、农业企业流转，发展多种形式的适度规模经营。科学选配熟悉农业生产、土地规模经营等方面的优秀干部进入乡镇干部队伍，配齐配强分管</w:t>
      </w:r>
      <w:r>
        <w:rPr>
          <w:rFonts w:hint="default" w:ascii="Times New Roman" w:hAnsi="Times New Roman" w:eastAsia="仿宋_GB2312" w:cs="Times New Roman"/>
          <w:b w:val="0"/>
          <w:bCs/>
          <w:color w:val="auto"/>
          <w:sz w:val="32"/>
          <w:szCs w:val="32"/>
          <w:highlight w:val="none"/>
          <w:lang w:val="en-US" w:eastAsia="zh-CN"/>
        </w:rPr>
        <w:t>农业、</w:t>
      </w:r>
      <w:r>
        <w:rPr>
          <w:rFonts w:hint="default" w:ascii="Times New Roman" w:hAnsi="Times New Roman" w:eastAsia="仿宋_GB2312" w:cs="Times New Roman"/>
          <w:b w:val="0"/>
          <w:bCs/>
          <w:color w:val="auto"/>
          <w:sz w:val="32"/>
          <w:szCs w:val="32"/>
          <w:highlight w:val="none"/>
          <w:lang w:eastAsia="zh"/>
        </w:rPr>
        <w:t>农业技术推广服务、经济发展服务</w:t>
      </w:r>
      <w:r>
        <w:rPr>
          <w:rFonts w:hint="eastAsia" w:eastAsia="仿宋_GB2312" w:cs="Times New Roman"/>
          <w:b w:val="0"/>
          <w:bCs/>
          <w:color w:val="auto"/>
          <w:sz w:val="32"/>
          <w:szCs w:val="32"/>
          <w:highlight w:val="none"/>
          <w:lang w:eastAsia="zh-CN"/>
        </w:rPr>
        <w:t>的干部</w:t>
      </w:r>
      <w:r>
        <w:rPr>
          <w:rFonts w:hint="default" w:ascii="Times New Roman" w:hAnsi="Times New Roman" w:eastAsia="仿宋_GB2312" w:cs="Times New Roman"/>
          <w:b w:val="0"/>
          <w:bCs/>
          <w:color w:val="auto"/>
          <w:sz w:val="32"/>
          <w:szCs w:val="32"/>
          <w:highlight w:val="none"/>
          <w:lang w:val="en-US" w:eastAsia="zh-CN"/>
        </w:rPr>
        <w:t>力量</w:t>
      </w:r>
      <w:r>
        <w:rPr>
          <w:rFonts w:hint="default" w:ascii="Times New Roman" w:hAnsi="Times New Roman" w:eastAsia="仿宋_GB2312" w:cs="Times New Roman"/>
          <w:b w:val="0"/>
          <w:bCs/>
          <w:color w:val="auto"/>
          <w:sz w:val="32"/>
          <w:szCs w:val="32"/>
          <w:highlight w:val="none"/>
          <w:lang w:eastAsia="zh"/>
        </w:rPr>
        <w:t>。积极推行村“两委”领办、垦地合作、整村流转、统耕统种、带地入社、集中建设等多种规模化经营模式，提高农村土地流转的规范性、合法性。推广“家庭农场+合作社+社会化服务”模式，支持小农户通过土地流转、生产托管、股份合作等方式融入现代农业产业链。创新利益联结机制，推广“保底收益+按股分红”“订单收购+二次分红”等模式，支持小农户以土地、劳动力、资金等要素入股龙头企业。到2030年，规模化经营面积达150万亩以上。</w:t>
      </w:r>
    </w:p>
    <w:p w14:paraId="0283E4E8">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603" w:name="_Toc21158"/>
      <w:bookmarkStart w:id="604" w:name="_Toc3497"/>
      <w:bookmarkStart w:id="605" w:name="_Toc185631319"/>
      <w:bookmarkStart w:id="606" w:name="_Toc3835"/>
      <w:bookmarkStart w:id="607" w:name="_Toc27515"/>
      <w:bookmarkStart w:id="608" w:name="_Toc25243"/>
      <w:bookmarkStart w:id="609" w:name="_Toc24565"/>
      <w:bookmarkStart w:id="610" w:name="_Toc11706"/>
      <w:bookmarkStart w:id="611" w:name="_Toc409882433"/>
      <w:bookmarkStart w:id="612" w:name="_Toc28897"/>
      <w:bookmarkStart w:id="613" w:name="_Toc20033"/>
      <w:r>
        <w:rPr>
          <w:rFonts w:hint="default" w:ascii="Times New Roman" w:hAnsi="Times New Roman" w:eastAsia="仿宋_GB2312" w:cs="Times New Roman"/>
          <w:b w:val="0"/>
          <w:bCs/>
          <w:color w:val="auto"/>
          <w:sz w:val="32"/>
          <w:szCs w:val="32"/>
          <w:highlight w:val="none"/>
          <w:u w:val="none"/>
          <w:lang w:eastAsia="zh" w:bidi="ar"/>
          <w:woUserID w:val="0"/>
        </w:rPr>
        <w:t>第二节 培育壮大新型农业经营主体</w:t>
      </w:r>
      <w:bookmarkEnd w:id="603"/>
      <w:bookmarkEnd w:id="604"/>
      <w:bookmarkEnd w:id="605"/>
      <w:bookmarkEnd w:id="606"/>
      <w:bookmarkEnd w:id="607"/>
      <w:bookmarkEnd w:id="608"/>
      <w:bookmarkEnd w:id="609"/>
      <w:bookmarkEnd w:id="610"/>
      <w:bookmarkEnd w:id="611"/>
      <w:bookmarkEnd w:id="612"/>
      <w:bookmarkEnd w:id="613"/>
    </w:p>
    <w:p w14:paraId="2006015B">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坚持把发展质量放在首位，以家庭农场、农民合作社为重点，培育提升新型农业经营主体发展实力、经营活力和带动能力。实施龙头企业主导力提升行动，推动企业质量品牌提升，引导企业实施增品种、提品质、创品牌“三品”工程。实施龙头企业带动能力提升工程，培育农牧业产业化重点龙头企业，积极打造农业产业化联合体，健全完善利益联结机制。支持突破高效节能、智能控制等关键技术和系统领域的龙头企业落地投资。持续开展新型农业经营主体培优行动，引导农户发展家庭农场，提升家庭农场生产经营能力，鼓励农民专业合作社开展农产品加工、仓储物流、市场营销等</w:t>
      </w:r>
      <w:r>
        <w:rPr>
          <w:rFonts w:hint="eastAsia" w:eastAsia="仿宋_GB2312" w:cs="Times New Roman"/>
          <w:b w:val="0"/>
          <w:bCs/>
          <w:color w:val="auto"/>
          <w:sz w:val="32"/>
          <w:szCs w:val="32"/>
          <w:highlight w:val="none"/>
          <w:lang w:eastAsia="zh-CN"/>
        </w:rPr>
        <w:t>活动，</w:t>
      </w:r>
      <w:r>
        <w:rPr>
          <w:rFonts w:hint="default" w:ascii="Times New Roman" w:hAnsi="Times New Roman" w:eastAsia="仿宋_GB2312" w:cs="Times New Roman"/>
          <w:b w:val="0"/>
          <w:bCs/>
          <w:color w:val="auto"/>
          <w:sz w:val="32"/>
          <w:szCs w:val="32"/>
          <w:highlight w:val="none"/>
          <w:lang w:eastAsia="zh"/>
        </w:rPr>
        <w:t>创建农民专业合作社示范社和示范家庭农场，加快构建现代农业经营体系。深耕“三农”金融服务，创新推广金融产品和服务，强化对新型农业经营主体全周期支持。到2030年，全县创建国家、省级龙头企业10家以上，国家和省级示范社14家以上，培育家庭农场、农民专业合作社分别达300家、100家以上，新增农业社会化服务组织100家以上。</w:t>
      </w:r>
    </w:p>
    <w:p w14:paraId="01DD74D2">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614" w:name="_Toc257126958"/>
      <w:bookmarkStart w:id="615" w:name="_Toc63040248"/>
      <w:bookmarkStart w:id="616" w:name="_Toc25908"/>
      <w:bookmarkStart w:id="617" w:name="_Toc24302"/>
      <w:bookmarkStart w:id="618" w:name="_Toc28600"/>
      <w:bookmarkStart w:id="619" w:name="_Toc298"/>
      <w:bookmarkStart w:id="620" w:name="_Toc14180"/>
      <w:bookmarkStart w:id="621" w:name="_Toc31205"/>
      <w:bookmarkStart w:id="622" w:name="_Toc7575"/>
      <w:bookmarkStart w:id="623" w:name="_Toc13774"/>
      <w:bookmarkStart w:id="624" w:name="_Toc18556"/>
      <w:r>
        <w:rPr>
          <w:rFonts w:hint="default" w:ascii="Times New Roman" w:hAnsi="Times New Roman" w:eastAsia="仿宋_GB2312" w:cs="Times New Roman"/>
          <w:b w:val="0"/>
          <w:bCs/>
          <w:color w:val="auto"/>
          <w:sz w:val="32"/>
          <w:szCs w:val="32"/>
          <w:highlight w:val="none"/>
          <w:u w:val="none"/>
          <w:lang w:eastAsia="zh" w:bidi="ar"/>
          <w:woUserID w:val="0"/>
        </w:rPr>
        <w:t>第三节 健全农业社会化服务体系</w:t>
      </w:r>
      <w:bookmarkEnd w:id="614"/>
      <w:bookmarkEnd w:id="615"/>
      <w:bookmarkEnd w:id="616"/>
      <w:bookmarkEnd w:id="617"/>
      <w:bookmarkEnd w:id="618"/>
      <w:bookmarkEnd w:id="619"/>
      <w:bookmarkEnd w:id="620"/>
      <w:bookmarkEnd w:id="621"/>
      <w:bookmarkEnd w:id="622"/>
      <w:bookmarkEnd w:id="623"/>
      <w:bookmarkEnd w:id="624"/>
    </w:p>
    <w:p w14:paraId="724E91C7">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培优培强农民专业合作社、服务型农业企业、家庭农场等社会化服务组织，充分发挥集体经济组织的居间服务功能，引导服务主体创新服务方式和服务机制。推广“单环节托管”“多环节托管”“全程托管”等托管服务，推动由产中向产前、产后环节延伸，探索“互联网＋农机作业”“全程机械化＋综合农事”等新服务模式，不断完善农户与新型经营主体的利益联结机制，健全农业社会化服务体系。实施新型农业经营主体社会化服务能力提升行动，为小农户提供全程机械化、病虫害统防统治、烘干收储等一站式服务。完善农业社会化服务标准，提升规范化服务水平。建设便捷高效的农业社会化服务体系，鼓励新型经营主体为小农户开展“全产业链”农业社会化服务。到2030年，全县社会化服务面积累计达130万亩以上，服务小农户占60%以上。</w:t>
      </w:r>
    </w:p>
    <w:p w14:paraId="3E8D7790">
      <w:pPr>
        <w:pStyle w:val="3"/>
        <w:pageBreakBefore w:val="0"/>
        <w:widowControl w:val="0"/>
        <w:kinsoku/>
        <w:wordWrap/>
        <w:overflowPunct/>
        <w:topLinePunct w:val="0"/>
        <w:autoSpaceDE/>
        <w:autoSpaceDN/>
        <w:bidi w:val="0"/>
        <w:adjustRightInd/>
        <w:spacing w:before="0" w:after="0" w:line="560" w:lineRule="exact"/>
        <w:ind w:firstLine="0" w:firstLineChars="0"/>
        <w:jc w:val="center"/>
        <w:textAlignment w:val="auto"/>
        <w:rPr>
          <w:rFonts w:hint="default" w:ascii="Times New Roman" w:hAnsi="Times New Roman" w:eastAsia="楷体" w:cs="Times New Roman"/>
          <w:b w:val="0"/>
          <w:bCs/>
          <w:color w:val="auto"/>
          <w:sz w:val="32"/>
          <w:szCs w:val="32"/>
          <w:highlight w:val="none"/>
        </w:rPr>
      </w:pPr>
      <w:bookmarkStart w:id="625" w:name="_Toc25832"/>
      <w:bookmarkStart w:id="626" w:name="_Toc11204"/>
      <w:bookmarkStart w:id="627" w:name="_Toc30438"/>
      <w:bookmarkStart w:id="628" w:name="_Toc18571"/>
      <w:bookmarkStart w:id="629" w:name="_Toc2551"/>
      <w:bookmarkStart w:id="630" w:name="_Toc19306"/>
      <w:bookmarkStart w:id="631" w:name="_Toc9182"/>
      <w:bookmarkStart w:id="632" w:name="_Toc27062176"/>
      <w:bookmarkStart w:id="633" w:name="_Toc16560"/>
      <w:bookmarkStart w:id="634" w:name="_Toc1395491121"/>
      <w:bookmarkStart w:id="635" w:name="_Toc7981"/>
      <w:bookmarkStart w:id="636" w:name="_Toc859"/>
      <w:bookmarkStart w:id="637" w:name="_Toc16707"/>
      <w:bookmarkStart w:id="638" w:name="_Toc8292"/>
      <w:r>
        <w:rPr>
          <w:rFonts w:hint="default" w:ascii="Times New Roman" w:hAnsi="Times New Roman" w:eastAsia="楷体" w:cs="Times New Roman"/>
          <w:b w:val="0"/>
          <w:bCs/>
          <w:color w:val="auto"/>
          <w:sz w:val="32"/>
          <w:szCs w:val="32"/>
          <w:highlight w:val="none"/>
        </w:rPr>
        <w:t>第</w:t>
      </w:r>
      <w:r>
        <w:rPr>
          <w:rFonts w:hint="default" w:ascii="Times New Roman" w:hAnsi="Times New Roman" w:eastAsia="楷体" w:cs="Times New Roman"/>
          <w:b w:val="0"/>
          <w:bCs/>
          <w:color w:val="auto"/>
          <w:sz w:val="32"/>
          <w:szCs w:val="32"/>
          <w:highlight w:val="none"/>
          <w:lang w:eastAsia="zh"/>
        </w:rPr>
        <w:t>四</w:t>
      </w:r>
      <w:r>
        <w:rPr>
          <w:rFonts w:hint="default" w:ascii="Times New Roman" w:hAnsi="Times New Roman" w:eastAsia="楷体" w:cs="Times New Roman"/>
          <w:b w:val="0"/>
          <w:bCs/>
          <w:color w:val="auto"/>
          <w:sz w:val="32"/>
          <w:szCs w:val="32"/>
          <w:highlight w:val="none"/>
          <w:lang w:eastAsia="zh"/>
          <w:woUserID w:val="0"/>
        </w:rPr>
        <w:t>章</w:t>
      </w:r>
      <w:r>
        <w:rPr>
          <w:rFonts w:hint="default" w:ascii="Times New Roman" w:hAnsi="Times New Roman" w:eastAsia="楷体" w:cs="Times New Roman"/>
          <w:b w:val="0"/>
          <w:bCs/>
          <w:color w:val="auto"/>
          <w:sz w:val="32"/>
          <w:szCs w:val="32"/>
          <w:highlight w:val="none"/>
        </w:rPr>
        <w:t xml:space="preserve"> 构筑</w:t>
      </w:r>
      <w:r>
        <w:rPr>
          <w:rFonts w:hint="default" w:ascii="Times New Roman" w:hAnsi="Times New Roman" w:eastAsia="楷体" w:cs="Times New Roman"/>
          <w:b w:val="0"/>
          <w:bCs/>
          <w:color w:val="auto"/>
          <w:sz w:val="32"/>
          <w:szCs w:val="32"/>
          <w:highlight w:val="none"/>
          <w:lang w:eastAsia="zh"/>
        </w:rPr>
        <w:t>宜居宜业</w:t>
      </w:r>
      <w:r>
        <w:rPr>
          <w:rFonts w:hint="default" w:ascii="Times New Roman" w:hAnsi="Times New Roman" w:eastAsia="楷体" w:cs="Times New Roman"/>
          <w:b w:val="0"/>
          <w:bCs/>
          <w:color w:val="auto"/>
          <w:sz w:val="32"/>
          <w:szCs w:val="32"/>
          <w:highlight w:val="none"/>
        </w:rPr>
        <w:t>和美乡村</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14:paraId="2ADB25AC">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bookmarkStart w:id="639" w:name="_Toc1171091895"/>
      <w:bookmarkStart w:id="640" w:name="_Toc1783929864"/>
      <w:r>
        <w:rPr>
          <w:rFonts w:hint="default" w:ascii="Times New Roman" w:hAnsi="Times New Roman" w:eastAsia="仿宋_GB2312" w:cs="Times New Roman"/>
          <w:b w:val="0"/>
          <w:bCs/>
          <w:color w:val="auto"/>
          <w:sz w:val="32"/>
          <w:szCs w:val="32"/>
          <w:highlight w:val="none"/>
          <w:lang w:eastAsia="zh"/>
        </w:rPr>
        <w:t>坚持以科学规划为引领、系统建设为抓手，统筹推进农村人居环境整治、乡村风貌提升，着力打造文明乡风与现代气息交相辉映的桦川和美乡村，推动乡村建设从“点上示范”向“全域提升”、从“形态更新”向“内涵发展”全面跨越。</w:t>
      </w:r>
    </w:p>
    <w:p w14:paraId="64169D0D">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641" w:name="_Toc20995"/>
      <w:bookmarkStart w:id="642" w:name="_Toc7422"/>
      <w:bookmarkStart w:id="643" w:name="_Toc14422"/>
      <w:bookmarkStart w:id="644" w:name="_Toc5671"/>
      <w:bookmarkStart w:id="645" w:name="_Toc16979"/>
      <w:bookmarkStart w:id="646" w:name="_Toc9525"/>
      <w:bookmarkStart w:id="647" w:name="_Toc1315"/>
      <w:bookmarkStart w:id="648" w:name="_Toc30808"/>
      <w:bookmarkStart w:id="649" w:name="_Toc20675"/>
      <w:r>
        <w:rPr>
          <w:rFonts w:hint="default" w:ascii="Times New Roman" w:hAnsi="Times New Roman" w:eastAsia="仿宋_GB2312" w:cs="Times New Roman"/>
          <w:b w:val="0"/>
          <w:bCs/>
          <w:color w:val="auto"/>
          <w:sz w:val="32"/>
          <w:szCs w:val="32"/>
          <w:highlight w:val="none"/>
          <w:u w:val="none"/>
          <w:lang w:eastAsia="zh" w:bidi="ar"/>
          <w:woUserID w:val="0"/>
        </w:rPr>
        <w:t>第一节 提升乡村建设水平</w:t>
      </w:r>
      <w:bookmarkEnd w:id="639"/>
      <w:bookmarkEnd w:id="640"/>
      <w:bookmarkEnd w:id="641"/>
      <w:bookmarkEnd w:id="642"/>
      <w:bookmarkEnd w:id="643"/>
      <w:bookmarkEnd w:id="644"/>
      <w:bookmarkEnd w:id="645"/>
      <w:bookmarkEnd w:id="646"/>
      <w:bookmarkEnd w:id="647"/>
      <w:bookmarkEnd w:id="648"/>
      <w:bookmarkEnd w:id="649"/>
    </w:p>
    <w:p w14:paraId="375AEB9D">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实施农村公路双通道建设，合理布局生态停车场，有序推进新能源汽车充电桩建设。开展农村安全饮用水提标升级工程，实现自来水全覆盖。加大乡村基础通信设施建设力度，加快发展农村5G网络，加强农村寄递物流体系建设运营。实施农电巩固提升工程，加强农村路灯建设，实现村内主要道路路口照明全覆盖。完善农村生活垃圾收运处置体系，推动农村生活垃圾分类与资源化利用。统筹推进农村污水管网建设和农村户厕无害化改造，将厕所粪污纳入污水管网统一处理。推进黑臭水体整治，建立防止农村黑臭水体“返黑返臭”长效管理机制，加快完善农村生活污水设施建后管护机制。实施村庄清洁行动，开展村庄清洁行动“百日会战”，聚焦“六清一修一改一建”，从“清脏”向“治乱”深化，由村庄向庭院、周边延伸，高标准打造省级龙江民居试点村，建设</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eastAsia="zh"/>
        </w:rPr>
        <w:t>五彩乡村</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eastAsia="zh"/>
        </w:rPr>
        <w:t>村容村貌提升项目，</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eastAsia="zh"/>
        </w:rPr>
        <w:t>村村出彩</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eastAsia="zh"/>
        </w:rPr>
        <w:t>特色民宿示范项目，</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eastAsia="zh"/>
        </w:rPr>
        <w:t>宜居宜业</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eastAsia="zh"/>
        </w:rPr>
        <w:t>智慧乡村游园示范项目等10个左右子项目，提升村集体</w:t>
      </w:r>
      <w:r>
        <w:rPr>
          <w:rFonts w:hint="eastAsia"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eastAsia="zh"/>
        </w:rPr>
        <w:t>村民收入，吸引朝鲜族等各族群众就近务工。到2030年，村庄动态整洁率达98%以上，形成“村容整洁环境美、创业增收生活美、乡风文明身心美”的村域经济</w:t>
      </w:r>
      <w:r>
        <w:rPr>
          <w:rFonts w:hint="eastAsia" w:eastAsia="仿宋_GB2312" w:cs="Times New Roman"/>
          <w:b w:val="0"/>
          <w:bCs/>
          <w:color w:val="auto"/>
          <w:sz w:val="32"/>
          <w:szCs w:val="32"/>
          <w:highlight w:val="none"/>
          <w:lang w:eastAsia="zh-CN"/>
        </w:rPr>
        <w:t>格局，</w:t>
      </w:r>
      <w:r>
        <w:rPr>
          <w:rFonts w:hint="default" w:ascii="Times New Roman" w:hAnsi="Times New Roman" w:eastAsia="仿宋_GB2312" w:cs="Times New Roman"/>
          <w:b w:val="0"/>
          <w:bCs/>
          <w:color w:val="auto"/>
          <w:sz w:val="32"/>
          <w:szCs w:val="32"/>
          <w:highlight w:val="none"/>
          <w:lang w:eastAsia="zh"/>
        </w:rPr>
        <w:t>农业强、农村美、农民富</w:t>
      </w:r>
      <w:r>
        <w:rPr>
          <w:rFonts w:hint="eastAsia" w:eastAsia="仿宋_GB2312" w:cs="Times New Roman"/>
          <w:b w:val="0"/>
          <w:bCs/>
          <w:color w:val="auto"/>
          <w:sz w:val="32"/>
          <w:szCs w:val="32"/>
          <w:highlight w:val="none"/>
          <w:lang w:eastAsia="zh-CN"/>
        </w:rPr>
        <w:t>取得</w:t>
      </w:r>
      <w:r>
        <w:rPr>
          <w:rFonts w:hint="default" w:ascii="Times New Roman" w:hAnsi="Times New Roman" w:eastAsia="仿宋_GB2312" w:cs="Times New Roman"/>
          <w:b w:val="0"/>
          <w:bCs/>
          <w:color w:val="auto"/>
          <w:sz w:val="32"/>
          <w:szCs w:val="32"/>
          <w:highlight w:val="none"/>
          <w:lang w:eastAsia="zh"/>
        </w:rPr>
        <w:t>重大进展。</w:t>
      </w:r>
    </w:p>
    <w:tbl>
      <w:tblPr>
        <w:tblStyle w:val="25"/>
        <w:tblW w:w="0" w:type="auto"/>
        <w:jc w:val="center"/>
        <w:tblLayout w:type="autofit"/>
        <w:tblCellMar>
          <w:top w:w="0" w:type="dxa"/>
          <w:left w:w="108" w:type="dxa"/>
          <w:bottom w:w="0" w:type="dxa"/>
          <w:right w:w="108" w:type="dxa"/>
        </w:tblCellMar>
      </w:tblPr>
      <w:tblGrid>
        <w:gridCol w:w="8296"/>
      </w:tblGrid>
      <w:tr w14:paraId="0F8189C9">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034BD6F1">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专栏3-3 宜居宜业和美乡村建设重大工程项目</w:t>
            </w:r>
          </w:p>
        </w:tc>
      </w:tr>
      <w:tr w14:paraId="60333910">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16FEC466">
            <w:pPr>
              <w:spacing w:line="360" w:lineRule="exact"/>
              <w:ind w:firstLine="420" w:firstLineChars="200"/>
              <w:rPr>
                <w:rFonts w:hint="eastAsia" w:ascii="仿宋_GB2312" w:hAnsi="仿宋_GB2312" w:eastAsia="仿宋_GB2312" w:cs="仿宋_GB2312"/>
                <w:b w:val="0"/>
                <w:bCs w:val="0"/>
                <w:color w:val="auto"/>
                <w:szCs w:val="21"/>
                <w:highlight w:val="none"/>
              </w:rPr>
            </w:pPr>
            <w:r>
              <w:rPr>
                <w:rFonts w:hint="eastAsia" w:ascii="仿宋_GB2312" w:hAnsi="仿宋_GB2312" w:eastAsia="仿宋_GB2312" w:cs="仿宋_GB2312"/>
                <w:b w:val="0"/>
                <w:bCs w:val="0"/>
                <w:color w:val="auto"/>
                <w:szCs w:val="21"/>
                <w:highlight w:val="none"/>
              </w:rPr>
              <w:t>乡村基础设施建设专项</w:t>
            </w:r>
            <w:r>
              <w:rPr>
                <w:rFonts w:hint="eastAsia" w:ascii="仿宋_GB2312" w:hAnsi="仿宋_GB2312" w:eastAsia="仿宋_GB2312" w:cs="仿宋_GB2312"/>
                <w:b w:val="0"/>
                <w:bCs w:val="0"/>
                <w:color w:val="auto"/>
                <w:szCs w:val="21"/>
                <w:highlight w:val="none"/>
                <w:lang w:eastAsia="zh-CN"/>
              </w:rPr>
              <w:t>。</w:t>
            </w:r>
            <w:r>
              <w:rPr>
                <w:rFonts w:hint="eastAsia" w:ascii="仿宋_GB2312" w:hAnsi="仿宋_GB2312" w:eastAsia="仿宋_GB2312" w:cs="仿宋_GB2312"/>
                <w:b w:val="0"/>
                <w:bCs w:val="0"/>
                <w:color w:val="auto"/>
                <w:szCs w:val="21"/>
                <w:highlight w:val="none"/>
              </w:rPr>
              <w:t>桦川县基础设施补短板项目、桦川县农村公益事业建设项目、东河乡兴安村新建路边沟项目、东河乡九阳村新建西排干桥项目、桦川县农村公益事业建设项目、桦川县星火乡中星村农村电网改造项目、星火乡沿线绿化项目、新城镇路边沟项目、新城镇古城村农村公益事业建设项目、新城镇仁发村沟塘水质提升改善项目、新城镇道路硬化项目、新城镇南环路项目等。</w:t>
            </w:r>
          </w:p>
          <w:p w14:paraId="6481BCC2">
            <w:pPr>
              <w:spacing w:line="360" w:lineRule="exact"/>
              <w:ind w:firstLine="420" w:firstLineChars="200"/>
              <w:rPr>
                <w:rFonts w:hint="default" w:ascii="Times New Roman" w:hAnsi="Times New Roman" w:eastAsia="仿宋" w:cs="Times New Roman"/>
                <w:b w:val="0"/>
                <w:bCs w:val="0"/>
                <w:color w:val="auto"/>
                <w:szCs w:val="21"/>
                <w:highlight w:val="none"/>
              </w:rPr>
            </w:pPr>
            <w:r>
              <w:rPr>
                <w:rFonts w:hint="eastAsia" w:ascii="仿宋_GB2312" w:hAnsi="仿宋_GB2312" w:eastAsia="仿宋_GB2312" w:cs="仿宋_GB2312"/>
                <w:b w:val="0"/>
                <w:bCs w:val="0"/>
                <w:color w:val="auto"/>
                <w:szCs w:val="21"/>
                <w:highlight w:val="none"/>
              </w:rPr>
              <w:t>乡村公共服务设施建设专项</w:t>
            </w:r>
            <w:r>
              <w:rPr>
                <w:rFonts w:hint="eastAsia" w:ascii="仿宋_GB2312" w:hAnsi="仿宋_GB2312" w:eastAsia="仿宋_GB2312" w:cs="仿宋_GB2312"/>
                <w:b w:val="0"/>
                <w:bCs w:val="0"/>
                <w:color w:val="auto"/>
                <w:szCs w:val="21"/>
                <w:highlight w:val="none"/>
                <w:lang w:eastAsia="zh-CN"/>
              </w:rPr>
              <w:t>。</w:t>
            </w:r>
            <w:r>
              <w:rPr>
                <w:rFonts w:hint="eastAsia" w:ascii="仿宋_GB2312" w:hAnsi="仿宋_GB2312" w:eastAsia="仿宋_GB2312" w:cs="仿宋_GB2312"/>
                <w:b w:val="0"/>
                <w:bCs w:val="0"/>
                <w:color w:val="auto"/>
                <w:szCs w:val="21"/>
                <w:highlight w:val="none"/>
              </w:rPr>
              <w:t>桦川县农村人居环境整治工程项目、桦川县“五好两宜”和美乡村试点试验项目。</w:t>
            </w:r>
          </w:p>
        </w:tc>
      </w:tr>
    </w:tbl>
    <w:p w14:paraId="7A54B6DC">
      <w:pPr>
        <w:keepNext w:val="0"/>
        <w:keepLines w:val="0"/>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650" w:name="_Toc12168"/>
      <w:bookmarkStart w:id="651" w:name="_Toc12726"/>
      <w:bookmarkStart w:id="652" w:name="_Toc950589530"/>
      <w:bookmarkStart w:id="653" w:name="_Toc18463"/>
      <w:bookmarkStart w:id="654" w:name="_Toc14442"/>
      <w:bookmarkStart w:id="655" w:name="_Toc19669"/>
      <w:bookmarkStart w:id="656" w:name="_Toc25252"/>
      <w:bookmarkStart w:id="657" w:name="_Toc8459"/>
      <w:bookmarkStart w:id="658" w:name="_Toc1204263582"/>
      <w:bookmarkStart w:id="659" w:name="_Toc23847"/>
      <w:bookmarkStart w:id="660" w:name="_Toc14163"/>
      <w:r>
        <w:rPr>
          <w:rFonts w:hint="default" w:ascii="Times New Roman" w:hAnsi="Times New Roman" w:eastAsia="仿宋_GB2312" w:cs="Times New Roman"/>
          <w:b w:val="0"/>
          <w:bCs w:val="0"/>
          <w:color w:val="auto"/>
          <w:sz w:val="32"/>
          <w:szCs w:val="32"/>
          <w:highlight w:val="none"/>
          <w:u w:val="none"/>
          <w:lang w:eastAsia="zh" w:bidi="ar"/>
          <w:woUserID w:val="0"/>
        </w:rPr>
        <w:t>第二节 健全乡村治理体系</w:t>
      </w:r>
      <w:bookmarkEnd w:id="650"/>
      <w:bookmarkEnd w:id="651"/>
      <w:bookmarkEnd w:id="652"/>
      <w:bookmarkEnd w:id="653"/>
      <w:bookmarkEnd w:id="654"/>
      <w:bookmarkEnd w:id="655"/>
      <w:bookmarkEnd w:id="656"/>
      <w:bookmarkEnd w:id="657"/>
      <w:bookmarkEnd w:id="658"/>
      <w:bookmarkEnd w:id="659"/>
      <w:bookmarkEnd w:id="660"/>
    </w:p>
    <w:p w14:paraId="723C90A8">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
        </w:rPr>
        <w:t>健全党组织领导的自治、法治、德治相结合的乡村治理体系，以强班子、建机制、解难题、提效能为核心，持续开展软弱涣散党组织整顿，培养选拔村党组织带头人，向软弱涣散村选优派强驻村干部，深化村级党组织书记、村委会主任“一肩挑”能力提升行动，组织开展党支部“星级评定”活动。</w:t>
      </w:r>
      <w:r>
        <w:rPr>
          <w:rFonts w:hint="default" w:ascii="Times New Roman" w:hAnsi="Times New Roman" w:eastAsia="仿宋_GB2312" w:cs="Times New Roman"/>
          <w:color w:val="auto"/>
          <w:sz w:val="32"/>
          <w:szCs w:val="32"/>
          <w:highlight w:val="none"/>
          <w:lang w:val="en-US" w:eastAsia="zh-CN"/>
        </w:rPr>
        <w:t>完成村“两委”换届工作，</w:t>
      </w:r>
      <w:r>
        <w:rPr>
          <w:rFonts w:hint="default" w:ascii="Times New Roman" w:hAnsi="Times New Roman" w:eastAsia="仿宋_GB2312" w:cs="Times New Roman"/>
          <w:color w:val="auto"/>
          <w:sz w:val="32"/>
          <w:szCs w:val="32"/>
          <w:highlight w:val="none"/>
          <w:lang w:eastAsia="zh"/>
        </w:rPr>
        <w:t>完善村民会议、村民代表会议等制度，拓宽农民参与公共事务的渠道，构建民意表达、利益协调与矛盾化解的闭环机制。常态化推进农村地区扫黑除恶工作，推进清廉村居建设，推广积分制、清单制等乡村治理模式，开展文明村、十星级文明户、先进典型评选等活动，激发和调动广大村民参与弘扬文明新风的积极性和主动性。</w:t>
      </w:r>
    </w:p>
    <w:p w14:paraId="7127BA1B">
      <w:pPr>
        <w:keepNext w:val="0"/>
        <w:keepLines w:val="0"/>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661" w:name="_Toc2037717658"/>
      <w:bookmarkStart w:id="662" w:name="_Toc1887550369"/>
      <w:bookmarkStart w:id="663" w:name="_Toc28189"/>
      <w:bookmarkStart w:id="664" w:name="_Toc17079"/>
      <w:bookmarkStart w:id="665" w:name="_Toc1955"/>
      <w:bookmarkStart w:id="666" w:name="_Toc23309"/>
      <w:bookmarkStart w:id="667" w:name="_Toc1872"/>
      <w:bookmarkStart w:id="668" w:name="_Toc17786"/>
      <w:bookmarkStart w:id="669" w:name="_Toc4118"/>
      <w:bookmarkStart w:id="670" w:name="_Toc31173"/>
      <w:bookmarkStart w:id="671" w:name="_Toc9746"/>
      <w:r>
        <w:rPr>
          <w:rFonts w:hint="default" w:ascii="Times New Roman" w:hAnsi="Times New Roman" w:eastAsia="仿宋_GB2312" w:cs="Times New Roman"/>
          <w:b w:val="0"/>
          <w:bCs w:val="0"/>
          <w:color w:val="auto"/>
          <w:sz w:val="32"/>
          <w:szCs w:val="32"/>
          <w:highlight w:val="none"/>
          <w:u w:val="none"/>
          <w:lang w:eastAsia="zh" w:bidi="ar"/>
          <w:woUserID w:val="0"/>
        </w:rPr>
        <w:t>第三节 深化乡村精神文明建设</w:t>
      </w:r>
      <w:bookmarkEnd w:id="661"/>
      <w:bookmarkEnd w:id="662"/>
      <w:bookmarkEnd w:id="663"/>
      <w:bookmarkEnd w:id="664"/>
      <w:bookmarkEnd w:id="665"/>
      <w:bookmarkEnd w:id="666"/>
      <w:bookmarkEnd w:id="667"/>
      <w:bookmarkEnd w:id="668"/>
      <w:bookmarkEnd w:id="669"/>
      <w:bookmarkEnd w:id="670"/>
      <w:bookmarkEnd w:id="671"/>
    </w:p>
    <w:p w14:paraId="2E8C0A3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以“文化铸魂、乡风塑形、实践育人”为核心，以培育和践行社会主义核心价值观为根本，全面深化乡村精神文明建设，着力提升农民精神风貌和乡村文明程度。推进“戏曲进乡村”“农家书屋提质增效”等项目，办好“农民丰收节”，加大农耕文化传承保护力度，完善村规民约，开展移风易俗行动，遏制大操大办、薄养厚葬、人情攀比等陈规陋习。加强党群服务中心、廉洁平台、村史馆、新时代文明实践站、综合文化中心、退役军人之家、妇女之家、民兵活动室、农村乡贤活动室等基层阵地建设。开展农村道德模范、桦川好人等先进典型选树宣传。打造一批集产业特色与文化内涵于一体的乡村振兴示范村，实现物质富裕与精神富足同步提升。</w:t>
      </w:r>
    </w:p>
    <w:tbl>
      <w:tblPr>
        <w:tblStyle w:val="25"/>
        <w:tblW w:w="8296" w:type="dxa"/>
        <w:jc w:val="center"/>
        <w:tblLayout w:type="autofit"/>
        <w:tblCellMar>
          <w:top w:w="0" w:type="dxa"/>
          <w:left w:w="108" w:type="dxa"/>
          <w:bottom w:w="0" w:type="dxa"/>
          <w:right w:w="108" w:type="dxa"/>
        </w:tblCellMar>
      </w:tblPr>
      <w:tblGrid>
        <w:gridCol w:w="8296"/>
      </w:tblGrid>
      <w:tr w14:paraId="56729A1F">
        <w:tblPrEx>
          <w:tblCellMar>
            <w:top w:w="0" w:type="dxa"/>
            <w:left w:w="108" w:type="dxa"/>
            <w:bottom w:w="0" w:type="dxa"/>
            <w:right w:w="108" w:type="dxa"/>
          </w:tblCellMar>
        </w:tblPrEx>
        <w:trPr>
          <w:trHeight w:val="226" w:hRule="atLeast"/>
          <w:jc w:val="center"/>
        </w:trPr>
        <w:tc>
          <w:tcPr>
            <w:tcW w:w="8296" w:type="dxa"/>
            <w:tcBorders>
              <w:top w:val="single" w:color="auto" w:sz="4" w:space="0"/>
              <w:left w:val="single" w:color="auto" w:sz="4" w:space="0"/>
              <w:bottom w:val="single" w:color="auto" w:sz="4" w:space="0"/>
              <w:right w:val="single" w:color="auto" w:sz="4" w:space="0"/>
            </w:tcBorders>
          </w:tcPr>
          <w:p w14:paraId="75BFB43E">
            <w:pPr>
              <w:snapToGrid w:val="0"/>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专栏3-4 现代化大农业重大工程项目</w:t>
            </w:r>
          </w:p>
        </w:tc>
      </w:tr>
      <w:tr w14:paraId="546A6FEE">
        <w:tblPrEx>
          <w:tblCellMar>
            <w:top w:w="0" w:type="dxa"/>
            <w:left w:w="108" w:type="dxa"/>
            <w:bottom w:w="0" w:type="dxa"/>
            <w:right w:w="108" w:type="dxa"/>
          </w:tblCellMar>
        </w:tblPrEx>
        <w:trPr>
          <w:trHeight w:val="0" w:hRule="atLeast"/>
          <w:jc w:val="center"/>
        </w:trPr>
        <w:tc>
          <w:tcPr>
            <w:tcW w:w="8296" w:type="dxa"/>
            <w:tcBorders>
              <w:top w:val="single" w:color="auto" w:sz="4" w:space="0"/>
              <w:left w:val="single" w:color="auto" w:sz="4" w:space="0"/>
              <w:bottom w:val="single" w:color="auto" w:sz="4" w:space="0"/>
              <w:right w:val="single" w:color="auto" w:sz="4" w:space="0"/>
            </w:tcBorders>
          </w:tcPr>
          <w:p w14:paraId="2C9D0D2E">
            <w:pPr>
              <w:keepNext w:val="0"/>
              <w:keepLines w:val="0"/>
              <w:pageBreakBefore w:val="0"/>
              <w:widowControl w:val="0"/>
              <w:kinsoku/>
              <w:wordWrap/>
              <w:overflowPunct/>
              <w:topLinePunct w:val="0"/>
              <w:autoSpaceDE/>
              <w:autoSpaceDN/>
              <w:bidi w:val="0"/>
              <w:adjustRightInd/>
              <w:snapToGrid w:val="0"/>
              <w:spacing w:line="300" w:lineRule="exact"/>
              <w:ind w:firstLine="420" w:firstLineChars="200"/>
              <w:textAlignment w:val="auto"/>
              <w:rPr>
                <w:rFonts w:hint="eastAsia" w:ascii="仿宋_GB2312" w:hAnsi="仿宋_GB2312" w:eastAsia="仿宋_GB2312" w:cs="仿宋_GB2312"/>
                <w:b w:val="0"/>
                <w:bCs w:val="0"/>
                <w:color w:val="auto"/>
                <w:szCs w:val="21"/>
                <w:highlight w:val="none"/>
                <w:woUserID w:val="8"/>
              </w:rPr>
            </w:pPr>
            <w:r>
              <w:rPr>
                <w:rFonts w:hint="eastAsia" w:ascii="仿宋_GB2312" w:hAnsi="仿宋_GB2312" w:eastAsia="仿宋_GB2312" w:cs="仿宋_GB2312"/>
                <w:b w:val="0"/>
                <w:bCs w:val="0"/>
                <w:color w:val="auto"/>
                <w:szCs w:val="21"/>
                <w:highlight w:val="none"/>
                <w:woUserID w:val="8"/>
              </w:rPr>
              <w:t>田间基础设施专项</w:t>
            </w:r>
            <w:r>
              <w:rPr>
                <w:rFonts w:hint="eastAsia" w:ascii="仿宋_GB2312" w:hAnsi="仿宋_GB2312" w:eastAsia="仿宋_GB2312" w:cs="仿宋_GB2312"/>
                <w:b w:val="0"/>
                <w:bCs w:val="0"/>
                <w:color w:val="auto"/>
                <w:szCs w:val="21"/>
                <w:highlight w:val="none"/>
                <w:lang w:eastAsia="zh-CN"/>
                <w:woUserID w:val="8"/>
              </w:rPr>
              <w:t>。</w:t>
            </w:r>
            <w:r>
              <w:rPr>
                <w:rFonts w:hint="eastAsia" w:ascii="仿宋_GB2312" w:hAnsi="仿宋_GB2312" w:eastAsia="仿宋_GB2312" w:cs="仿宋_GB2312"/>
                <w:b w:val="0"/>
                <w:bCs w:val="0"/>
                <w:color w:val="auto"/>
                <w:szCs w:val="21"/>
                <w:highlight w:val="none"/>
                <w:woUserID w:val="8"/>
              </w:rPr>
              <w:t>玉米、大豆、水稻“一喷多促”补助采购项目、玉米大豆单产提升工程项目、绿色高产高效行动（玉米）示范县、桦川县绿色高产高效行动（水稻）示范县、高标准农田建设项目、黑土地保护建设项目、2025年耕地质量提升项目、桦川县农业生产社会化服务项目等。</w:t>
            </w:r>
          </w:p>
          <w:p w14:paraId="00A0F031">
            <w:pPr>
              <w:keepNext w:val="0"/>
              <w:keepLines w:val="0"/>
              <w:pageBreakBefore w:val="0"/>
              <w:widowControl w:val="0"/>
              <w:kinsoku/>
              <w:wordWrap/>
              <w:overflowPunct/>
              <w:topLinePunct w:val="0"/>
              <w:autoSpaceDE/>
              <w:autoSpaceDN/>
              <w:bidi w:val="0"/>
              <w:adjustRightInd/>
              <w:snapToGrid w:val="0"/>
              <w:spacing w:line="300" w:lineRule="exact"/>
              <w:ind w:firstLine="420" w:firstLineChars="200"/>
              <w:textAlignment w:val="auto"/>
              <w:rPr>
                <w:rFonts w:hint="eastAsia" w:ascii="仿宋_GB2312" w:hAnsi="仿宋_GB2312" w:eastAsia="仿宋_GB2312" w:cs="仿宋_GB2312"/>
                <w:b w:val="0"/>
                <w:bCs w:val="0"/>
                <w:color w:val="auto"/>
                <w:szCs w:val="21"/>
                <w:highlight w:val="none"/>
                <w:woUserID w:val="8"/>
              </w:rPr>
            </w:pPr>
            <w:r>
              <w:rPr>
                <w:rFonts w:hint="eastAsia" w:ascii="仿宋_GB2312" w:hAnsi="仿宋_GB2312" w:eastAsia="仿宋_GB2312" w:cs="仿宋_GB2312"/>
                <w:b w:val="0"/>
                <w:bCs w:val="0"/>
                <w:color w:val="auto"/>
                <w:szCs w:val="21"/>
                <w:highlight w:val="none"/>
                <w:woUserID w:val="8"/>
              </w:rPr>
              <w:t>农机装备全程全面升级专项。桦川县农机设备更新项目、农机报废补贴资金项目、桦川县立伟农业装备有限公司区域性农机维修服务中心项目、双兴玉成合作社农机更新项目、桦川县高端智能农机试验基地及调度指挥中心项目、东河乡兴安村农机购置项目、现代化农业托管服务驿站项目、农业农村部稻米及加工品质量与营养检验测试（桦川）实验室建设项目、桦川县智慧农业工厂化育秧一体化建设项目、桦川县粮食主产区省际横向补贴项目、桦川县定制农业平台建设推广项目、桦川县智慧果蔬采摘园改造提升项目、桦川县立伟农业装备数智化升级改造工程项目、桦川县玉成现代农机专业合作社数智化升级改造项目。</w:t>
            </w:r>
          </w:p>
          <w:p w14:paraId="3504619C">
            <w:pPr>
              <w:keepNext w:val="0"/>
              <w:keepLines w:val="0"/>
              <w:pageBreakBefore w:val="0"/>
              <w:widowControl w:val="0"/>
              <w:kinsoku/>
              <w:wordWrap/>
              <w:overflowPunct/>
              <w:topLinePunct w:val="0"/>
              <w:autoSpaceDE/>
              <w:autoSpaceDN/>
              <w:bidi w:val="0"/>
              <w:adjustRightInd/>
              <w:snapToGrid w:val="0"/>
              <w:spacing w:line="300" w:lineRule="exact"/>
              <w:ind w:firstLine="420" w:firstLineChars="200"/>
              <w:textAlignment w:val="auto"/>
              <w:rPr>
                <w:rFonts w:hint="eastAsia" w:ascii="仿宋_GB2312" w:hAnsi="仿宋_GB2312" w:eastAsia="仿宋_GB2312" w:cs="仿宋_GB2312"/>
                <w:b w:val="0"/>
                <w:bCs w:val="0"/>
                <w:color w:val="auto"/>
                <w:szCs w:val="21"/>
                <w:highlight w:val="none"/>
                <w:woUserID w:val="8"/>
              </w:rPr>
            </w:pPr>
            <w:r>
              <w:rPr>
                <w:rFonts w:hint="eastAsia" w:ascii="仿宋_GB2312" w:hAnsi="仿宋_GB2312" w:eastAsia="仿宋_GB2312" w:cs="仿宋_GB2312"/>
                <w:b w:val="0"/>
                <w:bCs w:val="0"/>
                <w:color w:val="auto"/>
                <w:szCs w:val="21"/>
                <w:highlight w:val="none"/>
                <w:woUserID w:val="8"/>
              </w:rPr>
              <w:t>现代种业提升专项。桦川县种子生产加工基地建设项目、桦川县畜禽良种创新能力提升（鹅）项目、黑龙江善思农业科技发展有限公司种粮一体化建设项目、桦川县现代种业提升工程、桦川县寒地小龙虾苗种繁育中心、桦川县设施蔬菜生产设施条件改善项目。</w:t>
            </w:r>
          </w:p>
          <w:p w14:paraId="49827F0E">
            <w:pPr>
              <w:keepNext w:val="0"/>
              <w:keepLines w:val="0"/>
              <w:pageBreakBefore w:val="0"/>
              <w:widowControl w:val="0"/>
              <w:kinsoku/>
              <w:wordWrap/>
              <w:overflowPunct/>
              <w:topLinePunct w:val="0"/>
              <w:autoSpaceDE/>
              <w:autoSpaceDN/>
              <w:bidi w:val="0"/>
              <w:adjustRightInd/>
              <w:snapToGrid w:val="0"/>
              <w:spacing w:line="300" w:lineRule="exact"/>
              <w:ind w:firstLine="420" w:firstLineChars="200"/>
              <w:textAlignment w:val="auto"/>
              <w:rPr>
                <w:rFonts w:hint="eastAsia" w:ascii="仿宋_GB2312" w:hAnsi="仿宋_GB2312" w:eastAsia="仿宋_GB2312" w:cs="仿宋_GB2312"/>
                <w:b w:val="0"/>
                <w:bCs w:val="0"/>
                <w:color w:val="auto"/>
                <w:szCs w:val="21"/>
                <w:highlight w:val="none"/>
                <w:woUserID w:val="8"/>
              </w:rPr>
            </w:pPr>
            <w:r>
              <w:rPr>
                <w:rFonts w:hint="eastAsia" w:ascii="仿宋_GB2312" w:hAnsi="仿宋_GB2312" w:eastAsia="仿宋_GB2312" w:cs="仿宋_GB2312"/>
                <w:b w:val="0"/>
                <w:bCs w:val="0"/>
                <w:color w:val="auto"/>
                <w:szCs w:val="21"/>
                <w:highlight w:val="none"/>
                <w:woUserID w:val="8"/>
              </w:rPr>
              <w:t>检验检疫与灾害防治基础设施专项。桦川县动物疫病控制实验室改造提升项目、桦川县清洗消毒中心建设项目、桦川县病死畜禽无害化收集处理场、桦川县农业防灾减灾资金项目等。</w:t>
            </w:r>
          </w:p>
          <w:p w14:paraId="405A9D3E">
            <w:pPr>
              <w:keepNext w:val="0"/>
              <w:keepLines w:val="0"/>
              <w:pageBreakBefore w:val="0"/>
              <w:widowControl w:val="0"/>
              <w:kinsoku/>
              <w:wordWrap/>
              <w:overflowPunct/>
              <w:topLinePunct w:val="0"/>
              <w:autoSpaceDE/>
              <w:autoSpaceDN/>
              <w:bidi w:val="0"/>
              <w:adjustRightInd/>
              <w:snapToGrid w:val="0"/>
              <w:spacing w:line="300" w:lineRule="exact"/>
              <w:ind w:firstLine="420" w:firstLineChars="200"/>
              <w:textAlignment w:val="auto"/>
              <w:rPr>
                <w:rFonts w:hint="eastAsia" w:ascii="仿宋_GB2312" w:hAnsi="仿宋_GB2312" w:eastAsia="仿宋_GB2312" w:cs="仿宋_GB2312"/>
                <w:b w:val="0"/>
                <w:bCs w:val="0"/>
                <w:color w:val="auto"/>
                <w:szCs w:val="21"/>
                <w:highlight w:val="none"/>
                <w:woUserID w:val="8"/>
              </w:rPr>
            </w:pPr>
            <w:r>
              <w:rPr>
                <w:rFonts w:hint="eastAsia" w:ascii="仿宋_GB2312" w:hAnsi="仿宋_GB2312" w:eastAsia="仿宋_GB2312" w:cs="仿宋_GB2312"/>
                <w:b w:val="0"/>
                <w:bCs w:val="0"/>
                <w:color w:val="auto"/>
                <w:szCs w:val="21"/>
                <w:highlight w:val="none"/>
                <w:woUserID w:val="8"/>
              </w:rPr>
              <w:t>粮食仓储设施专项。桦川县玉成现代农机专业合作社区域性粮食烘干中心项目、智慧冷链产业基地项目等。</w:t>
            </w:r>
          </w:p>
          <w:p w14:paraId="5DBA7013">
            <w:pPr>
              <w:keepNext w:val="0"/>
              <w:keepLines w:val="0"/>
              <w:pageBreakBefore w:val="0"/>
              <w:widowControl w:val="0"/>
              <w:kinsoku/>
              <w:wordWrap/>
              <w:overflowPunct/>
              <w:topLinePunct w:val="0"/>
              <w:autoSpaceDE/>
              <w:autoSpaceDN/>
              <w:bidi w:val="0"/>
              <w:adjustRightInd/>
              <w:snapToGrid w:val="0"/>
              <w:spacing w:line="300" w:lineRule="exact"/>
              <w:ind w:firstLine="420" w:firstLineChars="200"/>
              <w:textAlignment w:val="auto"/>
              <w:rPr>
                <w:rFonts w:hint="default" w:ascii="Times New Roman" w:hAnsi="Times New Roman" w:eastAsia="仿宋" w:cs="Times New Roman"/>
                <w:b w:val="0"/>
                <w:bCs w:val="0"/>
                <w:color w:val="auto"/>
                <w:szCs w:val="21"/>
                <w:highlight w:val="none"/>
              </w:rPr>
            </w:pPr>
            <w:r>
              <w:rPr>
                <w:rFonts w:hint="eastAsia" w:ascii="仿宋_GB2312" w:hAnsi="仿宋_GB2312" w:eastAsia="仿宋_GB2312" w:cs="仿宋_GB2312"/>
                <w:b w:val="0"/>
                <w:bCs w:val="0"/>
                <w:color w:val="auto"/>
                <w:szCs w:val="21"/>
                <w:highlight w:val="none"/>
                <w:woUserID w:val="8"/>
              </w:rPr>
              <w:t>区域品牌建设专项。桦川县星火大米品牌宣传推广项目等。</w:t>
            </w:r>
          </w:p>
        </w:tc>
      </w:tr>
    </w:tbl>
    <w:p w14:paraId="581D5DE9">
      <w:pPr>
        <w:pStyle w:val="3"/>
        <w:pageBreakBefore w:val="0"/>
        <w:widowControl w:val="0"/>
        <w:kinsoku/>
        <w:wordWrap/>
        <w:overflowPunct/>
        <w:topLinePunct w:val="0"/>
        <w:autoSpaceDE/>
        <w:autoSpaceDN/>
        <w:bidi w:val="0"/>
        <w:adjustRightInd/>
        <w:spacing w:before="0" w:after="0" w:line="560" w:lineRule="exact"/>
        <w:ind w:firstLine="0" w:firstLineChars="0"/>
        <w:jc w:val="center"/>
        <w:textAlignment w:val="auto"/>
        <w:rPr>
          <w:rFonts w:hint="default" w:ascii="Times New Roman" w:hAnsi="Times New Roman" w:eastAsia="楷体" w:cs="Times New Roman"/>
          <w:b w:val="0"/>
          <w:bCs/>
          <w:color w:val="auto"/>
          <w:sz w:val="32"/>
          <w:szCs w:val="32"/>
          <w:highlight w:val="none"/>
        </w:rPr>
      </w:pPr>
      <w:bookmarkStart w:id="672" w:name="_Toc7845"/>
      <w:bookmarkStart w:id="673" w:name="_Toc28705"/>
      <w:bookmarkStart w:id="674" w:name="_Toc6656"/>
      <w:bookmarkStart w:id="675" w:name="_Toc10708"/>
      <w:bookmarkStart w:id="676" w:name="_Toc17055"/>
      <w:bookmarkStart w:id="677" w:name="_Toc27026"/>
      <w:bookmarkStart w:id="678" w:name="_Toc22642"/>
      <w:bookmarkStart w:id="679" w:name="_Toc12930"/>
      <w:bookmarkStart w:id="680" w:name="_Toc1301"/>
      <w:bookmarkStart w:id="681" w:name="_Toc550"/>
      <w:bookmarkStart w:id="682" w:name="_Toc15390"/>
      <w:bookmarkStart w:id="683" w:name="_Toc17250"/>
      <w:r>
        <w:rPr>
          <w:rFonts w:hint="default" w:ascii="Times New Roman" w:hAnsi="Times New Roman" w:eastAsia="楷体" w:cs="Times New Roman"/>
          <w:b w:val="0"/>
          <w:bCs/>
          <w:color w:val="auto"/>
          <w:sz w:val="32"/>
          <w:szCs w:val="32"/>
          <w:highlight w:val="none"/>
        </w:rPr>
        <w:t>第五</w:t>
      </w:r>
      <w:r>
        <w:rPr>
          <w:rFonts w:hint="default" w:ascii="Times New Roman" w:hAnsi="Times New Roman" w:eastAsia="楷体" w:cs="Times New Roman"/>
          <w:b w:val="0"/>
          <w:bCs/>
          <w:color w:val="auto"/>
          <w:sz w:val="32"/>
          <w:szCs w:val="32"/>
          <w:highlight w:val="none"/>
          <w:lang w:eastAsia="zh"/>
          <w:woUserID w:val="0"/>
        </w:rPr>
        <w:t>章</w:t>
      </w:r>
      <w:r>
        <w:rPr>
          <w:rFonts w:hint="default" w:ascii="Times New Roman" w:hAnsi="Times New Roman" w:eastAsia="楷体" w:cs="Times New Roman"/>
          <w:b w:val="0"/>
          <w:bCs/>
          <w:color w:val="auto"/>
          <w:sz w:val="32"/>
          <w:szCs w:val="32"/>
          <w:highlight w:val="none"/>
        </w:rPr>
        <w:t xml:space="preserve"> 提高强农惠农富农政策效能</w:t>
      </w:r>
      <w:bookmarkEnd w:id="672"/>
      <w:bookmarkEnd w:id="673"/>
      <w:bookmarkEnd w:id="674"/>
      <w:bookmarkEnd w:id="675"/>
      <w:bookmarkEnd w:id="676"/>
      <w:bookmarkEnd w:id="677"/>
      <w:bookmarkEnd w:id="678"/>
      <w:bookmarkEnd w:id="679"/>
      <w:bookmarkEnd w:id="680"/>
      <w:bookmarkEnd w:id="681"/>
      <w:bookmarkEnd w:id="682"/>
      <w:bookmarkEnd w:id="683"/>
    </w:p>
    <w:p w14:paraId="24DC472D">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深化强村富民乡村集成改革，高效落实强农惠农富农政策，有效激发农村发展活力，扎实推进农业农村共同富裕。</w:t>
      </w:r>
    </w:p>
    <w:p w14:paraId="31A34E22">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bCs/>
          <w:color w:val="auto"/>
          <w:sz w:val="32"/>
          <w:szCs w:val="32"/>
          <w:highlight w:val="none"/>
          <w:u w:val="none"/>
          <w:lang w:eastAsia="zh" w:bidi="ar"/>
          <w:woUserID w:val="0"/>
        </w:rPr>
      </w:pPr>
      <w:bookmarkStart w:id="684" w:name="_Toc25551"/>
      <w:bookmarkStart w:id="685" w:name="_Toc6344"/>
      <w:bookmarkStart w:id="686" w:name="_Toc12886"/>
      <w:bookmarkStart w:id="687" w:name="_Toc17636"/>
      <w:bookmarkStart w:id="688" w:name="_Toc23767"/>
      <w:bookmarkStart w:id="689" w:name="_Toc9768"/>
      <w:bookmarkStart w:id="690" w:name="_Toc28480"/>
      <w:bookmarkStart w:id="691" w:name="_Toc8958"/>
      <w:bookmarkStart w:id="692" w:name="_Toc29244"/>
      <w:r>
        <w:rPr>
          <w:rFonts w:hint="default" w:ascii="Times New Roman" w:hAnsi="Times New Roman" w:eastAsia="仿宋_GB2312" w:cs="Times New Roman"/>
          <w:b w:val="0"/>
          <w:bCs w:val="0"/>
          <w:color w:val="auto"/>
          <w:sz w:val="32"/>
          <w:szCs w:val="32"/>
          <w:highlight w:val="none"/>
          <w:u w:val="none"/>
          <w:lang w:eastAsia="zh" w:bidi="ar"/>
          <w:woUserID w:val="0"/>
        </w:rPr>
        <w:t>第一节 增强农民增收致富能力</w:t>
      </w:r>
      <w:bookmarkEnd w:id="684"/>
      <w:bookmarkEnd w:id="685"/>
      <w:bookmarkEnd w:id="686"/>
      <w:bookmarkEnd w:id="687"/>
      <w:bookmarkEnd w:id="688"/>
      <w:bookmarkEnd w:id="689"/>
      <w:bookmarkEnd w:id="690"/>
      <w:bookmarkEnd w:id="691"/>
      <w:bookmarkEnd w:id="692"/>
    </w:p>
    <w:p w14:paraId="6ED9798F">
      <w:pPr>
        <w:pageBreakBefore w:val="0"/>
        <w:widowControl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color w:val="auto"/>
          <w:sz w:val="32"/>
          <w:szCs w:val="32"/>
          <w:highlight w:val="none"/>
          <w:lang w:bidi="ar"/>
        </w:rPr>
      </w:pPr>
      <w:r>
        <w:rPr>
          <w:rFonts w:hint="default" w:ascii="Times New Roman" w:hAnsi="Times New Roman" w:eastAsia="仿宋_GB2312" w:cs="Times New Roman"/>
          <w:color w:val="auto"/>
          <w:sz w:val="32"/>
          <w:szCs w:val="32"/>
          <w:highlight w:val="none"/>
          <w:lang w:eastAsia="zh"/>
        </w:rPr>
        <w:t>健全农民经营性收入增长机制，强化价格、补贴、保险等政策支持和协同，落实国家粮食主产区利益补偿制度机制，完善联农带农机制，引导龙头企业与农民共建农业产业化联合体，实行统一标准、统一服务、统一生产、统一加工、统一销售，让农民更多分享农业产业发展增值收益。提高农民就业增收技能，围绕养老托育、家政服务等就业容量大、供需矛盾突出的行业，引导培训后的劳动者参加护理员、育婴师、家政服务员、营养师等职业技能等级认定，有序引导农民转移就业和就近就地就业。深化农村要素市场化配置改革促增收，依法盘活用好闲置土地、房屋。健全农业保险体系，扩大农业保险覆盖面，建设政策性种植业农业保险精准投保理赔</w:t>
      </w:r>
      <w:r>
        <w:rPr>
          <w:rFonts w:hint="eastAsia" w:eastAsia="仿宋_GB2312" w:cs="Times New Roman"/>
          <w:color w:val="auto"/>
          <w:sz w:val="32"/>
          <w:szCs w:val="32"/>
          <w:highlight w:val="none"/>
          <w:lang w:eastAsia="zh-CN"/>
        </w:rPr>
        <w:t>试点项目</w:t>
      </w:r>
      <w:r>
        <w:rPr>
          <w:rFonts w:hint="default" w:ascii="Times New Roman" w:hAnsi="Times New Roman" w:eastAsia="仿宋_GB2312" w:cs="Times New Roman"/>
          <w:color w:val="auto"/>
          <w:sz w:val="32"/>
          <w:szCs w:val="32"/>
          <w:highlight w:val="none"/>
          <w:lang w:eastAsia="zh"/>
        </w:rPr>
        <w:t>，实现由“保成本”向“保收入”转变，增强农户</w:t>
      </w:r>
      <w:r>
        <w:rPr>
          <w:rFonts w:hint="eastAsia" w:eastAsia="仿宋_GB2312" w:cs="Times New Roman"/>
          <w:color w:val="auto"/>
          <w:sz w:val="32"/>
          <w:szCs w:val="32"/>
          <w:highlight w:val="none"/>
          <w:lang w:eastAsia="zh-CN"/>
        </w:rPr>
        <w:t>抵御灾害能力</w:t>
      </w:r>
      <w:r>
        <w:rPr>
          <w:rFonts w:hint="default" w:ascii="Times New Roman" w:hAnsi="Times New Roman" w:eastAsia="仿宋_GB2312" w:cs="Times New Roman"/>
          <w:color w:val="auto"/>
          <w:sz w:val="32"/>
          <w:szCs w:val="32"/>
          <w:highlight w:val="none"/>
          <w:lang w:eastAsia="zh"/>
        </w:rPr>
        <w:t>。到2030年，全县政策性农业保险覆盖160万亩。</w:t>
      </w:r>
    </w:p>
    <w:p w14:paraId="54DDA249">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693" w:name="_Toc31233"/>
      <w:bookmarkStart w:id="694" w:name="_Toc6484"/>
      <w:bookmarkStart w:id="695" w:name="_Toc21591"/>
      <w:bookmarkStart w:id="696" w:name="_Toc30378"/>
      <w:bookmarkStart w:id="697" w:name="_Toc8668"/>
      <w:bookmarkStart w:id="698" w:name="_Toc27283"/>
      <w:bookmarkStart w:id="699" w:name="_Toc5098"/>
      <w:bookmarkStart w:id="700" w:name="_Toc20546"/>
      <w:bookmarkStart w:id="701" w:name="_Toc18241"/>
      <w:r>
        <w:rPr>
          <w:rFonts w:hint="default" w:ascii="Times New Roman" w:hAnsi="Times New Roman" w:eastAsia="仿宋_GB2312" w:cs="Times New Roman"/>
          <w:b w:val="0"/>
          <w:bCs w:val="0"/>
          <w:color w:val="auto"/>
          <w:sz w:val="32"/>
          <w:szCs w:val="32"/>
          <w:highlight w:val="none"/>
          <w:u w:val="none"/>
          <w:lang w:eastAsia="zh" w:bidi="ar"/>
          <w:woUserID w:val="0"/>
        </w:rPr>
        <w:t>第二节 支持发展新型农村集体经济</w:t>
      </w:r>
      <w:bookmarkEnd w:id="693"/>
      <w:bookmarkEnd w:id="694"/>
      <w:bookmarkEnd w:id="695"/>
      <w:bookmarkEnd w:id="696"/>
      <w:bookmarkEnd w:id="697"/>
      <w:bookmarkEnd w:id="698"/>
      <w:bookmarkEnd w:id="699"/>
      <w:bookmarkEnd w:id="700"/>
      <w:bookmarkEnd w:id="701"/>
    </w:p>
    <w:p w14:paraId="073EFDD8">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积极探索新型农村集体经济发展实现形式，有效盘活农村集体资金资产资源，激发农村资源要素活力。因地制宜探索村企联营、多村合作、整镇组团等抱团发展模式，通过资源发包、居间服务、资产参股等多样化途径，有效提高农村集体经济组织经营性收入。优先支持农村集体经济组织承接国投资金的农村基础设施建设和以工代赈项目，鼓励农村集体经济组织依托本村资源，以土地流转、土地托管等方式，向小农户提供农业生产性服务或承接政府公益类服务项目。支持引导村集体经济组织盘活利用征地留用地、闲置房产设施、集体建设用地等资产资源，开辟资产租赁、企业股份、农业开发、生产服务、联合发展等多种发展路径，拓宽集体产权增收渠道。推动农村集体经济组织现代法人化治理，健全农村集体财产管理具体办法，持续深化农村集体资金、资产和资源管理，严控集体经营风险和债务，构建集体经济组织成员民主监督、纪委监督、第三方审计、新闻舆论监督等多方监督制度，保障农村集体经济组织成员集体收益分配权。</w:t>
      </w:r>
    </w:p>
    <w:p w14:paraId="1CDF9ED6">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bCs/>
          <w:color w:val="auto"/>
          <w:sz w:val="32"/>
          <w:szCs w:val="32"/>
          <w:highlight w:val="none"/>
          <w:u w:val="none"/>
          <w:lang w:eastAsia="zh" w:bidi="ar"/>
          <w:woUserID w:val="0"/>
        </w:rPr>
      </w:pPr>
      <w:bookmarkStart w:id="702" w:name="_Toc19937"/>
      <w:bookmarkStart w:id="703" w:name="_Toc8033"/>
      <w:bookmarkStart w:id="704" w:name="_Toc3912"/>
      <w:bookmarkStart w:id="705" w:name="_Toc23104"/>
      <w:bookmarkStart w:id="706" w:name="_Toc19607"/>
      <w:bookmarkStart w:id="707" w:name="_Toc13980"/>
      <w:bookmarkStart w:id="708" w:name="_Toc25900"/>
      <w:bookmarkStart w:id="709" w:name="_Toc27764"/>
      <w:bookmarkStart w:id="710" w:name="_Toc2420"/>
      <w:r>
        <w:rPr>
          <w:rFonts w:hint="default" w:ascii="Times New Roman" w:hAnsi="Times New Roman" w:eastAsia="仿宋_GB2312" w:cs="Times New Roman"/>
          <w:b w:val="0"/>
          <w:bCs w:val="0"/>
          <w:color w:val="auto"/>
          <w:sz w:val="32"/>
          <w:szCs w:val="32"/>
          <w:highlight w:val="none"/>
          <w:u w:val="none"/>
          <w:lang w:eastAsia="zh" w:bidi="ar"/>
          <w:woUserID w:val="0"/>
        </w:rPr>
        <w:t>第三节 持续巩固拓展脱贫攻坚成果</w:t>
      </w:r>
      <w:bookmarkEnd w:id="702"/>
      <w:bookmarkEnd w:id="703"/>
      <w:bookmarkEnd w:id="704"/>
      <w:bookmarkEnd w:id="705"/>
      <w:bookmarkEnd w:id="706"/>
      <w:bookmarkEnd w:id="707"/>
      <w:bookmarkEnd w:id="708"/>
      <w:bookmarkEnd w:id="709"/>
      <w:bookmarkEnd w:id="710"/>
    </w:p>
    <w:p w14:paraId="132D43A1">
      <w:pPr>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牢牢守住不发生规模性返贫底线，将强化“开发式”帮扶与完善“兜底式”保障相结合，完善常态化帮扶政策。持续发挥中国人民保险集团的帮扶优势，建立农村低收入人口分层分类帮扶机制。按照“巩固一批、升级一批、盘活一批、调整一批”的要求，明确帮扶产业分类管理路径和具体举措。动员社会组织、定点帮扶单位、电商平台企业等定期开展消费帮扶活动，加大电商营销力度，鼓励引导带农企业入驻“832”平台，拓宽农产品销售渠道。加强防返贫预警监测，加强对潜在风险隐患的研判，及时将有返贫致贫风险的农户全部识别为监测对象。摸清监测对象底数信息，持续关注脱贫群众稳就业状况，对脱贫户失业返贫风险进行</w:t>
      </w:r>
      <w:r>
        <w:rPr>
          <w:rFonts w:hint="eastAsia" w:eastAsia="仿宋_GB2312" w:cs="Times New Roman"/>
          <w:color w:val="auto"/>
          <w:sz w:val="32"/>
          <w:szCs w:val="32"/>
          <w:highlight w:val="none"/>
          <w:lang w:eastAsia="zh-CN"/>
        </w:rPr>
        <w:t>实时</w:t>
      </w:r>
      <w:r>
        <w:rPr>
          <w:rFonts w:hint="default" w:ascii="Times New Roman" w:hAnsi="Times New Roman" w:eastAsia="仿宋_GB2312" w:cs="Times New Roman"/>
          <w:color w:val="auto"/>
          <w:sz w:val="32"/>
          <w:szCs w:val="32"/>
          <w:highlight w:val="none"/>
          <w:lang w:eastAsia="zh"/>
        </w:rPr>
        <w:t>动态监测，及时采取就业帮扶、就业培训等针对性措施。采取务工、以工代赈、发展庭院经济等方式增加农民收入，拓宽农民增收致富渠道。常态化举办招聘会、线上招聘、转移就业、车间吸纳、技能培训等线上线下结合方式，有序引导农民转移就业和就地就近就业。延续务工交通补贴等各项就业帮扶政策，发挥其“稳就业、托底线、救急难”积极作用。</w:t>
      </w:r>
    </w:p>
    <w:bookmarkEnd w:id="446"/>
    <w:p w14:paraId="4893AFB8">
      <w:pPr>
        <w:keepNext w:val="0"/>
        <w:keepLines w:val="0"/>
        <w:pageBreakBefore w:val="0"/>
        <w:numPr>
          <w:ilvl w:val="0"/>
          <w:numId w:val="4"/>
        </w:numPr>
        <w:kinsoku/>
        <w:wordWrap/>
        <w:overflowPunct/>
        <w:topLinePunct w:val="0"/>
        <w:autoSpaceDE/>
        <w:autoSpaceDN/>
        <w:bidi w:val="0"/>
        <w:adjustRightInd/>
        <w:snapToGrid w:val="0"/>
        <w:spacing w:line="560" w:lineRule="exact"/>
        <w:ind w:firstLine="0" w:firstLineChars="0"/>
        <w:jc w:val="center"/>
        <w:textAlignment w:val="auto"/>
        <w:outlineLvl w:val="0"/>
        <w:rPr>
          <w:rFonts w:hint="default" w:ascii="Times New Roman" w:hAnsi="Times New Roman" w:eastAsia="黑体" w:cs="Times New Roman"/>
          <w:b w:val="0"/>
          <w:bCs w:val="0"/>
          <w:color w:val="auto"/>
          <w:sz w:val="32"/>
          <w:szCs w:val="32"/>
          <w:highlight w:val="none"/>
          <w:lang w:val="en-US" w:eastAsia="zh-CN" w:bidi="ar"/>
          <w14:ligatures w14:val="standardContextual"/>
        </w:rPr>
      </w:pPr>
      <w:bookmarkStart w:id="711" w:name="_Toc1414535590"/>
      <w:bookmarkStart w:id="712" w:name="_Toc5950"/>
      <w:bookmarkStart w:id="713" w:name="_Toc24622"/>
      <w:bookmarkStart w:id="714" w:name="_Toc13539"/>
      <w:bookmarkStart w:id="715" w:name="_Toc12289"/>
      <w:bookmarkStart w:id="716" w:name="_Toc14548"/>
      <w:bookmarkStart w:id="717" w:name="_Toc14450"/>
      <w:bookmarkStart w:id="718" w:name="_Toc507587198"/>
      <w:bookmarkStart w:id="719" w:name="_Toc28047"/>
      <w:bookmarkStart w:id="720" w:name="_Toc27080"/>
      <w:bookmarkStart w:id="721" w:name="_Toc30005"/>
      <w:bookmarkStart w:id="722" w:name="_Toc27089"/>
      <w:bookmarkStart w:id="723" w:name="_Toc22886"/>
      <w:bookmarkStart w:id="724" w:name="_Toc20707"/>
      <w:r>
        <w:rPr>
          <w:rFonts w:hint="eastAsia" w:eastAsia="黑体" w:cs="Times New Roman"/>
          <w:b w:val="0"/>
          <w:bCs w:val="0"/>
          <w:color w:val="auto"/>
          <w:sz w:val="32"/>
          <w:szCs w:val="32"/>
          <w:highlight w:val="none"/>
          <w:lang w:val="en-US" w:eastAsia="zh-CN" w:bidi="ar"/>
          <w14:ligatures w14:val="standardContextual"/>
        </w:rPr>
        <w:t xml:space="preserve"> 巩固</w:t>
      </w:r>
      <w:r>
        <w:rPr>
          <w:rFonts w:hint="default" w:ascii="Times New Roman" w:hAnsi="Times New Roman" w:eastAsia="黑体" w:cs="Times New Roman"/>
          <w:b w:val="0"/>
          <w:bCs w:val="0"/>
          <w:color w:val="auto"/>
          <w:sz w:val="32"/>
          <w:szCs w:val="32"/>
          <w:highlight w:val="none"/>
          <w:lang w:bidi="ar"/>
          <w14:ligatures w14:val="standardContextual"/>
        </w:rPr>
        <w:t>壮大实体经济 构建</w:t>
      </w:r>
      <w:r>
        <w:rPr>
          <w:rFonts w:hint="default" w:ascii="Times New Roman" w:hAnsi="Times New Roman" w:eastAsia="黑体" w:cs="Times New Roman"/>
          <w:b w:val="0"/>
          <w:bCs w:val="0"/>
          <w:color w:val="auto"/>
          <w:sz w:val="32"/>
          <w:szCs w:val="32"/>
          <w:highlight w:val="none"/>
          <w:lang w:val="en-US" w:eastAsia="zh-CN" w:bidi="ar"/>
          <w14:ligatures w14:val="standardContextual"/>
        </w:rPr>
        <w:t>具有特色优势的</w:t>
      </w:r>
    </w:p>
    <w:p w14:paraId="33B76F7C">
      <w:pPr>
        <w:keepNext w:val="0"/>
        <w:keepLines w:val="0"/>
        <w:pageBreakBefore w:val="0"/>
        <w:numPr>
          <w:ilvl w:val="0"/>
          <w:numId w:val="0"/>
        </w:numPr>
        <w:kinsoku/>
        <w:wordWrap/>
        <w:overflowPunct/>
        <w:topLinePunct w:val="0"/>
        <w:autoSpaceDE/>
        <w:autoSpaceDN/>
        <w:bidi w:val="0"/>
        <w:adjustRightInd/>
        <w:snapToGrid w:val="0"/>
        <w:spacing w:line="560" w:lineRule="exact"/>
        <w:jc w:val="center"/>
        <w:textAlignment w:val="auto"/>
        <w:outlineLvl w:val="0"/>
        <w:rPr>
          <w:rFonts w:hint="default" w:ascii="Times New Roman" w:hAnsi="Times New Roman" w:eastAsia="黑体" w:cs="Times New Roman"/>
          <w:b w:val="0"/>
          <w:bCs w:val="0"/>
          <w:color w:val="auto"/>
          <w:sz w:val="32"/>
          <w:szCs w:val="32"/>
          <w:highlight w:val="none"/>
          <w14:ligatures w14:val="standardContextual"/>
        </w:rPr>
      </w:pPr>
      <w:r>
        <w:rPr>
          <w:rFonts w:hint="default" w:ascii="Times New Roman" w:hAnsi="Times New Roman" w:eastAsia="黑体" w:cs="Times New Roman"/>
          <w:b w:val="0"/>
          <w:bCs w:val="0"/>
          <w:color w:val="auto"/>
          <w:sz w:val="32"/>
          <w:szCs w:val="32"/>
          <w:highlight w:val="none"/>
          <w:lang w:bidi="ar"/>
          <w14:ligatures w14:val="standardContextual"/>
        </w:rPr>
        <w:t>现代化产业体系</w:t>
      </w:r>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14:paraId="7D2D8A15">
      <w:pPr>
        <w:keepNext w:val="0"/>
        <w:keepLines w:val="0"/>
        <w:pageBreakBefore w:val="0"/>
        <w:kinsoku/>
        <w:wordWrap/>
        <w:overflowPunct/>
        <w:topLinePunct w:val="0"/>
        <w:autoSpaceDE/>
        <w:autoSpaceDN/>
        <w:bidi w:val="0"/>
        <w:adjustRightInd/>
        <w:snapToGrid w:val="0"/>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紧扣“一城五业”发展定位，巩固升级</w:t>
      </w:r>
      <w:r>
        <w:rPr>
          <w:rFonts w:hint="default" w:ascii="Times New Roman" w:hAnsi="Times New Roman" w:eastAsia="仿宋_GB2312" w:cs="Times New Roman"/>
          <w:b w:val="0"/>
          <w:bCs w:val="0"/>
          <w:color w:val="auto"/>
          <w:sz w:val="32"/>
          <w:szCs w:val="32"/>
          <w:highlight w:val="none"/>
          <w:lang w:val="en-US" w:eastAsia="zh-CN"/>
        </w:rPr>
        <w:t>农产品</w:t>
      </w:r>
      <w:r>
        <w:rPr>
          <w:rFonts w:hint="default" w:ascii="Times New Roman" w:hAnsi="Times New Roman" w:eastAsia="仿宋_GB2312" w:cs="Times New Roman"/>
          <w:b w:val="0"/>
          <w:bCs w:val="0"/>
          <w:color w:val="auto"/>
          <w:sz w:val="32"/>
          <w:szCs w:val="32"/>
          <w:highlight w:val="none"/>
          <w:lang w:eastAsia="zh"/>
        </w:rPr>
        <w:t>精深加工、农机装备等传统优势产业，全力培育生物制药、</w:t>
      </w:r>
      <w:r>
        <w:rPr>
          <w:rFonts w:hint="default" w:ascii="Times New Roman" w:hAnsi="Times New Roman" w:eastAsia="仿宋_GB2312" w:cs="Times New Roman"/>
          <w:b w:val="0"/>
          <w:bCs w:val="0"/>
          <w:color w:val="auto"/>
          <w:sz w:val="32"/>
          <w:szCs w:val="32"/>
          <w:highlight w:val="none"/>
          <w:lang w:val="en-US" w:eastAsia="zh-CN"/>
        </w:rPr>
        <w:t>新能源</w:t>
      </w:r>
      <w:r>
        <w:rPr>
          <w:rFonts w:hint="default" w:ascii="Times New Roman" w:hAnsi="Times New Roman" w:eastAsia="仿宋_GB2312" w:cs="Times New Roman"/>
          <w:b w:val="0"/>
          <w:bCs w:val="0"/>
          <w:color w:val="auto"/>
          <w:sz w:val="32"/>
          <w:szCs w:val="32"/>
          <w:highlight w:val="none"/>
          <w:lang w:eastAsia="zh"/>
        </w:rPr>
        <w:t>等战略性新兴产业，谋划布局一批未来产业，全面构建具有桦川特色的现代化产业体系。</w:t>
      </w:r>
    </w:p>
    <w:p w14:paraId="14293B50">
      <w:pPr>
        <w:pStyle w:val="3"/>
        <w:keepNext w:val="0"/>
        <w:keepLines w:val="0"/>
        <w:pageBreakBefore w:val="0"/>
        <w:widowControl/>
        <w:kinsoku/>
        <w:wordWrap/>
        <w:overflowPunct/>
        <w:topLinePunct w:val="0"/>
        <w:autoSpaceDE/>
        <w:autoSpaceDN/>
        <w:bidi w:val="0"/>
        <w:adjustRightInd/>
        <w:spacing w:before="0" w:after="0" w:line="560" w:lineRule="exact"/>
        <w:ind w:firstLine="0" w:firstLineChars="0"/>
        <w:jc w:val="center"/>
        <w:textAlignment w:val="auto"/>
        <w:rPr>
          <w:rFonts w:hint="default" w:ascii="Times New Roman" w:hAnsi="Times New Roman" w:eastAsia="楷体" w:cs="Times New Roman"/>
          <w:b w:val="0"/>
          <w:bCs w:val="0"/>
          <w:color w:val="auto"/>
          <w:sz w:val="32"/>
          <w:szCs w:val="32"/>
          <w:highlight w:val="none"/>
        </w:rPr>
      </w:pPr>
      <w:bookmarkStart w:id="725" w:name="_Toc1187"/>
      <w:bookmarkStart w:id="726" w:name="_Toc13232"/>
      <w:bookmarkStart w:id="727" w:name="_Toc71287964"/>
      <w:bookmarkStart w:id="728" w:name="_Toc21430"/>
      <w:bookmarkStart w:id="729" w:name="_Toc28579"/>
      <w:bookmarkStart w:id="730" w:name="_Toc4018"/>
      <w:bookmarkStart w:id="731" w:name="_Toc473696624"/>
      <w:bookmarkStart w:id="732" w:name="_Toc26479"/>
      <w:bookmarkStart w:id="733" w:name="_Toc28370"/>
      <w:bookmarkStart w:id="734" w:name="_Toc31517"/>
      <w:bookmarkStart w:id="735" w:name="_Toc9553"/>
      <w:bookmarkStart w:id="736" w:name="_Toc3597"/>
      <w:bookmarkStart w:id="737" w:name="_Toc18408"/>
      <w:bookmarkStart w:id="738" w:name="_Toc536"/>
      <w:r>
        <w:rPr>
          <w:rFonts w:hint="default" w:ascii="Times New Roman" w:hAnsi="Times New Roman" w:eastAsia="楷体" w:cs="Times New Roman"/>
          <w:b w:val="0"/>
          <w:bCs w:val="0"/>
          <w:color w:val="auto"/>
          <w:sz w:val="32"/>
          <w:szCs w:val="32"/>
          <w:highlight w:val="none"/>
        </w:rPr>
        <w:t>第一</w:t>
      </w:r>
      <w:r>
        <w:rPr>
          <w:rFonts w:hint="default" w:ascii="Times New Roman" w:hAnsi="Times New Roman" w:eastAsia="楷体" w:cs="Times New Roman"/>
          <w:b w:val="0"/>
          <w:bCs w:val="0"/>
          <w:color w:val="auto"/>
          <w:sz w:val="32"/>
          <w:szCs w:val="32"/>
          <w:highlight w:val="none"/>
          <w:lang w:eastAsia="zh"/>
          <w:woUserID w:val="0"/>
        </w:rPr>
        <w:t>章</w:t>
      </w:r>
      <w:r>
        <w:rPr>
          <w:rFonts w:hint="default" w:ascii="Times New Roman" w:hAnsi="Times New Roman" w:eastAsia="楷体" w:cs="Times New Roman"/>
          <w:b w:val="0"/>
          <w:bCs w:val="0"/>
          <w:color w:val="auto"/>
          <w:sz w:val="32"/>
          <w:szCs w:val="32"/>
          <w:highlight w:val="none"/>
        </w:rPr>
        <w:t xml:space="preserve"> 优化提升传统优势产业</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p>
    <w:p w14:paraId="4DE56BE6">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val="en-US" w:eastAsia="zh-CN"/>
        </w:rPr>
        <w:t>以农产品</w:t>
      </w:r>
      <w:r>
        <w:rPr>
          <w:rFonts w:hint="default" w:ascii="Times New Roman" w:hAnsi="Times New Roman" w:eastAsia="仿宋_GB2312" w:cs="Times New Roman"/>
          <w:b w:val="0"/>
          <w:bCs w:val="0"/>
          <w:color w:val="auto"/>
          <w:sz w:val="32"/>
          <w:szCs w:val="32"/>
          <w:highlight w:val="none"/>
          <w:lang w:eastAsia="zh"/>
        </w:rPr>
        <w:t>精深加工、农机装备两大传统优势产业提档升级为核心抓手，以强链、补链、延链为主线，以提质、增效、赋能为关键路径，通过科技创新驱动、绿色转型引领、品牌能级提升，推动传统产业从要素驱动向创新驱动转型。</w:t>
      </w:r>
    </w:p>
    <w:p w14:paraId="4870FD55">
      <w:pPr>
        <w:keepNext w:val="0"/>
        <w:keepLines w:val="0"/>
        <w:pageBreakBefore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739" w:name="_Toc1859923289"/>
      <w:bookmarkStart w:id="740" w:name="_Toc331052172"/>
      <w:bookmarkStart w:id="741" w:name="_Toc5432"/>
      <w:bookmarkStart w:id="742" w:name="_Toc23312"/>
      <w:bookmarkStart w:id="743" w:name="_Toc13906"/>
      <w:bookmarkStart w:id="744" w:name="_Toc31705"/>
      <w:bookmarkStart w:id="745" w:name="_Toc10410"/>
      <w:bookmarkStart w:id="746" w:name="_Toc10477"/>
      <w:bookmarkStart w:id="747" w:name="_Toc5303"/>
      <w:bookmarkStart w:id="748" w:name="_Toc16589"/>
      <w:bookmarkStart w:id="749" w:name="_Toc14631"/>
      <w:r>
        <w:rPr>
          <w:rFonts w:hint="default" w:ascii="Times New Roman" w:hAnsi="Times New Roman" w:eastAsia="仿宋_GB2312" w:cs="Times New Roman"/>
          <w:b w:val="0"/>
          <w:bCs w:val="0"/>
          <w:color w:val="auto"/>
          <w:sz w:val="32"/>
          <w:szCs w:val="32"/>
          <w:highlight w:val="none"/>
          <w:u w:val="none"/>
          <w:lang w:eastAsia="zh" w:bidi="ar"/>
          <w:woUserID w:val="0"/>
        </w:rPr>
        <w:t xml:space="preserve">第一节 </w:t>
      </w:r>
      <w:r>
        <w:rPr>
          <w:rFonts w:hint="default" w:ascii="Times New Roman" w:hAnsi="Times New Roman" w:eastAsia="仿宋_GB2312" w:cs="Times New Roman"/>
          <w:b w:val="0"/>
          <w:bCs w:val="0"/>
          <w:color w:val="auto"/>
          <w:sz w:val="32"/>
          <w:szCs w:val="32"/>
          <w:highlight w:val="none"/>
          <w:u w:val="none"/>
          <w:lang w:val="en-US" w:eastAsia="zh-CN" w:bidi="ar"/>
          <w:woUserID w:val="0"/>
        </w:rPr>
        <w:t>打造农产品</w:t>
      </w:r>
      <w:bookmarkEnd w:id="739"/>
      <w:bookmarkEnd w:id="740"/>
      <w:r>
        <w:rPr>
          <w:rFonts w:hint="default" w:ascii="Times New Roman" w:hAnsi="Times New Roman" w:eastAsia="仿宋_GB2312" w:cs="Times New Roman"/>
          <w:b w:val="0"/>
          <w:bCs w:val="0"/>
          <w:color w:val="auto"/>
          <w:sz w:val="32"/>
          <w:szCs w:val="32"/>
          <w:highlight w:val="none"/>
          <w:u w:val="none"/>
          <w:lang w:val="en-US" w:eastAsia="zh-CN" w:bidi="ar"/>
          <w:woUserID w:val="0"/>
        </w:rPr>
        <w:t>产业集群</w:t>
      </w:r>
      <w:bookmarkEnd w:id="741"/>
      <w:bookmarkEnd w:id="742"/>
      <w:bookmarkEnd w:id="743"/>
      <w:bookmarkEnd w:id="744"/>
      <w:bookmarkEnd w:id="745"/>
      <w:bookmarkEnd w:id="746"/>
      <w:bookmarkEnd w:id="747"/>
      <w:bookmarkEnd w:id="748"/>
      <w:bookmarkEnd w:id="749"/>
    </w:p>
    <w:p w14:paraId="5E144F48">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秉持“粮头食尾、农头工尾”发展思路，聚焦稻米、玉米、大豆等产业，通过延链强链、品牌赋能，推动</w:t>
      </w:r>
      <w:r>
        <w:rPr>
          <w:rFonts w:hint="default" w:ascii="Times New Roman" w:hAnsi="Times New Roman" w:eastAsia="仿宋_GB2312" w:cs="Times New Roman"/>
          <w:b w:val="0"/>
          <w:bCs w:val="0"/>
          <w:color w:val="auto"/>
          <w:sz w:val="32"/>
          <w:szCs w:val="32"/>
          <w:highlight w:val="none"/>
          <w:lang w:val="en-US" w:eastAsia="zh-CN"/>
        </w:rPr>
        <w:t>农产品</w:t>
      </w:r>
      <w:r>
        <w:rPr>
          <w:rFonts w:hint="default" w:ascii="Times New Roman" w:hAnsi="Times New Roman" w:eastAsia="仿宋_GB2312" w:cs="Times New Roman"/>
          <w:b w:val="0"/>
          <w:bCs w:val="0"/>
          <w:color w:val="auto"/>
          <w:sz w:val="32"/>
          <w:szCs w:val="32"/>
          <w:highlight w:val="none"/>
          <w:lang w:eastAsia="zh"/>
        </w:rPr>
        <w:t>加工产业从规模优势向质量优势跃升，从初级加工向精深加工发展，为县域经济高质量发展筑牢产业根基。到2030年，全县</w:t>
      </w:r>
      <w:r>
        <w:rPr>
          <w:rFonts w:hint="default" w:ascii="Times New Roman" w:hAnsi="Times New Roman" w:eastAsia="仿宋_GB2312" w:cs="Times New Roman"/>
          <w:b w:val="0"/>
          <w:bCs w:val="0"/>
          <w:color w:val="auto"/>
          <w:sz w:val="32"/>
          <w:szCs w:val="32"/>
          <w:highlight w:val="none"/>
          <w:lang w:val="en-US" w:eastAsia="zh-CN"/>
        </w:rPr>
        <w:t>农产品</w:t>
      </w:r>
      <w:r>
        <w:rPr>
          <w:rFonts w:hint="default" w:ascii="Times New Roman" w:hAnsi="Times New Roman" w:eastAsia="仿宋_GB2312" w:cs="Times New Roman"/>
          <w:b w:val="0"/>
          <w:bCs w:val="0"/>
          <w:color w:val="auto"/>
          <w:sz w:val="32"/>
          <w:szCs w:val="32"/>
          <w:highlight w:val="none"/>
          <w:lang w:eastAsia="zh"/>
        </w:rPr>
        <w:t>精深加工业产值达到40亿元。</w:t>
      </w:r>
    </w:p>
    <w:p w14:paraId="5C0ECC44">
      <w:pPr>
        <w:keepNext w:val="0"/>
        <w:keepLines w:val="0"/>
        <w:pageBreakBefore w:val="0"/>
        <w:suppressAutoHyphen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bidi="ar"/>
        </w:rPr>
        <w:t>做强稻米精深加工产业集群。</w:t>
      </w:r>
      <w:r>
        <w:rPr>
          <w:rFonts w:hint="default" w:ascii="Times New Roman" w:hAnsi="Times New Roman" w:eastAsia="仿宋_GB2312" w:cs="Times New Roman"/>
          <w:b w:val="0"/>
          <w:bCs w:val="0"/>
          <w:color w:val="auto"/>
          <w:sz w:val="32"/>
          <w:szCs w:val="32"/>
          <w:highlight w:val="none"/>
          <w:lang w:eastAsia="zh"/>
        </w:rPr>
        <w:t>抢抓佳木斯</w:t>
      </w:r>
      <w:r>
        <w:rPr>
          <w:rFonts w:hint="default" w:ascii="Times New Roman" w:hAnsi="Times New Roman" w:eastAsia="仿宋_GB2312" w:cs="Times New Roman"/>
          <w:b w:val="0"/>
          <w:bCs w:val="0"/>
          <w:color w:val="auto"/>
          <w:sz w:val="32"/>
          <w:szCs w:val="32"/>
          <w:highlight w:val="none"/>
          <w:lang w:val="en-US" w:eastAsia="zh-CN"/>
        </w:rPr>
        <w:t>打造农产品</w:t>
      </w:r>
      <w:r>
        <w:rPr>
          <w:rFonts w:hint="default" w:ascii="Times New Roman" w:hAnsi="Times New Roman" w:eastAsia="仿宋_GB2312" w:cs="Times New Roman"/>
          <w:b w:val="0"/>
          <w:bCs w:val="0"/>
          <w:color w:val="auto"/>
          <w:sz w:val="32"/>
          <w:szCs w:val="32"/>
          <w:highlight w:val="none"/>
          <w:lang w:eastAsia="zh"/>
        </w:rPr>
        <w:t>加工产业集群、建设区域大米品牌等有利契机，大力发展品牌精米和大米淀粉等高成长性产品。深度释放稻米加工潜能，推动水稻加工产业链向速食米饭、米酒等精深加工方向延伸，打造黑龙江省稻米精深加工示范县。积极推进付士米业与中粮集团在稻米加工、油脂加工等领域强化合作，深度开发稻米全产业链。打响桦川糯稻品牌，引导稻草人米业等企业开发糯米粉、汤圆等精深加工食品，延长糯稻加工产业链。抢抓预制食品产业发展机遇，推进三绿源米业等企业研发多功能大米。积极招引速食米饭、功能健康代餐粉、米乳饮料、米糠饼干等项目，通过精深加工转化增值，全力提升稻米附加值。</w:t>
      </w:r>
    </w:p>
    <w:p w14:paraId="446FAD6F">
      <w:pPr>
        <w:keepNext w:val="0"/>
        <w:keepLines w:val="0"/>
        <w:pageBreakBefore w:val="0"/>
        <w:suppressAutoHyphen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bidi="ar"/>
        </w:rPr>
        <w:t>扩大玉米加工产业</w:t>
      </w:r>
      <w:r>
        <w:rPr>
          <w:rFonts w:hint="default" w:ascii="Times New Roman" w:hAnsi="Times New Roman" w:eastAsia="仿宋_GB2312" w:cs="Times New Roman"/>
          <w:b w:val="0"/>
          <w:bCs w:val="0"/>
          <w:color w:val="auto"/>
          <w:sz w:val="32"/>
          <w:szCs w:val="32"/>
          <w:highlight w:val="none"/>
          <w:lang w:eastAsia="zh" w:bidi="ar"/>
        </w:rPr>
        <w:t>能级。</w:t>
      </w:r>
      <w:r>
        <w:rPr>
          <w:rFonts w:hint="default" w:ascii="Times New Roman" w:hAnsi="Times New Roman" w:eastAsia="仿宋_GB2312" w:cs="Times New Roman"/>
          <w:b w:val="0"/>
          <w:bCs w:val="0"/>
          <w:color w:val="auto"/>
          <w:sz w:val="32"/>
          <w:szCs w:val="32"/>
          <w:highlight w:val="none"/>
          <w:lang w:eastAsia="zh"/>
        </w:rPr>
        <w:t>以百禾浆果合作社、食诺农业公司为重点，带动本地加工企业“退村入园”，引导玉米加工“小作坊”向标准化生产转型。重点开发玉米糁、玉米面、玉米糊等标准化生产线，打造玉米初加工产业集群。鼓励支持昊伟食品有限公司扩建生产线，新增真空包装、速冻保鲜等工艺，开发玉米汁、玉米糊等产品，延伸鲜食玉米产业链。加大对大鹏食品和汇鑫食品等企业扶持力度，鼓励企业开发玉米脆片、玉米发酵饮品等特色玉米加工产品。同步谋划玉米精深加工项目，积极招引高附加值产品企业落户桦川</w:t>
      </w:r>
      <w:r>
        <w:rPr>
          <w:rFonts w:hint="default" w:ascii="Times New Roman" w:hAnsi="Times New Roman" w:eastAsia="仿宋_GB2312" w:cs="Times New Roman"/>
          <w:b w:val="0"/>
          <w:bCs w:val="0"/>
          <w:color w:val="auto"/>
          <w:sz w:val="32"/>
          <w:szCs w:val="32"/>
          <w:highlight w:val="none"/>
          <w:lang w:eastAsia="zh-CN"/>
        </w:rPr>
        <w:t>。</w:t>
      </w:r>
    </w:p>
    <w:p w14:paraId="555E1221">
      <w:pPr>
        <w:keepNext w:val="0"/>
        <w:keepLines w:val="0"/>
        <w:pageBreakBefore w:val="0"/>
        <w:suppressAutoHyphen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bidi="ar"/>
        </w:rPr>
        <w:t>加快大豆加工产业</w:t>
      </w:r>
      <w:r>
        <w:rPr>
          <w:rFonts w:hint="default" w:ascii="Times New Roman" w:hAnsi="Times New Roman" w:eastAsia="仿宋_GB2312" w:cs="Times New Roman"/>
          <w:b w:val="0"/>
          <w:bCs w:val="0"/>
          <w:color w:val="auto"/>
          <w:sz w:val="32"/>
          <w:szCs w:val="32"/>
          <w:highlight w:val="none"/>
          <w:lang w:eastAsia="zh" w:bidi="ar"/>
        </w:rPr>
        <w:t>发展</w:t>
      </w:r>
      <w:r>
        <w:rPr>
          <w:rFonts w:hint="default" w:ascii="Times New Roman" w:hAnsi="Times New Roman" w:eastAsia="仿宋_GB2312" w:cs="Times New Roman"/>
          <w:b w:val="0"/>
          <w:bCs w:val="0"/>
          <w:color w:val="auto"/>
          <w:sz w:val="32"/>
          <w:szCs w:val="32"/>
          <w:highlight w:val="none"/>
          <w:lang w:bidi="ar"/>
        </w:rPr>
        <w:t>。</w:t>
      </w:r>
      <w:r>
        <w:rPr>
          <w:rFonts w:hint="default" w:ascii="Times New Roman" w:hAnsi="Times New Roman" w:eastAsia="仿宋_GB2312" w:cs="Times New Roman"/>
          <w:b w:val="0"/>
          <w:bCs w:val="0"/>
          <w:color w:val="auto"/>
          <w:sz w:val="32"/>
          <w:szCs w:val="32"/>
          <w:highlight w:val="none"/>
          <w:lang w:eastAsia="zh"/>
        </w:rPr>
        <w:t>支持翔河油米、桦誉粮油等企业在大豆制油领域进行技术升级和设备改造，提升大豆油脂精炼率、出油率。重点扶持小伙伴农副产品专业合作社笨榨豆油生产线的标准化生产建设，提升大豆原料综合利用率，进一步提高产能。鼓励企业向大豆蛋白、豆制品等高附加值领域延伸，增强市场竞争力。引导翔</w:t>
      </w:r>
      <w:r>
        <w:rPr>
          <w:rFonts w:hint="default" w:ascii="Times New Roman" w:hAnsi="Times New Roman" w:eastAsia="仿宋_GB2312" w:cs="Times New Roman"/>
          <w:b w:val="0"/>
          <w:bCs w:val="0"/>
          <w:color w:val="auto"/>
          <w:sz w:val="32"/>
          <w:szCs w:val="32"/>
          <w:highlight w:val="none"/>
          <w:lang w:val="en-US" w:eastAsia="zh-CN"/>
        </w:rPr>
        <w:t>河</w:t>
      </w:r>
      <w:r>
        <w:rPr>
          <w:rFonts w:hint="default" w:ascii="Times New Roman" w:hAnsi="Times New Roman" w:eastAsia="仿宋_GB2312" w:cs="Times New Roman"/>
          <w:b w:val="0"/>
          <w:bCs w:val="0"/>
          <w:color w:val="auto"/>
          <w:sz w:val="32"/>
          <w:szCs w:val="32"/>
          <w:highlight w:val="none"/>
          <w:lang w:eastAsia="zh"/>
        </w:rPr>
        <w:t>油米等企业加大研发投入，持续与东北农业大学、黑龙江省农业科学院等科研院所建立长期合作关系，共建研发中心或实验室。</w:t>
      </w:r>
    </w:p>
    <w:tbl>
      <w:tblPr>
        <w:tblStyle w:val="25"/>
        <w:tblW w:w="0" w:type="auto"/>
        <w:jc w:val="center"/>
        <w:tblLayout w:type="autofit"/>
        <w:tblCellMar>
          <w:top w:w="0" w:type="dxa"/>
          <w:left w:w="108" w:type="dxa"/>
          <w:bottom w:w="0" w:type="dxa"/>
          <w:right w:w="108" w:type="dxa"/>
        </w:tblCellMar>
      </w:tblPr>
      <w:tblGrid>
        <w:gridCol w:w="8296"/>
      </w:tblGrid>
      <w:tr w14:paraId="2C590016">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shd w:val="clear" w:color="auto" w:fill="auto"/>
          </w:tcPr>
          <w:p w14:paraId="0FC92780">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lang w:bidi="ar"/>
              </w:rPr>
              <w:t>专栏4-1 农产品精深加工专项行动</w:t>
            </w:r>
          </w:p>
        </w:tc>
      </w:tr>
      <w:tr w14:paraId="28B8014A">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shd w:val="clear" w:color="auto" w:fill="auto"/>
          </w:tcPr>
          <w:p w14:paraId="58CAED04">
            <w:pPr>
              <w:spacing w:line="360" w:lineRule="exact"/>
              <w:ind w:firstLine="420" w:firstLineChars="200"/>
              <w:rPr>
                <w:rFonts w:hint="eastAsia" w:ascii="仿宋_GB2312" w:hAnsi="仿宋_GB2312" w:eastAsia="仿宋_GB2312" w:cs="仿宋_GB2312"/>
                <w:b w:val="0"/>
                <w:bCs w:val="0"/>
                <w:color w:val="auto"/>
                <w:szCs w:val="21"/>
                <w:highlight w:val="none"/>
              </w:rPr>
            </w:pPr>
            <w:r>
              <w:rPr>
                <w:rFonts w:hint="eastAsia" w:ascii="仿宋_GB2312" w:hAnsi="仿宋_GB2312" w:eastAsia="仿宋_GB2312" w:cs="仿宋_GB2312"/>
                <w:b w:val="0"/>
                <w:bCs w:val="0"/>
                <w:color w:val="auto"/>
                <w:szCs w:val="21"/>
                <w:highlight w:val="none"/>
                <w:lang w:bidi="ar"/>
              </w:rPr>
              <w:t>做强稻米产业。依托稻米加工产能、稻米产业延链最长等优势，推动桦誉粮油利用稻米油精炼副产物皂角、脂肪酸，启动阿魏酸生产、脂肪酸加工项目，延伸稻米深加工产业链条。积极与江南大学、东北农业大学、哈尔滨商业大学、佳木斯大学等高校合作，开发风味炒饭、速食饭团等预制产品，重点招引速食米制品项目。</w:t>
            </w:r>
          </w:p>
          <w:p w14:paraId="46C6774D">
            <w:pPr>
              <w:spacing w:line="360" w:lineRule="exact"/>
              <w:ind w:firstLine="420" w:firstLineChars="200"/>
              <w:rPr>
                <w:rFonts w:hint="eastAsia" w:ascii="仿宋_GB2312" w:hAnsi="仿宋_GB2312" w:eastAsia="仿宋_GB2312" w:cs="仿宋_GB2312"/>
                <w:b w:val="0"/>
                <w:bCs w:val="0"/>
                <w:color w:val="auto"/>
                <w:szCs w:val="21"/>
                <w:highlight w:val="none"/>
              </w:rPr>
            </w:pPr>
            <w:r>
              <w:rPr>
                <w:rFonts w:hint="eastAsia" w:ascii="仿宋_GB2312" w:hAnsi="仿宋_GB2312" w:eastAsia="仿宋_GB2312" w:cs="仿宋_GB2312"/>
                <w:b w:val="0"/>
                <w:bCs w:val="0"/>
                <w:color w:val="auto"/>
                <w:szCs w:val="21"/>
                <w:highlight w:val="none"/>
                <w:lang w:bidi="ar"/>
              </w:rPr>
              <w:t>做精玉米产业。以食诺农业公司为核心，带动本地加工企业“退村入园”，开发打造玉米初加工产业集群。推动乾丰生化设备改造，实现企业复工生产。推动易浦5万吨甜糯玉米项目投产，提高全县鲜食玉米产量。推进汇水粮食加工厂与多多食品加工企业、哈商大对接，共同研发新品，推进玉米下游加工企业落地。支持大地酒业开发降血脂功能性红曲酒，打造“科技</w:t>
            </w:r>
            <w:r>
              <w:rPr>
                <w:rFonts w:hint="eastAsia" w:ascii="仿宋_GB2312" w:hAnsi="仿宋_GB2312" w:eastAsia="仿宋_GB2312" w:cs="仿宋_GB2312"/>
                <w:b w:val="0"/>
                <w:bCs w:val="0"/>
                <w:color w:val="auto"/>
                <w:szCs w:val="21"/>
                <w:highlight w:val="none"/>
                <w:lang w:val="en-US" w:eastAsia="zh-CN" w:bidi="ar"/>
              </w:rPr>
              <w:t>+</w:t>
            </w:r>
            <w:r>
              <w:rPr>
                <w:rFonts w:hint="eastAsia" w:ascii="仿宋_GB2312" w:hAnsi="仿宋_GB2312" w:eastAsia="仿宋_GB2312" w:cs="仿宋_GB2312"/>
                <w:b w:val="0"/>
                <w:bCs w:val="0"/>
                <w:color w:val="auto"/>
                <w:szCs w:val="21"/>
                <w:highlight w:val="none"/>
                <w:lang w:bidi="ar"/>
              </w:rPr>
              <w:t>健康”品牌标签。发挥苏家店、星火朝鲜族文化特色，大力打造“桦川特色”白酒、清酒、米酒、果酒品牌，充分利用新媒体，加大网络宣传力度，打响桦川酒类品牌。</w:t>
            </w:r>
          </w:p>
          <w:p w14:paraId="1B695F4D">
            <w:pPr>
              <w:spacing w:line="360" w:lineRule="exact"/>
              <w:ind w:firstLine="420" w:firstLineChars="200"/>
              <w:rPr>
                <w:rFonts w:hint="default" w:ascii="Times New Roman" w:hAnsi="Times New Roman" w:eastAsia="仿宋" w:cs="Times New Roman"/>
                <w:b w:val="0"/>
                <w:bCs w:val="0"/>
                <w:color w:val="auto"/>
                <w:szCs w:val="21"/>
                <w:highlight w:val="none"/>
              </w:rPr>
            </w:pPr>
            <w:r>
              <w:rPr>
                <w:rFonts w:hint="eastAsia" w:ascii="仿宋_GB2312" w:hAnsi="仿宋_GB2312" w:eastAsia="仿宋_GB2312" w:cs="仿宋_GB2312"/>
                <w:b w:val="0"/>
                <w:bCs w:val="0"/>
                <w:color w:val="auto"/>
                <w:szCs w:val="21"/>
                <w:highlight w:val="none"/>
                <w:lang w:bidi="ar"/>
              </w:rPr>
              <w:t>做新大豆产业。推动科技创新和产业创新融合发展。鼓励龙头企业加大研发投入，与东北农业大学、省农科院等科研院校建立长期合作关系，共建研发中心或实验室。推动翔河油米提高大豆油产量，小伙伴合作社与中国农科院合作，研发健康产品。针对大豆精深加工关键技术，如大豆蛋白提取技术、大豆油脂精炼技术、大豆副产物综合利用技术等，开展联合攻关，提升企业自主创新能力，推动“种植－压榨－蛋白提取－休闲食品”全链升级。</w:t>
            </w:r>
          </w:p>
        </w:tc>
      </w:tr>
    </w:tbl>
    <w:p w14:paraId="640CAA22">
      <w:pPr>
        <w:keepNext w:val="0"/>
        <w:keepLines w:val="0"/>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750" w:name="_Toc15273"/>
      <w:bookmarkStart w:id="751" w:name="_Toc16278"/>
      <w:bookmarkStart w:id="752" w:name="_Toc12120"/>
      <w:bookmarkStart w:id="753" w:name="_Toc298537694"/>
      <w:bookmarkStart w:id="754" w:name="_Toc1616041224"/>
      <w:bookmarkStart w:id="755" w:name="_Toc29047"/>
      <w:bookmarkStart w:id="756" w:name="_Toc24516"/>
      <w:bookmarkStart w:id="757" w:name="_Toc18946"/>
      <w:bookmarkStart w:id="758" w:name="_Toc18784"/>
      <w:bookmarkStart w:id="759" w:name="_Toc1359"/>
      <w:bookmarkStart w:id="760" w:name="_Toc8654"/>
      <w:r>
        <w:rPr>
          <w:rFonts w:hint="default" w:ascii="Times New Roman" w:hAnsi="Times New Roman" w:eastAsia="仿宋_GB2312" w:cs="Times New Roman"/>
          <w:b w:val="0"/>
          <w:bCs w:val="0"/>
          <w:color w:val="auto"/>
          <w:sz w:val="32"/>
          <w:szCs w:val="32"/>
          <w:highlight w:val="none"/>
          <w:u w:val="none"/>
          <w:lang w:eastAsia="zh" w:bidi="ar"/>
          <w:woUserID w:val="0"/>
        </w:rPr>
        <w:t>第二节 壮大提升农机装备产业集群</w:t>
      </w:r>
      <w:bookmarkEnd w:id="750"/>
      <w:bookmarkEnd w:id="751"/>
      <w:bookmarkEnd w:id="752"/>
      <w:bookmarkEnd w:id="753"/>
      <w:bookmarkEnd w:id="754"/>
      <w:bookmarkEnd w:id="755"/>
      <w:bookmarkEnd w:id="756"/>
      <w:bookmarkEnd w:id="757"/>
      <w:bookmarkEnd w:id="758"/>
      <w:bookmarkEnd w:id="759"/>
      <w:bookmarkEnd w:id="760"/>
    </w:p>
    <w:p w14:paraId="2F85A85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抢抓佳木斯市建设黑龙江省大型大马力高端智能农机装备研发制造推广应用先导区、全力打造“北国农机城”的重大机遇，全面构建农机装备“一区三中心”，将桦川打造为黑龙江省东部地区最大的特色智慧农机装备制造、配套和销售产业集聚区。</w:t>
      </w:r>
    </w:p>
    <w:p w14:paraId="57470D66">
      <w:pPr>
        <w:keepNext w:val="0"/>
        <w:keepLines w:val="0"/>
        <w:pageBreakBefore w:val="0"/>
        <w:widowControl w:val="0"/>
        <w:suppressAutoHyphen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bidi="ar"/>
        </w:rPr>
        <w:t>加快推动农机</w:t>
      </w:r>
      <w:r>
        <w:rPr>
          <w:rFonts w:hint="eastAsia" w:eastAsia="仿宋_GB2312" w:cs="Times New Roman"/>
          <w:b w:val="0"/>
          <w:bCs w:val="0"/>
          <w:color w:val="auto"/>
          <w:sz w:val="32"/>
          <w:szCs w:val="32"/>
          <w:highlight w:val="none"/>
          <w:lang w:eastAsia="zh-CN" w:bidi="ar"/>
        </w:rPr>
        <w:t>制造业技术创新</w:t>
      </w:r>
      <w:r>
        <w:rPr>
          <w:rFonts w:hint="default" w:ascii="Times New Roman" w:hAnsi="Times New Roman" w:eastAsia="仿宋_GB2312" w:cs="Times New Roman"/>
          <w:b w:val="0"/>
          <w:bCs w:val="0"/>
          <w:color w:val="auto"/>
          <w:sz w:val="32"/>
          <w:szCs w:val="32"/>
          <w:highlight w:val="none"/>
          <w:lang w:bidi="ar"/>
        </w:rPr>
        <w:t>。</w:t>
      </w:r>
      <w:r>
        <w:rPr>
          <w:rFonts w:hint="default" w:ascii="Times New Roman" w:hAnsi="Times New Roman" w:eastAsia="仿宋_GB2312" w:cs="Times New Roman"/>
          <w:b w:val="0"/>
          <w:bCs w:val="0"/>
          <w:color w:val="auto"/>
          <w:sz w:val="32"/>
          <w:szCs w:val="32"/>
          <w:highlight w:val="none"/>
          <w:lang w:eastAsia="zh"/>
        </w:rPr>
        <w:t>大力研发烟草种植筑埂、覆膜、植保、收割全过程机械设备，着力打造全省最大的烟草农业全程机械化设备生产基地。依托鲜食玉米产业优势，积极推进鲜食玉米收割机、鲜食玉米脱粒机等农机整机制造项目。聚焦农机装备与配套材料领域技术升级，深化产学研协同合作。对接哈尔滨工业大学、省农机院、佳木斯大学等高校科研院所，争取中国农机院在我县设立专家工作站，推动鑫沣塑料科技与哈工大共建省级重点实验室，助力企业突破改性材料研发瓶颈；指导立伟农机、桦明机械等企业升级产品智能控制系统，加快智能化迭代步伐。建立宇峰机械、利佳农机等配套企业技术需求清单，常态化开展科技成果供需对接，促进成果落地转化。支持企业创办实训基地，推动鑫沣塑料科技、立伟农机等与省内外高校开展人才培育合作，组织技术员工入校跟岗学习，为产业发展夯实人才基础。</w:t>
      </w:r>
    </w:p>
    <w:p w14:paraId="42B72A49">
      <w:pPr>
        <w:keepNext w:val="0"/>
        <w:keepLines w:val="0"/>
        <w:pageBreakBefore w:val="0"/>
        <w:widowControl w:val="0"/>
        <w:suppressAutoHyphens/>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bidi="ar"/>
        </w:rPr>
        <w:t>稳步推进农机整机产业提档升级。</w:t>
      </w:r>
      <w:r>
        <w:rPr>
          <w:rFonts w:hint="default" w:ascii="Times New Roman" w:hAnsi="Times New Roman" w:eastAsia="仿宋_GB2312" w:cs="Times New Roman"/>
          <w:b w:val="0"/>
          <w:bCs w:val="0"/>
          <w:color w:val="auto"/>
          <w:sz w:val="32"/>
          <w:szCs w:val="32"/>
          <w:highlight w:val="none"/>
          <w:lang w:eastAsia="zh"/>
        </w:rPr>
        <w:t>优化农机产业园建设，全面提升水、电、热、通信等基础设施，做强发展“硬支撑”。积极推动鸿盛机械、瑞扬农机等企业搬迁入园，构建“集约高效、链条协同”的发展格局。围绕农机整机生产、零部件制造、智能化改造、售后服务等环节，持续对接山东、河北等地重点企业，精准招引一批中小型整机装备、智慧农机等项目，构建农机装备产业链，全面提升产业竞争力。持续落实农机报废更新补贴政策，引导农民淘汰老旧农机，置换新型装备，推动农机装备产业发展。到2030年，全县实现年产农机配件20万件以上，推广智能播种机、加装卫星终端1300台以上，落实农机报废更新补贴3000台（套）以上。</w:t>
      </w:r>
    </w:p>
    <w:p w14:paraId="36D556EA">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outlineLvl w:val="9"/>
        <w:rPr>
          <w:rFonts w:hint="default" w:ascii="Times New Roman" w:hAnsi="Times New Roman" w:eastAsia="仿宋" w:cs="Times New Roman"/>
          <w:b w:val="0"/>
          <w:bCs w:val="0"/>
          <w:color w:val="auto"/>
          <w:sz w:val="32"/>
          <w:szCs w:val="32"/>
          <w:highlight w:val="none"/>
          <w:lang w:bidi="ar"/>
        </w:rPr>
      </w:pPr>
      <w:r>
        <w:rPr>
          <w:rFonts w:hint="default" w:ascii="Times New Roman" w:hAnsi="Times New Roman" w:eastAsia="仿宋_GB2312" w:cs="Times New Roman"/>
          <w:b w:val="0"/>
          <w:bCs w:val="0"/>
          <w:color w:val="auto"/>
          <w:sz w:val="32"/>
          <w:szCs w:val="32"/>
          <w:highlight w:val="none"/>
          <w:lang w:bidi="ar"/>
        </w:rPr>
        <w:t>推动农机制造业“引进来”与“走出去”。</w:t>
      </w:r>
      <w:r>
        <w:rPr>
          <w:rFonts w:hint="default" w:ascii="Times New Roman" w:hAnsi="Times New Roman" w:eastAsia="仿宋_GB2312" w:cs="Times New Roman"/>
          <w:b w:val="0"/>
          <w:bCs w:val="0"/>
          <w:color w:val="auto"/>
          <w:sz w:val="32"/>
          <w:szCs w:val="32"/>
          <w:highlight w:val="none"/>
          <w:lang w:eastAsia="zh"/>
        </w:rPr>
        <w:t>组织宇峰机械、鑫沣塑料科技等农机配套企业与北大荒垦征、约翰迪尔、佳木斯骥驰等农机整机制造企业开展对接洽谈，争取收割机前后桥、割台、焊接件、冲压件、塑料件、驾驶室等配套加工订单。持续深化农机制造业对外开放合作，积极争取承办中俄农机展或分会场，组织企业外出参加国内哈洽会、中俄农机展等大型展会，将桦川打造成黑龙江东部地区最大的农机配件集散地。到2030年，全县农机装备产业产值突破亿元，</w:t>
      </w:r>
      <w:r>
        <w:rPr>
          <w:rFonts w:hint="default" w:ascii="Times New Roman" w:hAnsi="Times New Roman" w:eastAsia="仿宋_GB2312" w:cs="Times New Roman"/>
          <w:b w:val="0"/>
          <w:bCs w:val="0"/>
          <w:color w:val="auto"/>
          <w:sz w:val="32"/>
          <w:szCs w:val="32"/>
          <w:highlight w:val="none"/>
          <w:lang w:val="en-US" w:eastAsia="zh-CN"/>
        </w:rPr>
        <w:t>规上农机装备企业达到3户以上。</w:t>
      </w:r>
    </w:p>
    <w:tbl>
      <w:tblPr>
        <w:tblStyle w:val="25"/>
        <w:tblW w:w="0" w:type="auto"/>
        <w:jc w:val="center"/>
        <w:tblLayout w:type="autofit"/>
        <w:tblCellMar>
          <w:top w:w="0" w:type="dxa"/>
          <w:left w:w="108" w:type="dxa"/>
          <w:bottom w:w="0" w:type="dxa"/>
          <w:right w:w="108" w:type="dxa"/>
        </w:tblCellMar>
      </w:tblPr>
      <w:tblGrid>
        <w:gridCol w:w="8296"/>
      </w:tblGrid>
      <w:tr w14:paraId="329AC7F5">
        <w:tblPrEx>
          <w:tblCellMar>
            <w:top w:w="0" w:type="dxa"/>
            <w:left w:w="108" w:type="dxa"/>
            <w:bottom w:w="0" w:type="dxa"/>
            <w:right w:w="108" w:type="dxa"/>
          </w:tblCellMar>
        </w:tblPrEx>
        <w:trPr>
          <w:trHeight w:val="373" w:hRule="atLeast"/>
          <w:jc w:val="center"/>
        </w:trPr>
        <w:tc>
          <w:tcPr>
            <w:tcW w:w="8296" w:type="dxa"/>
            <w:tcBorders>
              <w:top w:val="single" w:color="auto" w:sz="4" w:space="0"/>
              <w:left w:val="single" w:color="auto" w:sz="4" w:space="0"/>
              <w:bottom w:val="single" w:color="auto" w:sz="4" w:space="0"/>
              <w:right w:val="single" w:color="auto" w:sz="4" w:space="0"/>
            </w:tcBorders>
            <w:shd w:val="clear" w:color="auto" w:fill="auto"/>
          </w:tcPr>
          <w:p w14:paraId="23D8871E">
            <w:pPr>
              <w:spacing w:line="360" w:lineRule="exact"/>
              <w:ind w:firstLine="480" w:firstLineChars="200"/>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lang w:bidi="ar"/>
              </w:rPr>
              <w:t>专栏4-2 桦川县农机装备“一区三中心”</w:t>
            </w:r>
          </w:p>
        </w:tc>
      </w:tr>
      <w:tr w14:paraId="7097B3A3">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shd w:val="clear" w:color="auto" w:fill="auto"/>
          </w:tcPr>
          <w:p w14:paraId="5F0E50BA">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lang w:bidi="ar"/>
              </w:rPr>
              <w:t>打造寒地农机整机制造中心</w:t>
            </w:r>
            <w:r>
              <w:rPr>
                <w:rFonts w:hint="default" w:ascii="Times New Roman" w:hAnsi="Times New Roman" w:eastAsia="仿宋_GB2312" w:cs="Times New Roman"/>
                <w:b w:val="0"/>
                <w:bCs w:val="0"/>
                <w:color w:val="auto"/>
                <w:szCs w:val="21"/>
                <w:highlight w:val="none"/>
                <w:lang w:eastAsia="zh-CN" w:bidi="ar"/>
              </w:rPr>
              <w:t>。</w:t>
            </w:r>
            <w:r>
              <w:rPr>
                <w:rFonts w:hint="default" w:ascii="Times New Roman" w:hAnsi="Times New Roman" w:eastAsia="仿宋_GB2312" w:cs="Times New Roman"/>
                <w:b w:val="0"/>
                <w:bCs w:val="0"/>
                <w:color w:val="auto"/>
                <w:szCs w:val="21"/>
                <w:highlight w:val="none"/>
                <w:lang w:bidi="ar"/>
              </w:rPr>
              <w:t>谋划农机产业园项目，建设标准化厂房9个，面积3.7万平方米，推进县域内农机制造及配套企业入园发展，招引全国知名农机企业来桦投资，实现桦川农机装备产业集聚发展。推进春生农机、桦明机械等企业改进产品智能控制系统，加快产品智能化迭代升级，巩固桦川在全省烤烟机械、水稻大棚育秧机市场的领先地位。积极引导立伟农机在现有企业厂区基础上，加大科技研发投入，延伸产业链，建设拖拉机整机制造项目，填补桦川大型农机产业空白。</w:t>
            </w:r>
          </w:p>
          <w:p w14:paraId="585BAF0C">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lang w:bidi="ar"/>
              </w:rPr>
              <w:t>打造智慧农机装备配套中心。鼓励校企合作，释放产业活力，对接哈工大、佳木斯大学、中国农机院等高校院所，常态化开展科技成果供需对接活动。积极争取中国农机院在桦川建立专家工作站，推进鑫沣塑料科技与哈工大对接，力争共建省重点实验室，帮助企业在改性材料研发方面突破技术瓶颈，提高生产效率及产品质量。组织宇峰机械、鑫沣塑料科技等农机配套企业与北大荒垦征、约翰迪尔、佳木斯骥驰等农机整机制造企业对接洽谈，争取收割机前后桥、割台、焊接件、冲压件、塑料件、驾驶室等配套加工订单。建立梯度培育机制，将县域内农机制造及配套企业纳入规上企业培育库，实施动态监测，重点培育鑫沣塑料科技、立伟农机、宇峰机械等</w:t>
            </w:r>
            <w:r>
              <w:rPr>
                <w:rFonts w:hint="eastAsia" w:eastAsia="仿宋_GB2312" w:cs="Times New Roman"/>
                <w:b w:val="0"/>
                <w:bCs w:val="0"/>
                <w:color w:val="auto"/>
                <w:szCs w:val="21"/>
                <w:highlight w:val="none"/>
                <w:lang w:eastAsia="zh-CN" w:bidi="ar"/>
              </w:rPr>
              <w:t>有发展潜力</w:t>
            </w:r>
            <w:r>
              <w:rPr>
                <w:rFonts w:hint="default" w:ascii="Times New Roman" w:hAnsi="Times New Roman" w:eastAsia="仿宋_GB2312" w:cs="Times New Roman"/>
                <w:b w:val="0"/>
                <w:bCs w:val="0"/>
                <w:color w:val="auto"/>
                <w:szCs w:val="21"/>
                <w:highlight w:val="none"/>
                <w:lang w:bidi="ar"/>
              </w:rPr>
              <w:t>的企业升规入统。</w:t>
            </w:r>
          </w:p>
          <w:p w14:paraId="318904D0">
            <w:pPr>
              <w:spacing w:line="360" w:lineRule="exact"/>
              <w:ind w:firstLine="420" w:firstLineChars="200"/>
              <w:rPr>
                <w:rFonts w:hint="default" w:ascii="Times New Roman" w:hAnsi="Times New Roman" w:eastAsia="仿宋"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lang w:bidi="ar"/>
              </w:rPr>
              <w:t>打造东极农机配件销售中心</w:t>
            </w:r>
            <w:r>
              <w:rPr>
                <w:rFonts w:hint="default" w:ascii="Times New Roman" w:hAnsi="Times New Roman" w:eastAsia="仿宋_GB2312" w:cs="Times New Roman"/>
                <w:b w:val="0"/>
                <w:bCs w:val="0"/>
                <w:color w:val="auto"/>
                <w:szCs w:val="21"/>
                <w:highlight w:val="none"/>
                <w:lang w:eastAsia="zh-CN" w:bidi="ar"/>
              </w:rPr>
              <w:t>。</w:t>
            </w:r>
            <w:r>
              <w:rPr>
                <w:rFonts w:hint="default" w:ascii="Times New Roman" w:hAnsi="Times New Roman" w:eastAsia="仿宋_GB2312" w:cs="Times New Roman"/>
                <w:b w:val="0"/>
                <w:bCs w:val="0"/>
                <w:color w:val="auto"/>
                <w:szCs w:val="21"/>
                <w:highlight w:val="none"/>
                <w:lang w:bidi="ar"/>
              </w:rPr>
              <w:t>依托立伟农机销售平台，进一步扩大农机配件销售种类，加大对外宣传力度，将立伟农机打造成为黑龙江东部地区最大的农机零部件销售企业，辐射双鸭山、鹤岗、佳木斯等地。积极推广农用无人机应用，建立农用无人机培训基地，进行高效、精准的农业生产作业，提升农业生产的现代化水平和经济效益。推进农机大市场规范化经营，充分开发空闲商服等资源，规划产品展示区、绿化景观带，提供农机购置、报废补贴一站式申报服务，吸引县域内农机整机、配件销售企业入驻，将桦川打造成为黑龙江东部地区最大的农机配件集散地。</w:t>
            </w:r>
          </w:p>
        </w:tc>
      </w:tr>
    </w:tbl>
    <w:p w14:paraId="68ACD32F">
      <w:pPr>
        <w:pStyle w:val="3"/>
        <w:keepNext w:val="0"/>
        <w:keepLines w:val="0"/>
        <w:pageBreakBefore w:val="0"/>
        <w:widowControl/>
        <w:kinsoku/>
        <w:wordWrap/>
        <w:overflowPunct/>
        <w:topLinePunct w:val="0"/>
        <w:autoSpaceDE/>
        <w:autoSpaceDN/>
        <w:bidi w:val="0"/>
        <w:adjustRightInd/>
        <w:spacing w:before="0" w:after="0" w:line="560" w:lineRule="exact"/>
        <w:ind w:firstLine="0" w:firstLineChars="0"/>
        <w:jc w:val="center"/>
        <w:textAlignment w:val="auto"/>
        <w:rPr>
          <w:rFonts w:hint="default" w:ascii="Times New Roman" w:hAnsi="Times New Roman" w:eastAsia="楷体" w:cs="Times New Roman"/>
          <w:b w:val="0"/>
          <w:bCs/>
          <w:color w:val="auto"/>
          <w:sz w:val="32"/>
          <w:szCs w:val="32"/>
          <w:highlight w:val="none"/>
        </w:rPr>
      </w:pPr>
      <w:bookmarkStart w:id="761" w:name="_Toc30576"/>
      <w:bookmarkStart w:id="762" w:name="_Toc2023"/>
      <w:bookmarkStart w:id="763" w:name="_Toc691454727"/>
      <w:bookmarkStart w:id="764" w:name="_Toc921"/>
      <w:bookmarkStart w:id="765" w:name="_Toc15894"/>
      <w:bookmarkStart w:id="766" w:name="_Toc1889932269"/>
      <w:bookmarkStart w:id="767" w:name="_Toc30235"/>
      <w:bookmarkStart w:id="768" w:name="_Toc4279"/>
      <w:bookmarkStart w:id="769" w:name="_Toc3831"/>
      <w:bookmarkStart w:id="770" w:name="_Toc32012"/>
      <w:bookmarkStart w:id="771" w:name="_Toc20148"/>
      <w:bookmarkStart w:id="772" w:name="_Toc15479"/>
      <w:bookmarkStart w:id="773" w:name="_Toc15805"/>
      <w:bookmarkStart w:id="774" w:name="_Toc8650"/>
      <w:r>
        <w:rPr>
          <w:rFonts w:hint="default" w:ascii="Times New Roman" w:hAnsi="Times New Roman" w:eastAsia="楷体" w:cs="Times New Roman"/>
          <w:b w:val="0"/>
          <w:bCs/>
          <w:color w:val="auto"/>
          <w:sz w:val="32"/>
          <w:szCs w:val="32"/>
          <w:highlight w:val="none"/>
        </w:rPr>
        <w:t>第二</w:t>
      </w:r>
      <w:r>
        <w:rPr>
          <w:rFonts w:hint="default" w:ascii="Times New Roman" w:hAnsi="Times New Roman" w:eastAsia="楷体" w:cs="Times New Roman"/>
          <w:b w:val="0"/>
          <w:bCs/>
          <w:color w:val="auto"/>
          <w:sz w:val="32"/>
          <w:szCs w:val="32"/>
          <w:highlight w:val="none"/>
          <w:lang w:eastAsia="zh"/>
          <w:woUserID w:val="0"/>
        </w:rPr>
        <w:t>章</w:t>
      </w:r>
      <w:r>
        <w:rPr>
          <w:rFonts w:hint="default" w:ascii="Times New Roman" w:hAnsi="Times New Roman" w:eastAsia="楷体" w:cs="Times New Roman"/>
          <w:b w:val="0"/>
          <w:bCs/>
          <w:color w:val="auto"/>
          <w:sz w:val="32"/>
          <w:szCs w:val="32"/>
          <w:highlight w:val="none"/>
        </w:rPr>
        <w:t xml:space="preserve"> 布局培育壮大新兴产业</w:t>
      </w:r>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p>
    <w:p w14:paraId="393B9864">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bookmarkStart w:id="775" w:name="_Toc947933904"/>
      <w:bookmarkStart w:id="776" w:name="_Toc2083899026"/>
      <w:r>
        <w:rPr>
          <w:rFonts w:hint="default" w:ascii="Times New Roman" w:hAnsi="Times New Roman" w:eastAsia="仿宋_GB2312" w:cs="Times New Roman"/>
          <w:b w:val="0"/>
          <w:bCs/>
          <w:color w:val="auto"/>
          <w:sz w:val="32"/>
          <w:szCs w:val="32"/>
          <w:highlight w:val="none"/>
          <w:lang w:eastAsia="zh"/>
        </w:rPr>
        <w:t>把握新兴产业和未来产业发展趋势，着力完善产业发展生态，以生物制造、新型化工、绿色循环、新能源和低空经济为重点，推动实体经济与数字经济融合发展，谋划战略性新兴产业与未来产业，培育桦川产业发展新动能。</w:t>
      </w:r>
    </w:p>
    <w:p w14:paraId="7C6956E1">
      <w:pPr>
        <w:keepNext w:val="0"/>
        <w:keepLines w:val="0"/>
        <w:pageBreakBefore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777" w:name="_Toc21423"/>
      <w:bookmarkStart w:id="778" w:name="_Toc31756"/>
      <w:bookmarkStart w:id="779" w:name="_Toc9092"/>
      <w:bookmarkStart w:id="780" w:name="_Toc5091"/>
      <w:bookmarkStart w:id="781" w:name="_Toc9739"/>
      <w:bookmarkStart w:id="782" w:name="_Toc27968"/>
      <w:bookmarkStart w:id="783" w:name="_Toc14283"/>
      <w:bookmarkStart w:id="784" w:name="_Toc7785"/>
      <w:bookmarkStart w:id="785" w:name="_Toc21449"/>
      <w:r>
        <w:rPr>
          <w:rFonts w:hint="default" w:ascii="Times New Roman" w:hAnsi="Times New Roman" w:eastAsia="仿宋_GB2312" w:cs="Times New Roman"/>
          <w:b w:val="0"/>
          <w:bCs/>
          <w:color w:val="auto"/>
          <w:sz w:val="32"/>
          <w:szCs w:val="32"/>
          <w:highlight w:val="none"/>
          <w:u w:val="none"/>
          <w:lang w:eastAsia="zh" w:bidi="ar"/>
          <w:woUserID w:val="0"/>
        </w:rPr>
        <w:t>第一节 加快发展生物制造产业</w:t>
      </w:r>
      <w:bookmarkEnd w:id="775"/>
      <w:bookmarkEnd w:id="776"/>
      <w:bookmarkEnd w:id="777"/>
      <w:bookmarkEnd w:id="778"/>
      <w:bookmarkEnd w:id="779"/>
      <w:bookmarkEnd w:id="780"/>
      <w:bookmarkEnd w:id="781"/>
      <w:bookmarkEnd w:id="782"/>
      <w:bookmarkEnd w:id="783"/>
      <w:bookmarkEnd w:id="784"/>
      <w:bookmarkEnd w:id="785"/>
    </w:p>
    <w:p w14:paraId="6F67721A">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聚焦生物育种和生物化工重点产业，扶持壮大现有重点企业，积极引进生物医药、生物制造项目与企业，延长生物经济产业链条。加快建设水稻育种科研基地，购置基因编辑育种试验设备和自动化生产加工设备，从常规育种、杂交育种向分子育种、基因靶向技术发展，增强稳产保供能力。重点发展除草剂、杀虫剂、杀菌剂、健康灭蚊用品等农药产品，加快推进恒农生物年产万吨生物农药项目建设，打造从农药中间体、原料药、制剂等上下游产业协同发展的新型农药产业集群。重点围绕谷维素、香兰素等高附加值产品谋划医药中间体、生物制剂项目。加强与中国农业科学院、黑龙江省农业科学院、黑龙江八一农垦大学等高校院所合作，研发高产、高质、</w:t>
      </w:r>
      <w:r>
        <w:rPr>
          <w:rFonts w:hint="eastAsia" w:eastAsia="仿宋_GB2312" w:cs="Times New Roman"/>
          <w:b w:val="0"/>
          <w:bCs/>
          <w:color w:val="auto"/>
          <w:sz w:val="32"/>
          <w:szCs w:val="32"/>
          <w:highlight w:val="none"/>
          <w:lang w:eastAsia="zh-CN"/>
        </w:rPr>
        <w:t>多</w:t>
      </w:r>
      <w:r>
        <w:rPr>
          <w:rFonts w:hint="default" w:ascii="Times New Roman" w:hAnsi="Times New Roman" w:eastAsia="仿宋_GB2312" w:cs="Times New Roman"/>
          <w:b w:val="0"/>
          <w:bCs/>
          <w:color w:val="auto"/>
          <w:sz w:val="32"/>
          <w:szCs w:val="32"/>
          <w:highlight w:val="none"/>
          <w:lang w:eastAsia="zh"/>
        </w:rPr>
        <w:t>抗</w:t>
      </w:r>
      <w:r>
        <w:rPr>
          <w:rFonts w:hint="eastAsia" w:eastAsia="仿宋_GB2312" w:cs="Times New Roman"/>
          <w:b w:val="0"/>
          <w:bCs/>
          <w:color w:val="auto"/>
          <w:sz w:val="32"/>
          <w:szCs w:val="32"/>
          <w:highlight w:val="none"/>
          <w:lang w:eastAsia="zh-CN"/>
        </w:rPr>
        <w:t>新品种</w:t>
      </w:r>
      <w:r>
        <w:rPr>
          <w:rFonts w:hint="default" w:ascii="Times New Roman" w:hAnsi="Times New Roman" w:eastAsia="仿宋_GB2312" w:cs="Times New Roman"/>
          <w:b w:val="0"/>
          <w:bCs/>
          <w:color w:val="auto"/>
          <w:sz w:val="32"/>
          <w:szCs w:val="32"/>
          <w:highlight w:val="none"/>
          <w:lang w:eastAsia="zh"/>
        </w:rPr>
        <w:t>。重点发展具有特色和高附加值的原料药、医药中间体、生物制药、中药生产加工产品。到2030年，全县规上生物经济总产值突破2.5亿元。</w:t>
      </w:r>
    </w:p>
    <w:p w14:paraId="60C00590">
      <w:pPr>
        <w:keepNext w:val="0"/>
        <w:keepLines w:val="0"/>
        <w:pageBreakBefore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786" w:name="_Toc1825"/>
      <w:bookmarkStart w:id="787" w:name="_Toc19783"/>
      <w:bookmarkStart w:id="788" w:name="_Toc31164"/>
      <w:bookmarkStart w:id="789" w:name="_Toc790544604"/>
      <w:bookmarkStart w:id="790" w:name="_Toc7215"/>
      <w:bookmarkStart w:id="791" w:name="_Toc9979"/>
      <w:bookmarkStart w:id="792" w:name="_Toc20671"/>
      <w:bookmarkStart w:id="793" w:name="_Toc3617"/>
      <w:bookmarkStart w:id="794" w:name="_Toc6806"/>
      <w:bookmarkStart w:id="795" w:name="_Toc846712336"/>
      <w:bookmarkStart w:id="796" w:name="_Toc21210"/>
      <w:r>
        <w:rPr>
          <w:rFonts w:hint="default" w:ascii="Times New Roman" w:hAnsi="Times New Roman" w:eastAsia="仿宋_GB2312" w:cs="Times New Roman"/>
          <w:b w:val="0"/>
          <w:bCs/>
          <w:color w:val="auto"/>
          <w:sz w:val="32"/>
          <w:szCs w:val="32"/>
          <w:highlight w:val="none"/>
          <w:u w:val="none"/>
          <w:lang w:eastAsia="zh" w:bidi="ar"/>
          <w:woUserID w:val="0"/>
        </w:rPr>
        <w:t>第二节 积极打造新型化工产业</w:t>
      </w:r>
      <w:bookmarkEnd w:id="786"/>
      <w:bookmarkEnd w:id="787"/>
      <w:bookmarkEnd w:id="788"/>
      <w:bookmarkEnd w:id="789"/>
      <w:bookmarkEnd w:id="790"/>
      <w:bookmarkEnd w:id="791"/>
      <w:bookmarkEnd w:id="792"/>
      <w:bookmarkEnd w:id="793"/>
      <w:bookmarkEnd w:id="794"/>
      <w:bookmarkEnd w:id="795"/>
      <w:bookmarkEnd w:id="796"/>
    </w:p>
    <w:p w14:paraId="3CC2EF06">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充分发挥桦西工业园区位优势，承接</w:t>
      </w:r>
      <w:r>
        <w:rPr>
          <w:rFonts w:hint="default" w:ascii="Times New Roman" w:hAnsi="Times New Roman" w:eastAsia="仿宋_GB2312" w:cs="Times New Roman"/>
          <w:b w:val="0"/>
          <w:bCs/>
          <w:color w:val="auto"/>
          <w:sz w:val="32"/>
          <w:szCs w:val="32"/>
          <w:highlight w:val="none"/>
          <w:lang w:val="en-US" w:eastAsia="zh-CN"/>
        </w:rPr>
        <w:t>发达</w:t>
      </w:r>
      <w:r>
        <w:rPr>
          <w:rFonts w:hint="default" w:ascii="Times New Roman" w:hAnsi="Times New Roman" w:eastAsia="仿宋_GB2312" w:cs="Times New Roman"/>
          <w:b w:val="0"/>
          <w:bCs/>
          <w:color w:val="auto"/>
          <w:sz w:val="32"/>
          <w:szCs w:val="32"/>
          <w:highlight w:val="none"/>
          <w:lang w:eastAsia="zh"/>
        </w:rPr>
        <w:t>地区化工产业转移，加快发展煤化工等新型化工产业。以煤炭深加工和天然气综合利用为主线，重点发展煤制汽油、煤制腐殖酸等煤化工产业，构建新型化工产业集群，推动化工产业向</w:t>
      </w:r>
      <w:r>
        <w:rPr>
          <w:rFonts w:hint="eastAsia" w:eastAsia="仿宋_GB2312" w:cs="Times New Roman"/>
          <w:b w:val="0"/>
          <w:bCs/>
          <w:color w:val="auto"/>
          <w:sz w:val="32"/>
          <w:szCs w:val="32"/>
          <w:highlight w:val="none"/>
          <w:lang w:eastAsia="zh-CN"/>
        </w:rPr>
        <w:t>高端化、绿色化</w:t>
      </w:r>
      <w:r>
        <w:rPr>
          <w:rFonts w:hint="default" w:ascii="Times New Roman" w:hAnsi="Times New Roman" w:eastAsia="仿宋_GB2312" w:cs="Times New Roman"/>
          <w:b w:val="0"/>
          <w:bCs/>
          <w:color w:val="auto"/>
          <w:sz w:val="32"/>
          <w:szCs w:val="32"/>
          <w:highlight w:val="none"/>
          <w:lang w:eastAsia="zh"/>
        </w:rPr>
        <w:t>方向发展。依托中俄东线天然气管道过境桦川优势，积极争取在四马架镇设立俄气配气站，利用丰富的俄气资源，提取甲烷、乙烷、氦气等高附加值产品，发展裂解制乙烯、合成氨等化工产业，招引天然气精深加工产业链上下游企业，形成新型化工产业集群。到2030年，力争全县新型化工产值突破1亿元。</w:t>
      </w:r>
    </w:p>
    <w:p w14:paraId="2AA0EC3D">
      <w:pPr>
        <w:keepNext w:val="0"/>
        <w:keepLines w:val="0"/>
        <w:pageBreakBefore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797" w:name="_Toc22266"/>
      <w:bookmarkStart w:id="798" w:name="_Toc22942"/>
      <w:bookmarkStart w:id="799" w:name="_Toc23333"/>
      <w:bookmarkStart w:id="800" w:name="_Toc134"/>
      <w:bookmarkStart w:id="801" w:name="_Toc1868497155"/>
      <w:bookmarkStart w:id="802" w:name="_Toc449757431"/>
      <w:bookmarkStart w:id="803" w:name="_Toc22338"/>
      <w:bookmarkStart w:id="804" w:name="_Toc19447"/>
      <w:bookmarkStart w:id="805" w:name="_Toc1428"/>
      <w:bookmarkStart w:id="806" w:name="_Toc8362"/>
      <w:bookmarkStart w:id="807" w:name="_Toc16206"/>
      <w:r>
        <w:rPr>
          <w:rFonts w:hint="default" w:ascii="Times New Roman" w:hAnsi="Times New Roman" w:eastAsia="仿宋_GB2312" w:cs="Times New Roman"/>
          <w:b w:val="0"/>
          <w:bCs/>
          <w:color w:val="auto"/>
          <w:sz w:val="32"/>
          <w:szCs w:val="32"/>
          <w:highlight w:val="none"/>
          <w:u w:val="none"/>
          <w:lang w:eastAsia="zh" w:bidi="ar"/>
          <w:woUserID w:val="0"/>
        </w:rPr>
        <w:t>第三节 谋划布局绿色循环产业</w:t>
      </w:r>
      <w:bookmarkEnd w:id="797"/>
      <w:bookmarkEnd w:id="798"/>
      <w:bookmarkEnd w:id="799"/>
      <w:bookmarkEnd w:id="800"/>
      <w:bookmarkEnd w:id="801"/>
      <w:bookmarkEnd w:id="802"/>
      <w:bookmarkEnd w:id="803"/>
      <w:bookmarkEnd w:id="804"/>
      <w:bookmarkEnd w:id="805"/>
      <w:bookmarkEnd w:id="806"/>
      <w:bookmarkEnd w:id="807"/>
    </w:p>
    <w:p w14:paraId="12F4BC8E">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以龙江环保为重点，结合“两新”政策建设改造现有基础设施，推动回收企业与本地机械制造、塑料制品企业建立定向供应关系，形成“回收－加工－再制造－销售”的全过程循环产业链条。在县城及重点乡镇合理布局标准化再生资源回收站点，新增一批社区回收点与乡镇回收中心，配备统一标识、智能称重设备和数据采集系统。建立“互联网+回收”信息平台，开发手机回收APP和小程序，开通线上预约、积分兑换、价格查询功能，构建覆盖全县的“前端智能回收+中端高效转运+后端集中处理”网络体系。</w:t>
      </w:r>
    </w:p>
    <w:p w14:paraId="0136A84A">
      <w:pPr>
        <w:keepNext w:val="0"/>
        <w:keepLines w:val="0"/>
        <w:pageBreakBefore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808" w:name="_Toc1831"/>
      <w:bookmarkStart w:id="809" w:name="_Toc8759"/>
      <w:bookmarkStart w:id="810" w:name="_Toc5129"/>
      <w:bookmarkStart w:id="811" w:name="_Toc13255"/>
      <w:bookmarkStart w:id="812" w:name="_Toc20300"/>
      <w:bookmarkStart w:id="813" w:name="_Toc22221"/>
      <w:bookmarkStart w:id="814" w:name="_Toc25552"/>
      <w:bookmarkStart w:id="815" w:name="_Toc24137"/>
      <w:bookmarkStart w:id="816" w:name="_Toc21432"/>
      <w:r>
        <w:rPr>
          <w:rFonts w:hint="default" w:ascii="Times New Roman" w:hAnsi="Times New Roman" w:eastAsia="仿宋_GB2312" w:cs="Times New Roman"/>
          <w:b w:val="0"/>
          <w:bCs/>
          <w:color w:val="auto"/>
          <w:sz w:val="32"/>
          <w:szCs w:val="32"/>
          <w:highlight w:val="none"/>
          <w:u w:val="none"/>
          <w:lang w:eastAsia="zh" w:bidi="ar"/>
          <w:woUserID w:val="0"/>
        </w:rPr>
        <w:t>第四节 聚力打造新能源产业</w:t>
      </w:r>
      <w:bookmarkEnd w:id="808"/>
      <w:bookmarkEnd w:id="809"/>
      <w:bookmarkEnd w:id="810"/>
      <w:bookmarkEnd w:id="811"/>
      <w:bookmarkEnd w:id="812"/>
      <w:bookmarkEnd w:id="813"/>
      <w:bookmarkEnd w:id="814"/>
      <w:bookmarkEnd w:id="815"/>
      <w:bookmarkEnd w:id="816"/>
    </w:p>
    <w:p w14:paraId="599C6274">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做大做强风电产业，推动新能源产业高质量发展。优化电网设施布局，积极对上争取输电线路改造，全面提升城乡配电网供电保障能力和综合承载能力。借助省政府谋划东部特高压外送通道的有利契机，</w:t>
      </w:r>
      <w:r>
        <w:rPr>
          <w:rFonts w:hint="eastAsia" w:eastAsia="仿宋_GB2312" w:cs="Times New Roman"/>
          <w:b w:val="0"/>
          <w:bCs/>
          <w:color w:val="auto"/>
          <w:sz w:val="32"/>
          <w:szCs w:val="32"/>
          <w:highlight w:val="none"/>
          <w:lang w:eastAsia="zh-CN"/>
        </w:rPr>
        <w:t>积极向上</w:t>
      </w:r>
      <w:r>
        <w:rPr>
          <w:rFonts w:hint="default" w:ascii="Times New Roman" w:hAnsi="Times New Roman" w:eastAsia="仿宋_GB2312" w:cs="Times New Roman"/>
          <w:b w:val="0"/>
          <w:bCs/>
          <w:color w:val="auto"/>
          <w:sz w:val="32"/>
          <w:szCs w:val="32"/>
          <w:highlight w:val="none"/>
          <w:lang w:eastAsia="zh"/>
        </w:rPr>
        <w:t>争取35KV、110KV变电站提质升级改造，重点争取新建220KV变电站。储备谋划桦川县150MW风电、能源综合服务中心、大唐电力单机1.5MW提升8MW设备更新等项目。利用废弃工业用地等开发建设集中式风电项目，积极引进叶片、发电机、增速机等风电装备及核心配套零部件企业。稳步推进集中式光伏发电、分布式光伏发电等项目建设，推进太阳能耦合多种热源互补应用，科学布局光伏支架、光伏胶膜、光伏逆变器等配套产业。借助“氢绿龙江”契机，积极推进绿电制氢、绿氢合成绿色航空煤油、绿氨、绿醇等绿色能源化工产业链，推动新能源制氢规模化发展。重点发展绿色甲醇产业，有效解决新能源消纳问题，将“风光”资源转化为稳定可靠能源。到2030年，全县规上新能源产业总产值突破5亿元，新增规上新能源企业2户以上。</w:t>
      </w:r>
    </w:p>
    <w:p w14:paraId="7C19B9D1">
      <w:pPr>
        <w:keepNext w:val="0"/>
        <w:keepLines w:val="0"/>
        <w:pageBreakBefore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817" w:name="_Toc30862"/>
      <w:bookmarkStart w:id="818" w:name="_Toc5363"/>
      <w:bookmarkStart w:id="819" w:name="_Toc28546"/>
      <w:bookmarkStart w:id="820" w:name="_Toc15813"/>
      <w:bookmarkStart w:id="821" w:name="_Toc3429"/>
      <w:bookmarkStart w:id="822" w:name="_Toc8839"/>
      <w:bookmarkStart w:id="823" w:name="_Toc28461"/>
      <w:bookmarkStart w:id="824" w:name="_Toc10966"/>
      <w:bookmarkStart w:id="825" w:name="_Toc21128"/>
      <w:r>
        <w:rPr>
          <w:rFonts w:hint="default" w:ascii="Times New Roman" w:hAnsi="Times New Roman" w:eastAsia="仿宋_GB2312" w:cs="Times New Roman"/>
          <w:b w:val="0"/>
          <w:bCs/>
          <w:color w:val="auto"/>
          <w:sz w:val="32"/>
          <w:szCs w:val="32"/>
          <w:highlight w:val="none"/>
          <w:u w:val="none"/>
          <w:lang w:eastAsia="zh" w:bidi="ar"/>
          <w:woUserID w:val="0"/>
        </w:rPr>
        <w:t>第五节 超前谋划战新与未来产业</w:t>
      </w:r>
      <w:bookmarkEnd w:id="817"/>
      <w:bookmarkEnd w:id="818"/>
      <w:bookmarkEnd w:id="819"/>
      <w:bookmarkEnd w:id="820"/>
      <w:bookmarkEnd w:id="821"/>
      <w:bookmarkEnd w:id="822"/>
      <w:bookmarkEnd w:id="823"/>
      <w:bookmarkEnd w:id="824"/>
      <w:bookmarkEnd w:id="825"/>
    </w:p>
    <w:p w14:paraId="03D2EA91">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围绕商业航天、电子信息制造、新材料、智能农机等战略性新兴产业和未来产业，持续推动建链延链补链行动，精准谋划一批战略性新兴产业项目。探索多元技术路线、典型应用场景、可行商业模式，完善未来产业全链条培育体系，培育氢能、第六代移动通信等新的经济增长点。重点推动利用富余风、光等新能源就地制氢，培育“绿电+绿氢”能源体系，推进氢氨醇一体化，构建多元应用的氢能产业生态圈。</w:t>
      </w:r>
    </w:p>
    <w:p w14:paraId="7D551116">
      <w:pPr>
        <w:keepNext w:val="0"/>
        <w:keepLines w:val="0"/>
        <w:pageBreakBefore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826" w:name="_Toc15042"/>
      <w:bookmarkStart w:id="827" w:name="_Toc21889"/>
      <w:bookmarkStart w:id="828" w:name="_Toc4203"/>
      <w:bookmarkStart w:id="829" w:name="_Toc7119"/>
      <w:bookmarkStart w:id="830" w:name="_Toc20903"/>
      <w:bookmarkStart w:id="831" w:name="_Toc10675"/>
      <w:bookmarkStart w:id="832" w:name="_Toc22813"/>
      <w:bookmarkStart w:id="833" w:name="_Toc1235"/>
      <w:bookmarkStart w:id="834" w:name="_Toc27925"/>
      <w:r>
        <w:rPr>
          <w:rFonts w:hint="default" w:ascii="Times New Roman" w:hAnsi="Times New Roman" w:eastAsia="仿宋_GB2312" w:cs="Times New Roman"/>
          <w:b w:val="0"/>
          <w:bCs/>
          <w:color w:val="auto"/>
          <w:sz w:val="32"/>
          <w:szCs w:val="32"/>
          <w:highlight w:val="none"/>
          <w:u w:val="none"/>
          <w:lang w:eastAsia="zh" w:bidi="ar"/>
          <w:woUserID w:val="0"/>
        </w:rPr>
        <w:t>第六节 融合赋能数字经济</w:t>
      </w:r>
      <w:bookmarkEnd w:id="826"/>
      <w:bookmarkEnd w:id="827"/>
      <w:bookmarkEnd w:id="828"/>
      <w:bookmarkEnd w:id="829"/>
      <w:bookmarkEnd w:id="830"/>
      <w:bookmarkEnd w:id="831"/>
      <w:bookmarkEnd w:id="832"/>
      <w:bookmarkEnd w:id="833"/>
      <w:bookmarkEnd w:id="834"/>
    </w:p>
    <w:p w14:paraId="29632182">
      <w:pPr>
        <w:keepNext w:val="0"/>
        <w:keepLines w:val="0"/>
        <w:pageBreakBefore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聚焦传统行业转型升级，大力推进新一代信息技术与生产工艺、制造过程深度对接。加快制造过程数字化改造，推动关键工序智能化升级，围绕设计、生产等核心环节建设数字化车间。鼓励引导企业强化生产管控协同、市场响应、产业协作能力，全面提升产品服务、生产制造、企业管理智能化水平。推进各领域数字化发展，加快“互联网+农业”“互联网+文旅”“互联网+商贸”“互联网+医疗健康”“互联网+教育”“互联网+城市运营”等数字化融合业态体系构建。支持电信运营商广泛参与企业数字化建设，加强技术推广与运维服务，持续拓展数字经济相关业务。</w:t>
      </w:r>
    </w:p>
    <w:p w14:paraId="67B8607D">
      <w:pPr>
        <w:keepNext w:val="0"/>
        <w:keepLines w:val="0"/>
        <w:pageBreakBefore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val="en-US" w:eastAsia="zh-CN" w:bidi="ar"/>
          <w:woUserID w:val="0"/>
        </w:rPr>
      </w:pPr>
      <w:bookmarkStart w:id="835" w:name="_Toc6498"/>
      <w:bookmarkStart w:id="836" w:name="_Toc24669"/>
      <w:bookmarkStart w:id="837" w:name="_Toc8166"/>
      <w:bookmarkStart w:id="838" w:name="_Toc29434"/>
      <w:bookmarkStart w:id="839" w:name="_Toc29106"/>
      <w:bookmarkStart w:id="840" w:name="_Toc19874"/>
      <w:bookmarkStart w:id="841" w:name="_Toc23756"/>
      <w:bookmarkStart w:id="842" w:name="_Toc20319"/>
      <w:bookmarkStart w:id="843" w:name="_Toc14253"/>
      <w:r>
        <w:rPr>
          <w:rFonts w:hint="default" w:ascii="Times New Roman" w:hAnsi="Times New Roman" w:eastAsia="仿宋_GB2312" w:cs="Times New Roman"/>
          <w:b w:val="0"/>
          <w:bCs/>
          <w:color w:val="auto"/>
          <w:sz w:val="32"/>
          <w:szCs w:val="32"/>
          <w:highlight w:val="none"/>
          <w:u w:val="none"/>
          <w:lang w:eastAsia="zh" w:bidi="ar"/>
          <w:woUserID w:val="0"/>
        </w:rPr>
        <w:t>第七节 因地制宜布局</w:t>
      </w:r>
      <w:r>
        <w:rPr>
          <w:rFonts w:hint="default" w:ascii="Times New Roman" w:hAnsi="Times New Roman" w:eastAsia="仿宋_GB2312" w:cs="Times New Roman"/>
          <w:b w:val="0"/>
          <w:bCs/>
          <w:color w:val="auto"/>
          <w:sz w:val="32"/>
          <w:szCs w:val="32"/>
          <w:highlight w:val="none"/>
          <w:u w:val="none"/>
          <w:lang w:val="en-US" w:eastAsia="zh-CN" w:bidi="ar"/>
          <w:woUserID w:val="0"/>
        </w:rPr>
        <w:t>低空和</w:t>
      </w:r>
      <w:r>
        <w:rPr>
          <w:rFonts w:hint="default" w:ascii="Times New Roman" w:hAnsi="Times New Roman" w:eastAsia="仿宋_GB2312" w:cs="Times New Roman"/>
          <w:b w:val="0"/>
          <w:bCs/>
          <w:color w:val="auto"/>
          <w:sz w:val="32"/>
          <w:szCs w:val="32"/>
          <w:highlight w:val="none"/>
          <w:u w:val="none"/>
          <w:lang w:eastAsia="zh" w:bidi="ar"/>
          <w:woUserID w:val="0"/>
        </w:rPr>
        <w:t>临空经济</w:t>
      </w:r>
      <w:bookmarkEnd w:id="835"/>
      <w:bookmarkEnd w:id="836"/>
      <w:bookmarkEnd w:id="837"/>
      <w:bookmarkEnd w:id="838"/>
      <w:bookmarkEnd w:id="839"/>
      <w:bookmarkEnd w:id="840"/>
      <w:bookmarkEnd w:id="841"/>
      <w:bookmarkEnd w:id="842"/>
      <w:bookmarkEnd w:id="843"/>
    </w:p>
    <w:p w14:paraId="2CDFC36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加快开辟低空经济和临空经济发展新赛道，着力完善基础设施和飞行服务保障体系，着力推动场景应用与产业融合，构建低空空域协同管理机制。探索构建内通外联、集约高效的通用航空短途运输服务体系。借助哈洽会、亚布力论坛等平台和“佳木斯—建三江—抚远”低空载客运输航线契机，开展“低空+”“临空+”场景的产业转移对接活动。聚焦农用无人机组装、无人机配套设备的研发与生产，打造低空装备制造基地。推动产学研深度融合，加强与天津中航大、哈尔滨工程大学等高校科研院所合作，提升低空装备技术水平和市场竞争力。发挥东浩农业科技代理大疆无人机的先发优势，建设无人机销售、服务、培训一体化基地</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eastAsia="zh"/>
        </w:rPr>
        <w:t>重点发展无人机农业作业、无人机短途运输等应用场景，规划无人机飞行线路及起降点，扩展医疗救护、农林植保、国土测绘、城乡治理、公共安全、生态环境、气象监测、电力巡检、江河湖库除险、交通线路巡查等领域应用。</w:t>
      </w:r>
      <w:r>
        <w:rPr>
          <w:rFonts w:hint="default" w:ascii="Times New Roman" w:hAnsi="Times New Roman" w:eastAsia="仿宋_GB2312" w:cs="Times New Roman"/>
          <w:b w:val="0"/>
          <w:bCs/>
          <w:color w:val="auto"/>
          <w:sz w:val="32"/>
          <w:szCs w:val="32"/>
          <w:highlight w:val="none"/>
          <w:lang w:eastAsia="zh-CN"/>
        </w:rPr>
        <w:t>提升佳木斯机场住宿餐饮配套</w:t>
      </w:r>
      <w:r>
        <w:rPr>
          <w:rFonts w:hint="default" w:ascii="Times New Roman" w:hAnsi="Times New Roman" w:eastAsia="仿宋_GB2312" w:cs="Times New Roman"/>
          <w:b w:val="0"/>
          <w:bCs/>
          <w:color w:val="auto"/>
          <w:sz w:val="32"/>
          <w:szCs w:val="32"/>
          <w:highlight w:val="none"/>
          <w:lang w:val="en-US" w:eastAsia="zh-CN"/>
        </w:rPr>
        <w:t>服务</w:t>
      </w:r>
      <w:r>
        <w:rPr>
          <w:rFonts w:hint="default" w:ascii="Times New Roman" w:hAnsi="Times New Roman" w:eastAsia="仿宋_GB2312" w:cs="Times New Roman"/>
          <w:b w:val="0"/>
          <w:bCs/>
          <w:color w:val="auto"/>
          <w:sz w:val="32"/>
          <w:szCs w:val="32"/>
          <w:highlight w:val="none"/>
          <w:lang w:eastAsia="zh-CN"/>
        </w:rPr>
        <w:t>，为机组成员和乘客提供便捷优质的服务保障。</w:t>
      </w:r>
      <w:r>
        <w:rPr>
          <w:rFonts w:hint="default" w:ascii="Times New Roman" w:hAnsi="Times New Roman" w:eastAsia="仿宋_GB2312" w:cs="Times New Roman"/>
          <w:b w:val="0"/>
          <w:bCs/>
          <w:color w:val="auto"/>
          <w:sz w:val="32"/>
          <w:szCs w:val="32"/>
          <w:highlight w:val="none"/>
          <w:lang w:eastAsia="zh"/>
        </w:rPr>
        <w:t>到2030年，力争全县低空经济营收突破亿元。</w:t>
      </w:r>
    </w:p>
    <w:p w14:paraId="77211AFB">
      <w:pPr>
        <w:pStyle w:val="3"/>
        <w:keepNext w:val="0"/>
        <w:keepLines w:val="0"/>
        <w:pageBreakBefore w:val="0"/>
        <w:widowControl/>
        <w:kinsoku/>
        <w:wordWrap/>
        <w:overflowPunct/>
        <w:topLinePunct w:val="0"/>
        <w:autoSpaceDE/>
        <w:autoSpaceDN/>
        <w:bidi w:val="0"/>
        <w:adjustRightInd/>
        <w:spacing w:before="0" w:after="0" w:line="560" w:lineRule="exact"/>
        <w:ind w:firstLine="0" w:firstLineChars="0"/>
        <w:jc w:val="center"/>
        <w:textAlignment w:val="auto"/>
        <w:rPr>
          <w:rFonts w:hint="default" w:ascii="Times New Roman" w:hAnsi="Times New Roman" w:eastAsia="楷体" w:cs="Times New Roman"/>
          <w:b w:val="0"/>
          <w:bCs/>
          <w:color w:val="auto"/>
          <w:sz w:val="32"/>
          <w:szCs w:val="32"/>
          <w:highlight w:val="none"/>
        </w:rPr>
      </w:pPr>
      <w:bookmarkStart w:id="844" w:name="_Toc9929"/>
      <w:bookmarkStart w:id="845" w:name="_Toc18529"/>
      <w:bookmarkStart w:id="846" w:name="_Toc4376"/>
      <w:bookmarkStart w:id="847" w:name="_Toc29969"/>
      <w:bookmarkStart w:id="848" w:name="_Toc7237"/>
      <w:bookmarkStart w:id="849" w:name="_Toc390136713"/>
      <w:bookmarkStart w:id="850" w:name="_Toc15125"/>
      <w:bookmarkStart w:id="851" w:name="_Toc19300"/>
      <w:bookmarkStart w:id="852" w:name="_Toc7292"/>
      <w:bookmarkStart w:id="853" w:name="_Toc2097884161"/>
      <w:bookmarkStart w:id="854" w:name="_Toc3177"/>
      <w:bookmarkStart w:id="855" w:name="_Toc22453"/>
      <w:bookmarkStart w:id="856" w:name="_Toc32688"/>
      <w:bookmarkStart w:id="857" w:name="_Toc3073"/>
      <w:r>
        <w:rPr>
          <w:rFonts w:hint="default" w:ascii="Times New Roman" w:hAnsi="Times New Roman" w:eastAsia="楷体" w:cs="Times New Roman"/>
          <w:b w:val="0"/>
          <w:bCs/>
          <w:color w:val="auto"/>
          <w:kern w:val="2"/>
          <w:sz w:val="32"/>
          <w:szCs w:val="32"/>
          <w:highlight w:val="none"/>
          <w:lang w:val="en-US" w:eastAsia="zh-CN" w:bidi="ar-SA"/>
          <w14:ligatures w14:val="standardContextual"/>
        </w:rPr>
        <w:t>第三</w:t>
      </w:r>
      <w:r>
        <w:rPr>
          <w:rFonts w:hint="default" w:ascii="Times New Roman" w:hAnsi="Times New Roman" w:eastAsia="楷体" w:cs="Times New Roman"/>
          <w:b w:val="0"/>
          <w:bCs/>
          <w:color w:val="auto"/>
          <w:kern w:val="2"/>
          <w:sz w:val="32"/>
          <w:szCs w:val="32"/>
          <w:highlight w:val="none"/>
          <w:lang w:val="en-US" w:eastAsia="zh" w:bidi="ar-SA"/>
          <w14:ligatures w14:val="standardContextual"/>
          <w:woUserID w:val="0"/>
        </w:rPr>
        <w:t>章</w:t>
      </w:r>
      <w:r>
        <w:rPr>
          <w:rFonts w:hint="default" w:ascii="Times New Roman" w:hAnsi="Times New Roman" w:eastAsia="楷体" w:cs="Times New Roman"/>
          <w:b w:val="0"/>
          <w:bCs/>
          <w:color w:val="auto"/>
          <w:sz w:val="32"/>
          <w:szCs w:val="32"/>
          <w:highlight w:val="none"/>
        </w:rPr>
        <w:t xml:space="preserve"> 统筹布局建设新型产业基础设施</w:t>
      </w:r>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p>
    <w:p w14:paraId="71BACF9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bookmarkStart w:id="858" w:name="_Toc1999788529"/>
      <w:bookmarkStart w:id="859" w:name="_Toc1346393777"/>
      <w:r>
        <w:rPr>
          <w:rFonts w:hint="default" w:ascii="Times New Roman" w:hAnsi="Times New Roman" w:eastAsia="仿宋_GB2312" w:cs="Times New Roman"/>
          <w:b w:val="0"/>
          <w:bCs/>
          <w:color w:val="auto"/>
          <w:sz w:val="32"/>
          <w:szCs w:val="32"/>
          <w:highlight w:val="none"/>
          <w:lang w:eastAsia="zh"/>
        </w:rPr>
        <w:t>顺应</w:t>
      </w:r>
      <w:r>
        <w:rPr>
          <w:rFonts w:hint="default" w:ascii="Times New Roman" w:hAnsi="Times New Roman" w:eastAsia="仿宋_GB2312" w:cs="Times New Roman"/>
          <w:b w:val="0"/>
          <w:bCs/>
          <w:color w:val="auto"/>
          <w:sz w:val="32"/>
          <w:szCs w:val="32"/>
          <w:highlight w:val="none"/>
          <w:lang w:eastAsia="zh-CN"/>
        </w:rPr>
        <w:t>新型</w:t>
      </w:r>
      <w:r>
        <w:rPr>
          <w:rFonts w:hint="default" w:ascii="Times New Roman" w:hAnsi="Times New Roman" w:eastAsia="仿宋_GB2312" w:cs="Times New Roman"/>
          <w:b w:val="0"/>
          <w:bCs/>
          <w:color w:val="auto"/>
          <w:sz w:val="32"/>
          <w:szCs w:val="32"/>
          <w:highlight w:val="none"/>
          <w:lang w:eastAsia="zh"/>
        </w:rPr>
        <w:t>基础设施发展大势，紧扣</w:t>
      </w:r>
      <w:r>
        <w:rPr>
          <w:rFonts w:hint="default" w:ascii="Times New Roman" w:hAnsi="Times New Roman" w:eastAsia="仿宋_GB2312" w:cs="Times New Roman"/>
          <w:b w:val="0"/>
          <w:bCs/>
          <w:color w:val="auto"/>
          <w:sz w:val="32"/>
          <w:szCs w:val="32"/>
          <w:highlight w:val="none"/>
          <w:lang w:eastAsia="zh-CN"/>
        </w:rPr>
        <w:t>桦川</w:t>
      </w:r>
      <w:r>
        <w:rPr>
          <w:rFonts w:hint="default" w:ascii="Times New Roman" w:hAnsi="Times New Roman" w:eastAsia="仿宋_GB2312" w:cs="Times New Roman"/>
          <w:b w:val="0"/>
          <w:bCs/>
          <w:color w:val="auto"/>
          <w:sz w:val="32"/>
          <w:szCs w:val="32"/>
          <w:highlight w:val="none"/>
          <w:lang w:eastAsia="zh"/>
        </w:rPr>
        <w:t>经济社会发展用能需求支撑，以</w:t>
      </w:r>
      <w:r>
        <w:rPr>
          <w:rFonts w:hint="default" w:ascii="Times New Roman" w:hAnsi="Times New Roman" w:eastAsia="仿宋_GB2312" w:cs="Times New Roman"/>
          <w:b w:val="0"/>
          <w:bCs/>
          <w:color w:val="auto"/>
          <w:sz w:val="32"/>
          <w:szCs w:val="32"/>
          <w:highlight w:val="none"/>
          <w:lang w:eastAsia="zh-CN"/>
        </w:rPr>
        <w:t>筑牢</w:t>
      </w:r>
      <w:r>
        <w:rPr>
          <w:rFonts w:hint="default" w:ascii="Times New Roman" w:hAnsi="Times New Roman" w:eastAsia="仿宋_GB2312" w:cs="Times New Roman"/>
          <w:b w:val="0"/>
          <w:bCs/>
          <w:color w:val="auto"/>
          <w:sz w:val="32"/>
          <w:szCs w:val="32"/>
          <w:highlight w:val="none"/>
          <w:lang w:eastAsia="zh"/>
        </w:rPr>
        <w:t>坚强电网、统筹布局储能设施、夯实数字经济</w:t>
      </w:r>
      <w:r>
        <w:rPr>
          <w:rFonts w:hint="default" w:ascii="Times New Roman" w:hAnsi="Times New Roman" w:eastAsia="仿宋_GB2312" w:cs="Times New Roman"/>
          <w:b w:val="0"/>
          <w:bCs/>
          <w:color w:val="auto"/>
          <w:sz w:val="32"/>
          <w:szCs w:val="32"/>
          <w:highlight w:val="none"/>
          <w:lang w:eastAsia="zh-CN"/>
        </w:rPr>
        <w:t>基础设施</w:t>
      </w:r>
      <w:r>
        <w:rPr>
          <w:rFonts w:hint="default" w:ascii="Times New Roman" w:hAnsi="Times New Roman" w:eastAsia="仿宋_GB2312" w:cs="Times New Roman"/>
          <w:b w:val="0"/>
          <w:bCs/>
          <w:color w:val="auto"/>
          <w:sz w:val="32"/>
          <w:szCs w:val="32"/>
          <w:highlight w:val="none"/>
          <w:lang w:eastAsia="zh"/>
        </w:rPr>
        <w:t>底座等为重点，促进新型基础设施与传统基础设施融合发展，打造桦川现代能源基础设施网络</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eastAsia="zh"/>
        </w:rPr>
        <w:t>提升桦川新型基础设施现代化水平。</w:t>
      </w:r>
    </w:p>
    <w:p w14:paraId="344B27B5">
      <w:pPr>
        <w:keepNext w:val="0"/>
        <w:keepLines w:val="0"/>
        <w:pageBreakBefore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860" w:name="_Toc7148"/>
      <w:bookmarkStart w:id="861" w:name="_Toc31381"/>
      <w:bookmarkStart w:id="862" w:name="_Toc9296"/>
      <w:bookmarkStart w:id="863" w:name="_Toc16498"/>
      <w:bookmarkStart w:id="864" w:name="_Toc6916"/>
      <w:bookmarkStart w:id="865" w:name="_Toc8969"/>
      <w:bookmarkStart w:id="866" w:name="_Toc2405"/>
      <w:bookmarkStart w:id="867" w:name="_Toc19319"/>
      <w:r>
        <w:rPr>
          <w:rFonts w:hint="default" w:ascii="Times New Roman" w:hAnsi="Times New Roman" w:eastAsia="仿宋_GB2312" w:cs="Times New Roman"/>
          <w:b w:val="0"/>
          <w:bCs/>
          <w:color w:val="auto"/>
          <w:sz w:val="32"/>
          <w:szCs w:val="32"/>
          <w:highlight w:val="none"/>
          <w:u w:val="none"/>
          <w:lang w:eastAsia="zh" w:bidi="ar"/>
          <w:woUserID w:val="0"/>
        </w:rPr>
        <w:t>第一节 筑牢桦川“北通南联空地一体”坚强电网</w:t>
      </w:r>
      <w:bookmarkEnd w:id="858"/>
      <w:bookmarkEnd w:id="859"/>
      <w:bookmarkEnd w:id="860"/>
      <w:bookmarkEnd w:id="861"/>
      <w:bookmarkEnd w:id="862"/>
      <w:bookmarkEnd w:id="863"/>
      <w:bookmarkEnd w:id="864"/>
      <w:bookmarkEnd w:id="865"/>
      <w:bookmarkEnd w:id="866"/>
      <w:bookmarkEnd w:id="867"/>
    </w:p>
    <w:p w14:paraId="54544AC8">
      <w:pPr>
        <w:keepNext w:val="0"/>
        <w:keepLines w:val="0"/>
        <w:pageBreakBefore w:val="0"/>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 w:cs="Times New Roman"/>
          <w:b w:val="0"/>
          <w:bCs/>
          <w:color w:val="auto"/>
          <w:sz w:val="32"/>
          <w:szCs w:val="32"/>
          <w:highlight w:val="none"/>
        </w:rPr>
      </w:pPr>
      <w:r>
        <w:rPr>
          <w:rFonts w:hint="default" w:ascii="Times New Roman" w:hAnsi="Times New Roman" w:eastAsia="仿宋_GB2312" w:cs="Times New Roman"/>
          <w:b w:val="0"/>
          <w:bCs/>
          <w:color w:val="auto"/>
          <w:sz w:val="32"/>
          <w:szCs w:val="32"/>
          <w:highlight w:val="none"/>
          <w:lang w:eastAsia="zh"/>
        </w:rPr>
        <w:t>全面提升城乡配电网供电保障能力和综合承载能力。借助“氢绿龙江”契机，积极推进绿电制氢、绿氢合成绿色航空煤油、绿氨、绿醇等绿色能源化工产业链。针对桦川冬季降雪等极端天气，加强电网防灾抗灾能力建设，确保恶劣天气下电网安全运行。依托佳木斯地区丰富的风电、光伏等新能源资源，预留分布式电源等多元电力设施建设空间，推动新能源就地消纳。多措并举提升可再生能源利用水平，因地制宜谋划抽水蓄能电站、航电枢纽等项目建设，谋划推动在运电站扩容。</w:t>
      </w:r>
    </w:p>
    <w:p w14:paraId="738FB121">
      <w:pPr>
        <w:keepNext w:val="0"/>
        <w:keepLines w:val="0"/>
        <w:pageBreakBefore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868" w:name="_Toc11086"/>
      <w:bookmarkStart w:id="869" w:name="_Toc4139"/>
      <w:bookmarkStart w:id="870" w:name="_Toc31034"/>
      <w:bookmarkStart w:id="871" w:name="_Toc15993"/>
      <w:bookmarkStart w:id="872" w:name="_Toc508307062"/>
      <w:bookmarkStart w:id="873" w:name="_Toc30812"/>
      <w:bookmarkStart w:id="874" w:name="_Toc257076653"/>
      <w:bookmarkStart w:id="875" w:name="_Toc31150"/>
      <w:bookmarkStart w:id="876" w:name="_Toc629"/>
      <w:bookmarkStart w:id="877" w:name="_Toc23648"/>
      <w:r>
        <w:rPr>
          <w:rFonts w:hint="default" w:ascii="Times New Roman" w:hAnsi="Times New Roman" w:eastAsia="仿宋_GB2312" w:cs="Times New Roman"/>
          <w:b w:val="0"/>
          <w:bCs/>
          <w:color w:val="auto"/>
          <w:sz w:val="32"/>
          <w:szCs w:val="32"/>
          <w:highlight w:val="none"/>
          <w:u w:val="none"/>
          <w:lang w:eastAsia="zh" w:bidi="ar"/>
          <w:woUserID w:val="0"/>
        </w:rPr>
        <w:t>第二节 统筹推进储能基础设施建设</w:t>
      </w:r>
      <w:bookmarkEnd w:id="868"/>
      <w:bookmarkEnd w:id="869"/>
      <w:bookmarkEnd w:id="870"/>
      <w:bookmarkEnd w:id="871"/>
      <w:bookmarkEnd w:id="872"/>
      <w:bookmarkEnd w:id="873"/>
      <w:bookmarkEnd w:id="874"/>
      <w:bookmarkEnd w:id="875"/>
      <w:bookmarkEnd w:id="876"/>
      <w:bookmarkEnd w:id="877"/>
    </w:p>
    <w:p w14:paraId="0D02290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积极推动配电网在形态上从传统的“无源”单向辐射网络向“有源”双向交互系统转变，在功能上从单一供配电服务主体向源网荷储资源高效配置平台转变，适应电动汽车等新型负荷用电需求，积极推进充电设施建设，鼓励虚拟电厂、微电网等新业态创新发展。统筹推进源网荷储新型储能多应用场景，提升能源电力系统调节能力和保障能力。进一步推动新型储能多元化发展，统筹推进源网荷储新型储能多应用场景，提升能源电力系统调节能力和保障能力，要求新建集中式风电场和光伏发电场全部配备储能设施，积极推进原有新能源发电企业储能设施改造。积极发展新型储能产业，积极谋划电化学储能、机械储能等新型储能项目，配套招引低温储能电池、智慧储能系统、储能柜等储能制造项目。</w:t>
      </w:r>
    </w:p>
    <w:p w14:paraId="6F41D1CB">
      <w:pPr>
        <w:keepNext w:val="0"/>
        <w:keepLines w:val="0"/>
        <w:pageBreakBefore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878" w:name="_Toc31176"/>
      <w:bookmarkStart w:id="879" w:name="_Toc10833"/>
      <w:bookmarkStart w:id="880" w:name="_Toc30534"/>
      <w:bookmarkStart w:id="881" w:name="_Toc7916"/>
      <w:bookmarkStart w:id="882" w:name="_Toc172603113"/>
      <w:bookmarkStart w:id="883" w:name="_Toc2054"/>
      <w:bookmarkStart w:id="884" w:name="_Toc4743"/>
      <w:bookmarkStart w:id="885" w:name="_Toc21999"/>
      <w:bookmarkStart w:id="886" w:name="_Toc25349"/>
      <w:bookmarkStart w:id="887" w:name="_Toc1249365152"/>
      <w:r>
        <w:rPr>
          <w:rFonts w:hint="default" w:ascii="Times New Roman" w:hAnsi="Times New Roman" w:eastAsia="仿宋_GB2312" w:cs="Times New Roman"/>
          <w:b w:val="0"/>
          <w:bCs/>
          <w:color w:val="auto"/>
          <w:sz w:val="32"/>
          <w:szCs w:val="32"/>
          <w:highlight w:val="none"/>
          <w:u w:val="none"/>
          <w:lang w:eastAsia="zh" w:bidi="ar"/>
          <w:woUserID w:val="0"/>
        </w:rPr>
        <w:t>第三节 夯实数字经济基础设施底座</w:t>
      </w:r>
      <w:bookmarkEnd w:id="878"/>
      <w:bookmarkEnd w:id="879"/>
      <w:bookmarkEnd w:id="880"/>
      <w:bookmarkEnd w:id="881"/>
      <w:bookmarkEnd w:id="882"/>
      <w:bookmarkEnd w:id="883"/>
      <w:bookmarkEnd w:id="884"/>
      <w:bookmarkEnd w:id="885"/>
      <w:bookmarkEnd w:id="886"/>
      <w:bookmarkEnd w:id="887"/>
    </w:p>
    <w:p w14:paraId="21916F7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依托人工智能、大数据、5G、千兆光网等软硬设施对全县物流、能源、市政、管线等各类传统设施智能化升级改造，加快推进智慧交通、智慧物流、智慧教育、智慧医疗、智慧农业等重点领域建设，谋划打造功能强大、领域多元、覆盖纵深的桦川县“城市大脑”，提升桦川县智慧城市治理水平。推进基础设施共建共享，统筹建设物联感知设备，加快“多杆合一”智慧灯杆建设，推动开放通信、市政、交通、电力、公安等领域的杆塔、管道、光缆、机房等资源共享复用，提升桦川县基础设施投资运营实效。谋划建立县级物联感知平台，推动物联感知数据统一接入、感知设施远程智能控制，深化物联网在城市交通、综合管线、湖泊河流、应急管理、智慧社区等领域的创新应用。</w:t>
      </w:r>
    </w:p>
    <w:p w14:paraId="34F3405C">
      <w:pPr>
        <w:keepNext w:val="0"/>
        <w:keepLines w:val="0"/>
        <w:pageBreakBefore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888" w:name="_Toc4681"/>
      <w:bookmarkStart w:id="889" w:name="_Toc1970334284"/>
      <w:bookmarkStart w:id="890" w:name="_Toc1032004349"/>
      <w:bookmarkStart w:id="891" w:name="_Toc25278"/>
      <w:bookmarkStart w:id="892" w:name="_Toc2382"/>
      <w:bookmarkStart w:id="893" w:name="_Toc22286"/>
      <w:bookmarkStart w:id="894" w:name="_Toc14454"/>
      <w:bookmarkStart w:id="895" w:name="_Toc18326"/>
      <w:bookmarkStart w:id="896" w:name="_Toc21883"/>
      <w:bookmarkStart w:id="897" w:name="_Toc14025"/>
      <w:r>
        <w:rPr>
          <w:rFonts w:hint="default" w:ascii="Times New Roman" w:hAnsi="Times New Roman" w:eastAsia="仿宋_GB2312" w:cs="Times New Roman"/>
          <w:b w:val="0"/>
          <w:bCs/>
          <w:color w:val="auto"/>
          <w:sz w:val="32"/>
          <w:szCs w:val="32"/>
          <w:highlight w:val="none"/>
          <w:u w:val="none"/>
          <w:lang w:eastAsia="zh" w:bidi="ar"/>
          <w:woUserID w:val="0"/>
        </w:rPr>
        <w:t>第四节 统筹布局低空经济基础设施</w:t>
      </w:r>
      <w:bookmarkEnd w:id="888"/>
      <w:bookmarkEnd w:id="889"/>
      <w:bookmarkEnd w:id="890"/>
      <w:bookmarkEnd w:id="891"/>
      <w:bookmarkEnd w:id="892"/>
      <w:bookmarkEnd w:id="893"/>
      <w:bookmarkEnd w:id="894"/>
      <w:bookmarkEnd w:id="895"/>
      <w:bookmarkEnd w:id="896"/>
      <w:bookmarkEnd w:id="897"/>
    </w:p>
    <w:p w14:paraId="787E923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结合桦川县地理特征和交通需求，探索低空经济在县域交通体系中的应用，如快速物流、公路巡检等，制定科学合理的低空经济发展规划，推动低空经济与县域交通体系的深度融合，加强与相关部门合作，完善低空经济相关的法规和政策，确保低空经济的安全、有序发展。围绕布局建设地面起降设施网、构建低空智能空联网、划设低空飞行航线网、打造低空飞行服务网等“四网”发力，统筹推进低空空域划设、起降设施建设、智联网一体化平台搭建，筑牢低空基础设施坚实底座。推进桦川低空空域分类划设，遵照黑龙江省、佳木斯市低空经济高质量发展有关方案，充分考虑桦川地形地貌和军民航空管限制等因素，合理划设全区G类、W类空域，织密低空飞行航线，充分释放桦川低空空域资源。完善地面起降设施布局，围绕桦川县应急救援、物流配送、旅游观光、农林植保作业、堤防市政设施巡检等低空经济应用场景，合理布局低空起降平台、机巢，打造地面起降“设施网”。推进低空智联网一体化平台建设，布局低空飞行通信、导航、监视、气象监测等信息基础设施，建设低空飞行数字化管理服务系统，搭建开放共享的低空无人机统一管理平台，构建低空智能信息网和低空飞行服务网。</w:t>
      </w:r>
    </w:p>
    <w:tbl>
      <w:tblPr>
        <w:tblStyle w:val="25"/>
        <w:tblW w:w="0" w:type="auto"/>
        <w:jc w:val="center"/>
        <w:tblLayout w:type="autofit"/>
        <w:tblCellMar>
          <w:top w:w="0" w:type="dxa"/>
          <w:left w:w="108" w:type="dxa"/>
          <w:bottom w:w="0" w:type="dxa"/>
          <w:right w:w="108" w:type="dxa"/>
        </w:tblCellMar>
      </w:tblPr>
      <w:tblGrid>
        <w:gridCol w:w="8296"/>
      </w:tblGrid>
      <w:tr w14:paraId="0670275C">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shd w:val="clear" w:color="auto" w:fill="auto"/>
          </w:tcPr>
          <w:p w14:paraId="720BD5D6">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lang w:bidi="ar"/>
              </w:rPr>
              <w:t>专栏4-3 低空经济重点任务</w:t>
            </w:r>
          </w:p>
        </w:tc>
      </w:tr>
      <w:tr w14:paraId="171D1B50">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shd w:val="clear" w:color="auto" w:fill="auto"/>
          </w:tcPr>
          <w:p w14:paraId="7ABE60E1">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lang w:bidi="ar"/>
              </w:rPr>
              <w:t>编制低空经济发展规划。积极对接中国科学院地理资源所、国空科技低空经济研究所等科研院所，结合《黑龙江省加快推动低空经济发展实施方案》，充分发挥桦川农业、区位优势，重点围绕空域资源优化、基础设施布局、产业生态培育等方面，编制贴合我县实际的低空经济发展规划，指导桦川低空经济科学发展。</w:t>
            </w:r>
          </w:p>
          <w:p w14:paraId="5CC060BB">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lang w:bidi="ar"/>
              </w:rPr>
              <w:t>构建低空空域协同管理机制</w:t>
            </w:r>
            <w:r>
              <w:rPr>
                <w:rFonts w:hint="default" w:ascii="Times New Roman" w:hAnsi="Times New Roman" w:eastAsia="仿宋_GB2312" w:cs="Times New Roman"/>
                <w:b w:val="0"/>
                <w:bCs w:val="0"/>
                <w:color w:val="auto"/>
                <w:szCs w:val="21"/>
                <w:highlight w:val="none"/>
                <w:lang w:eastAsia="zh-CN" w:bidi="ar"/>
              </w:rPr>
              <w:t>。</w:t>
            </w:r>
            <w:r>
              <w:rPr>
                <w:rFonts w:hint="default" w:ascii="Times New Roman" w:hAnsi="Times New Roman" w:eastAsia="仿宋_GB2312" w:cs="Times New Roman"/>
                <w:b w:val="0"/>
                <w:bCs w:val="0"/>
                <w:color w:val="auto"/>
                <w:szCs w:val="21"/>
                <w:highlight w:val="none"/>
                <w:lang w:bidi="ar"/>
              </w:rPr>
              <w:t>推进全市通用机场布局规划实施，完善配套通用航空基础设施，满足各类低空航空器起降、备降、停放、能源补给等需求。完善相关工作机制，加强“军地民”三方工作协同，共同研究协调低空空域分类划设、飞行活动监管等低空融合飞行管理事项；加快低空飞行服务站的布局和建设，提升低空飞行保障能力。</w:t>
            </w:r>
          </w:p>
          <w:p w14:paraId="7DADFCFD">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lang w:bidi="ar"/>
              </w:rPr>
              <w:t>提升空中运输服务能力。探索建立以佳木斯机场为中心，构建内通外联、集约高效的通用航空短途运输服务体系，探索短途物流服务。鼓励县内有条件的企业与eVTOL等无人机制造企业合作开展寒地试飞。</w:t>
            </w:r>
          </w:p>
          <w:p w14:paraId="5486672B">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lang w:bidi="ar"/>
              </w:rPr>
              <w:t>构建低空智慧物流体系</w:t>
            </w:r>
            <w:r>
              <w:rPr>
                <w:rFonts w:hint="default" w:ascii="Times New Roman" w:hAnsi="Times New Roman" w:eastAsia="仿宋_GB2312" w:cs="Times New Roman"/>
                <w:b w:val="0"/>
                <w:bCs w:val="0"/>
                <w:color w:val="auto"/>
                <w:szCs w:val="21"/>
                <w:highlight w:val="none"/>
                <w:lang w:eastAsia="zh-CN" w:bidi="ar"/>
              </w:rPr>
              <w:t>。</w:t>
            </w:r>
            <w:r>
              <w:rPr>
                <w:rFonts w:hint="default" w:ascii="Times New Roman" w:hAnsi="Times New Roman" w:eastAsia="仿宋_GB2312" w:cs="Times New Roman"/>
                <w:b w:val="0"/>
                <w:bCs w:val="0"/>
                <w:color w:val="auto"/>
                <w:szCs w:val="21"/>
                <w:highlight w:val="none"/>
                <w:lang w:bidi="ar"/>
              </w:rPr>
              <w:t>结合桦川物流园区、快递分拨中心等布局，按照共用共享、均衡分布的原则，探索构建无人机物流运输体系，加快推进无人机快件配送、同城快件互寄、无人机闪送、无人机跑腿等物流配送服务领域的应用。</w:t>
            </w:r>
          </w:p>
          <w:p w14:paraId="2302064B">
            <w:pPr>
              <w:spacing w:line="360" w:lineRule="exact"/>
              <w:ind w:firstLine="420" w:firstLineChars="200"/>
              <w:rPr>
                <w:rFonts w:hint="default" w:ascii="Times New Roman" w:hAnsi="Times New Roman" w:eastAsia="仿宋"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lang w:bidi="ar"/>
              </w:rPr>
              <w:t>其他公共服务领域应用</w:t>
            </w:r>
            <w:r>
              <w:rPr>
                <w:rFonts w:hint="default" w:ascii="Times New Roman" w:hAnsi="Times New Roman" w:eastAsia="仿宋_GB2312" w:cs="Times New Roman"/>
                <w:b w:val="0"/>
                <w:bCs w:val="0"/>
                <w:color w:val="auto"/>
                <w:szCs w:val="21"/>
                <w:highlight w:val="none"/>
                <w:lang w:eastAsia="zh-CN" w:bidi="ar"/>
              </w:rPr>
              <w:t>。</w:t>
            </w:r>
            <w:r>
              <w:rPr>
                <w:rFonts w:hint="default" w:ascii="Times New Roman" w:hAnsi="Times New Roman" w:eastAsia="仿宋_GB2312" w:cs="Times New Roman"/>
                <w:b w:val="0"/>
                <w:bCs w:val="0"/>
                <w:color w:val="auto"/>
                <w:szCs w:val="21"/>
                <w:highlight w:val="none"/>
                <w:lang w:bidi="ar"/>
              </w:rPr>
              <w:t>在港口巡检、公路巡检等领域，加大无人机替代传统人工服务力度。</w:t>
            </w:r>
          </w:p>
        </w:tc>
      </w:tr>
    </w:tbl>
    <w:p w14:paraId="5C5F1DF7">
      <w:pPr>
        <w:pStyle w:val="3"/>
        <w:keepNext w:val="0"/>
        <w:keepLines w:val="0"/>
        <w:pageBreakBefore w:val="0"/>
        <w:widowControl/>
        <w:kinsoku/>
        <w:wordWrap/>
        <w:overflowPunct/>
        <w:topLinePunct w:val="0"/>
        <w:autoSpaceDE/>
        <w:autoSpaceDN/>
        <w:bidi w:val="0"/>
        <w:adjustRightInd/>
        <w:spacing w:before="0" w:after="0" w:line="560" w:lineRule="exact"/>
        <w:ind w:firstLine="0" w:firstLineChars="0"/>
        <w:jc w:val="center"/>
        <w:textAlignment w:val="auto"/>
        <w:rPr>
          <w:rFonts w:hint="default" w:ascii="Times New Roman" w:hAnsi="Times New Roman" w:eastAsia="楷体" w:cs="Times New Roman"/>
          <w:b w:val="0"/>
          <w:bCs/>
          <w:color w:val="auto"/>
          <w:sz w:val="32"/>
          <w:szCs w:val="32"/>
          <w:highlight w:val="none"/>
        </w:rPr>
      </w:pPr>
      <w:bookmarkStart w:id="898" w:name="_Toc29786"/>
      <w:bookmarkStart w:id="899" w:name="_Toc17468"/>
      <w:bookmarkStart w:id="900" w:name="_Toc15414"/>
      <w:bookmarkStart w:id="901" w:name="_Toc16465"/>
      <w:bookmarkStart w:id="902" w:name="_Toc942801151"/>
      <w:bookmarkStart w:id="903" w:name="_Toc1569450228"/>
      <w:bookmarkStart w:id="904" w:name="_Toc19032"/>
      <w:bookmarkStart w:id="905" w:name="_Toc11792"/>
      <w:bookmarkStart w:id="906" w:name="_Toc16306"/>
      <w:bookmarkStart w:id="907" w:name="_Toc17744"/>
      <w:bookmarkStart w:id="908" w:name="_Toc19085"/>
      <w:bookmarkStart w:id="909" w:name="_Toc19771"/>
      <w:bookmarkStart w:id="910" w:name="_Toc12991"/>
      <w:bookmarkStart w:id="911" w:name="_Toc26992"/>
      <w:r>
        <w:rPr>
          <w:rFonts w:hint="default" w:ascii="Times New Roman" w:hAnsi="Times New Roman" w:eastAsia="楷体" w:cs="Times New Roman"/>
          <w:b w:val="0"/>
          <w:bCs/>
          <w:color w:val="auto"/>
          <w:sz w:val="32"/>
          <w:szCs w:val="32"/>
          <w:highlight w:val="none"/>
        </w:rPr>
        <w:t>第四</w:t>
      </w:r>
      <w:r>
        <w:rPr>
          <w:rFonts w:hint="default" w:ascii="Times New Roman" w:hAnsi="Times New Roman" w:eastAsia="楷体" w:cs="Times New Roman"/>
          <w:b w:val="0"/>
          <w:bCs/>
          <w:color w:val="auto"/>
          <w:sz w:val="32"/>
          <w:szCs w:val="32"/>
          <w:highlight w:val="none"/>
          <w:lang w:eastAsia="zh"/>
          <w:woUserID w:val="0"/>
        </w:rPr>
        <w:t>章</w:t>
      </w:r>
      <w:r>
        <w:rPr>
          <w:rFonts w:hint="default" w:ascii="Times New Roman" w:hAnsi="Times New Roman" w:eastAsia="楷体" w:cs="Times New Roman"/>
          <w:b w:val="0"/>
          <w:bCs/>
          <w:color w:val="auto"/>
          <w:sz w:val="32"/>
          <w:szCs w:val="32"/>
          <w:highlight w:val="none"/>
        </w:rPr>
        <w:t xml:space="preserve"> 实施桦川产业倍增行动计划</w:t>
      </w:r>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p>
    <w:p w14:paraId="4D2F5DB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bookmarkStart w:id="912" w:name="_Toc612510926"/>
      <w:bookmarkStart w:id="913" w:name="_Toc1277982615"/>
      <w:r>
        <w:rPr>
          <w:rFonts w:hint="default" w:ascii="Times New Roman" w:hAnsi="Times New Roman" w:eastAsia="仿宋_GB2312" w:cs="Times New Roman"/>
          <w:b w:val="0"/>
          <w:bCs/>
          <w:color w:val="auto"/>
          <w:sz w:val="32"/>
          <w:szCs w:val="32"/>
          <w:highlight w:val="none"/>
          <w:lang w:eastAsia="zh"/>
        </w:rPr>
        <w:t>坚持把发展经济的着力点放在实体经济上，坚持智能化、绿色化、融合化方向，以五大产业集群为引领，加快实施桦川产业倍增行动，推动重点产业提质升级，加快构建桦川特色的现代化产业体系。</w:t>
      </w:r>
    </w:p>
    <w:p w14:paraId="6173BB1C">
      <w:pPr>
        <w:keepNext w:val="0"/>
        <w:keepLines w:val="0"/>
        <w:pageBreakBefore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914" w:name="_Toc10186"/>
      <w:bookmarkStart w:id="915" w:name="_Toc16055"/>
      <w:bookmarkStart w:id="916" w:name="_Toc22122"/>
      <w:bookmarkStart w:id="917" w:name="_Toc30478"/>
      <w:bookmarkStart w:id="918" w:name="_Toc13779"/>
      <w:bookmarkStart w:id="919" w:name="_Toc32183"/>
      <w:bookmarkStart w:id="920" w:name="_Toc10974"/>
      <w:bookmarkStart w:id="921" w:name="_Toc10044"/>
      <w:bookmarkStart w:id="922" w:name="_Toc13498"/>
      <w:r>
        <w:rPr>
          <w:rFonts w:hint="default" w:ascii="Times New Roman" w:hAnsi="Times New Roman" w:eastAsia="仿宋_GB2312" w:cs="Times New Roman"/>
          <w:b w:val="0"/>
          <w:bCs/>
          <w:color w:val="auto"/>
          <w:sz w:val="32"/>
          <w:szCs w:val="32"/>
          <w:highlight w:val="none"/>
          <w:u w:val="none"/>
          <w:lang w:eastAsia="zh" w:bidi="ar"/>
          <w:woUserID w:val="0"/>
        </w:rPr>
        <w:t>第一节 加快承接产业转移与强化招商引资力度</w:t>
      </w:r>
      <w:bookmarkEnd w:id="912"/>
      <w:bookmarkEnd w:id="913"/>
      <w:bookmarkEnd w:id="914"/>
      <w:bookmarkEnd w:id="915"/>
      <w:bookmarkEnd w:id="916"/>
      <w:bookmarkEnd w:id="917"/>
      <w:bookmarkEnd w:id="918"/>
      <w:bookmarkEnd w:id="919"/>
      <w:bookmarkEnd w:id="920"/>
      <w:bookmarkEnd w:id="921"/>
      <w:bookmarkEnd w:id="922"/>
    </w:p>
    <w:p w14:paraId="19A2F87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全力做好加快招商引资“1131”重点工作，按照“传统产业转型升级、新兴产业发展壮大、未来产业抢滩布局”的思路，千方百计抓招商、抢项目、拼投资，压茬推进项目快落地、快开工、快建设，全力以赴做强存量、做优增量、做大总量，为县域经济发展注入强劲动能。围绕打造“一城”发展“五业”总体规划，明确产业链上中下游关系，完善招商产业链图谱。聚焦黑龙江省“4567”现代化产业体系，瞄准国内国际500强与行业领军企业，找准“头部企业”和细分行业领军企业、隐形冠军企业，积极走访考察洽谈合作，着力引进一批产业链上下游配套企业。注重“以商招商、以企引企”模式，围绕已落地企业产业上下游开展招商，鼓励顺发物流、</w:t>
      </w:r>
      <w:r>
        <w:rPr>
          <w:rFonts w:hint="default" w:ascii="Times New Roman" w:hAnsi="Times New Roman" w:eastAsia="仿宋_GB2312" w:cs="Times New Roman"/>
          <w:color w:val="auto"/>
          <w:sz w:val="32"/>
          <w:szCs w:val="32"/>
          <w:highlight w:val="none"/>
          <w:lang w:val="en-US" w:eastAsia="zh-CN"/>
        </w:rPr>
        <w:t>鑫沣塑料科技</w:t>
      </w:r>
      <w:r>
        <w:rPr>
          <w:rFonts w:hint="default" w:ascii="Times New Roman" w:hAnsi="Times New Roman" w:eastAsia="仿宋_GB2312" w:cs="Times New Roman"/>
          <w:color w:val="auto"/>
          <w:sz w:val="32"/>
          <w:szCs w:val="32"/>
          <w:highlight w:val="none"/>
          <w:lang w:eastAsia="zh"/>
        </w:rPr>
        <w:t>、付士米业等本土企业引荐投资合作伙伴，重点引进农副产品加工、塑料制品加工、农机制造、医药中间体等产业上下游和协作关联配套企业来桦发展。开展“腾笼换鸟”行动，围绕现有“半截子”工程项目，积极对接同类型企业，通过股权合作、资产重组、定制化改造等方式盘活存量资产。</w:t>
      </w:r>
    </w:p>
    <w:tbl>
      <w:tblPr>
        <w:tblStyle w:val="25"/>
        <w:tblW w:w="0" w:type="auto"/>
        <w:jc w:val="center"/>
        <w:tblLayout w:type="autofit"/>
        <w:tblCellMar>
          <w:top w:w="0" w:type="dxa"/>
          <w:left w:w="108" w:type="dxa"/>
          <w:bottom w:w="0" w:type="dxa"/>
          <w:right w:w="108" w:type="dxa"/>
        </w:tblCellMar>
      </w:tblPr>
      <w:tblGrid>
        <w:gridCol w:w="8296"/>
      </w:tblGrid>
      <w:tr w14:paraId="5E0C5DB8">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shd w:val="clear" w:color="auto" w:fill="auto"/>
          </w:tcPr>
          <w:p w14:paraId="2A230526">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lang w:bidi="ar"/>
              </w:rPr>
              <w:t>专栏4-4 “十五五”时期桦川县招商引资重点任务</w:t>
            </w:r>
          </w:p>
        </w:tc>
      </w:tr>
      <w:tr w14:paraId="1801FDD1">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shd w:val="clear" w:color="auto" w:fill="auto"/>
          </w:tcPr>
          <w:p w14:paraId="2F338A2A">
            <w:pPr>
              <w:spacing w:line="360" w:lineRule="exact"/>
              <w:ind w:firstLine="420" w:firstLineChars="200"/>
              <w:rPr>
                <w:rFonts w:hint="default" w:ascii="Times New Roman" w:hAnsi="Times New Roman" w:eastAsia="仿宋_GB2312" w:cs="Times New Roman"/>
                <w:b w:val="0"/>
                <w:bCs w:val="0"/>
                <w:color w:val="auto"/>
                <w:sz w:val="21"/>
                <w:szCs w:val="21"/>
                <w:highlight w:val="none"/>
              </w:rPr>
            </w:pPr>
            <w:r>
              <w:rPr>
                <w:rFonts w:hint="default" w:ascii="Times New Roman" w:hAnsi="Times New Roman" w:eastAsia="仿宋_GB2312" w:cs="Times New Roman"/>
                <w:b w:val="0"/>
                <w:bCs w:val="0"/>
                <w:color w:val="auto"/>
                <w:sz w:val="21"/>
                <w:szCs w:val="21"/>
                <w:highlight w:val="none"/>
                <w:lang w:bidi="ar"/>
              </w:rPr>
              <w:t>锚定现代种业招商</w:t>
            </w:r>
            <w:r>
              <w:rPr>
                <w:rFonts w:hint="default" w:ascii="Times New Roman" w:hAnsi="Times New Roman" w:eastAsia="仿宋_GB2312" w:cs="Times New Roman"/>
                <w:b w:val="0"/>
                <w:bCs w:val="0"/>
                <w:color w:val="auto"/>
                <w:sz w:val="21"/>
                <w:szCs w:val="21"/>
                <w:highlight w:val="none"/>
                <w:lang w:eastAsia="zh-CN" w:bidi="ar"/>
              </w:rPr>
              <w:t>。</w:t>
            </w:r>
            <w:r>
              <w:rPr>
                <w:rFonts w:hint="default" w:ascii="Times New Roman" w:hAnsi="Times New Roman" w:eastAsia="仿宋_GB2312" w:cs="Times New Roman"/>
                <w:b w:val="0"/>
                <w:bCs w:val="0"/>
                <w:color w:val="auto"/>
                <w:sz w:val="21"/>
                <w:szCs w:val="21"/>
                <w:highlight w:val="none"/>
                <w:lang w:bidi="ar"/>
              </w:rPr>
              <w:t>依托国家区域性良种繁育基地、国家级制种大县资源，发挥省级育种示范基地和分子育种中心项目作用，面向各大高校、科研院所、种业强企招商引资、招才引智，积极“走出去”拓宽发展空间，主动“请进来”推动种业提质，擦亮“桦川良种”名片，推动现代种业强县建设。</w:t>
            </w:r>
          </w:p>
          <w:p w14:paraId="508BBD47">
            <w:pPr>
              <w:spacing w:line="360" w:lineRule="exact"/>
              <w:ind w:firstLine="420" w:firstLineChars="200"/>
              <w:rPr>
                <w:rFonts w:hint="default" w:ascii="Times New Roman" w:hAnsi="Times New Roman" w:eastAsia="仿宋_GB2312" w:cs="Times New Roman"/>
                <w:b w:val="0"/>
                <w:bCs w:val="0"/>
                <w:color w:val="auto"/>
                <w:sz w:val="21"/>
                <w:szCs w:val="21"/>
                <w:highlight w:val="none"/>
              </w:rPr>
            </w:pPr>
            <w:r>
              <w:rPr>
                <w:rFonts w:hint="default" w:ascii="Times New Roman" w:hAnsi="Times New Roman" w:eastAsia="仿宋_GB2312" w:cs="Times New Roman"/>
                <w:b w:val="0"/>
                <w:bCs w:val="0"/>
                <w:color w:val="auto"/>
                <w:sz w:val="21"/>
                <w:szCs w:val="21"/>
                <w:highlight w:val="none"/>
                <w:lang w:bidi="ar"/>
              </w:rPr>
              <w:t>锚定农产品加工业招商</w:t>
            </w:r>
            <w:r>
              <w:rPr>
                <w:rFonts w:hint="default" w:ascii="Times New Roman" w:hAnsi="Times New Roman" w:eastAsia="仿宋_GB2312" w:cs="Times New Roman"/>
                <w:b w:val="0"/>
                <w:bCs w:val="0"/>
                <w:color w:val="auto"/>
                <w:sz w:val="21"/>
                <w:szCs w:val="21"/>
                <w:highlight w:val="none"/>
                <w:lang w:eastAsia="zh-CN" w:bidi="ar"/>
              </w:rPr>
              <w:t>。</w:t>
            </w:r>
            <w:r>
              <w:rPr>
                <w:rFonts w:hint="default" w:ascii="Times New Roman" w:hAnsi="Times New Roman" w:eastAsia="仿宋_GB2312" w:cs="Times New Roman"/>
                <w:b w:val="0"/>
                <w:bCs w:val="0"/>
                <w:color w:val="auto"/>
                <w:sz w:val="21"/>
                <w:szCs w:val="21"/>
                <w:highlight w:val="none"/>
                <w:lang w:bidi="ar"/>
              </w:rPr>
              <w:t>围绕“一颗谷、一粒米、一滴油、一碗饭、一杯酒”，重点招引大米淀粉、米糠脂、米糠蜡、大米蛋白等高附加值项目。瞄准河北、浙江、安徽等地国内龙头领先企业，重点招引鹅肉休闲食品、大鹅预制菜食品、熟肉制品、鹅油加工、鹅血冻干粉加工项目。依托优质大豆资源，重点招引传统豆制品、新兴豆制品、大豆油脂、豆粕、豆渣等副产物综合利用等四类产业链下游项目。重点引进玉米深加工项目，推动玉米加工业向鲜食玉米、发酵产品、化工产品等领域延伸。用好城郊丰富预制菜的绿色资源，招引成熟头部企业，开发净菜加工、预制米饭等产品，打造标准化预制菜生产、加工、配送基地。全力扶持柳编加工项目落地，推动“杞柳种植+柳编加工+研发创新+文化展示”融合发展。</w:t>
            </w:r>
          </w:p>
          <w:p w14:paraId="7E37927E">
            <w:pPr>
              <w:spacing w:line="360" w:lineRule="exact"/>
              <w:ind w:firstLine="420" w:firstLineChars="200"/>
              <w:rPr>
                <w:rFonts w:hint="default" w:ascii="Times New Roman" w:hAnsi="Times New Roman" w:eastAsia="仿宋_GB2312" w:cs="Times New Roman"/>
                <w:b w:val="0"/>
                <w:bCs w:val="0"/>
                <w:color w:val="auto"/>
                <w:sz w:val="21"/>
                <w:szCs w:val="21"/>
                <w:highlight w:val="none"/>
              </w:rPr>
            </w:pPr>
            <w:r>
              <w:rPr>
                <w:rFonts w:hint="default" w:ascii="Times New Roman" w:hAnsi="Times New Roman" w:eastAsia="仿宋_GB2312" w:cs="Times New Roman"/>
                <w:b w:val="0"/>
                <w:bCs w:val="0"/>
                <w:color w:val="auto"/>
                <w:sz w:val="21"/>
                <w:szCs w:val="21"/>
                <w:highlight w:val="none"/>
                <w:lang w:bidi="ar"/>
              </w:rPr>
              <w:t>锚定文化旅游业招商</w:t>
            </w:r>
            <w:r>
              <w:rPr>
                <w:rFonts w:hint="default" w:ascii="Times New Roman" w:hAnsi="Times New Roman" w:eastAsia="仿宋_GB2312" w:cs="Times New Roman"/>
                <w:b w:val="0"/>
                <w:bCs w:val="0"/>
                <w:color w:val="auto"/>
                <w:sz w:val="21"/>
                <w:szCs w:val="21"/>
                <w:highlight w:val="none"/>
                <w:lang w:eastAsia="zh-CN" w:bidi="ar"/>
              </w:rPr>
              <w:t>。</w:t>
            </w:r>
            <w:r>
              <w:rPr>
                <w:rFonts w:hint="default" w:ascii="Times New Roman" w:hAnsi="Times New Roman" w:eastAsia="仿宋_GB2312" w:cs="Times New Roman"/>
                <w:b w:val="0"/>
                <w:bCs w:val="0"/>
                <w:color w:val="auto"/>
                <w:sz w:val="21"/>
                <w:szCs w:val="21"/>
                <w:highlight w:val="none"/>
                <w:lang w:bidi="ar"/>
              </w:rPr>
              <w:t>借助星火稻香旅游景区等文化旅游资源优势，开发研学、生态、文化等研学项目。围绕“米世界”田园综合体项目开发运营深度谋划，招引游乐场建设、配套服务等全域旅游项目，打造农文旅融合新样板。推广桦川影视基地，引进影视制作、影视器材、后期制作等头部企业和配套企业落户，加快形成影视产业集群。</w:t>
            </w:r>
          </w:p>
          <w:p w14:paraId="2FED31F7">
            <w:pPr>
              <w:spacing w:line="360" w:lineRule="exact"/>
              <w:ind w:firstLine="420" w:firstLineChars="200"/>
              <w:rPr>
                <w:rFonts w:hint="default" w:ascii="Times New Roman" w:hAnsi="Times New Roman" w:eastAsia="仿宋_GB2312" w:cs="Times New Roman"/>
                <w:b w:val="0"/>
                <w:bCs w:val="0"/>
                <w:color w:val="auto"/>
                <w:sz w:val="21"/>
                <w:szCs w:val="21"/>
                <w:highlight w:val="none"/>
              </w:rPr>
            </w:pPr>
            <w:r>
              <w:rPr>
                <w:rFonts w:hint="default" w:ascii="Times New Roman" w:hAnsi="Times New Roman" w:eastAsia="仿宋_GB2312" w:cs="Times New Roman"/>
                <w:b w:val="0"/>
                <w:bCs w:val="0"/>
                <w:color w:val="auto"/>
                <w:sz w:val="21"/>
                <w:szCs w:val="21"/>
                <w:highlight w:val="none"/>
                <w:lang w:bidi="ar"/>
              </w:rPr>
              <w:t>锚定农机装备业招商</w:t>
            </w:r>
            <w:r>
              <w:rPr>
                <w:rFonts w:hint="default" w:ascii="Times New Roman" w:hAnsi="Times New Roman" w:eastAsia="仿宋_GB2312" w:cs="Times New Roman"/>
                <w:b w:val="0"/>
                <w:bCs w:val="0"/>
                <w:color w:val="auto"/>
                <w:sz w:val="21"/>
                <w:szCs w:val="21"/>
                <w:highlight w:val="none"/>
                <w:lang w:eastAsia="zh-CN" w:bidi="ar"/>
              </w:rPr>
              <w:t>。</w:t>
            </w:r>
            <w:r>
              <w:rPr>
                <w:rFonts w:hint="default" w:ascii="Times New Roman" w:hAnsi="Times New Roman" w:eastAsia="仿宋_GB2312" w:cs="Times New Roman"/>
                <w:b w:val="0"/>
                <w:bCs w:val="0"/>
                <w:color w:val="auto"/>
                <w:sz w:val="21"/>
                <w:szCs w:val="21"/>
                <w:highlight w:val="none"/>
                <w:lang w:bidi="ar"/>
              </w:rPr>
              <w:t>围绕约翰迪尔、骥驰拖拉机、德邦大为等佳木斯知名农机生产企业，根据现有产业链，继续招引一批产业链关键节点骨干企业，打造北方农机“配套城”。鼓励宇峰机械、明瑞机械等本土企业抢抓政策机遇，谋划智能农机改造升级项目，提升产品竞争力和市场占有率，打造特色农机“制造城”。谋划建设对俄农机配件销售集散地，吸引全国知名农机销售企业入驻经营，打造对俄农机“配件城”。</w:t>
            </w:r>
          </w:p>
          <w:p w14:paraId="1AE87FA6">
            <w:pPr>
              <w:spacing w:line="360" w:lineRule="exact"/>
              <w:ind w:firstLine="420" w:firstLineChars="200"/>
              <w:rPr>
                <w:rFonts w:hint="default" w:ascii="Times New Roman" w:hAnsi="Times New Roman" w:eastAsia="仿宋_GB2312" w:cs="Times New Roman"/>
                <w:b w:val="0"/>
                <w:bCs w:val="0"/>
                <w:color w:val="auto"/>
                <w:sz w:val="21"/>
                <w:szCs w:val="21"/>
                <w:highlight w:val="none"/>
              </w:rPr>
            </w:pPr>
            <w:r>
              <w:rPr>
                <w:rFonts w:hint="default" w:ascii="Times New Roman" w:hAnsi="Times New Roman" w:eastAsia="仿宋_GB2312" w:cs="Times New Roman"/>
                <w:b w:val="0"/>
                <w:bCs w:val="0"/>
                <w:color w:val="auto"/>
                <w:sz w:val="21"/>
                <w:szCs w:val="21"/>
                <w:highlight w:val="none"/>
                <w:lang w:bidi="ar"/>
              </w:rPr>
              <w:t>锚定仓储物流业招商</w:t>
            </w:r>
            <w:r>
              <w:rPr>
                <w:rFonts w:hint="default" w:ascii="Times New Roman" w:hAnsi="Times New Roman" w:eastAsia="仿宋_GB2312" w:cs="Times New Roman"/>
                <w:b w:val="0"/>
                <w:bCs w:val="0"/>
                <w:color w:val="auto"/>
                <w:sz w:val="21"/>
                <w:szCs w:val="21"/>
                <w:highlight w:val="none"/>
                <w:lang w:eastAsia="zh-CN" w:bidi="ar"/>
              </w:rPr>
              <w:t>。</w:t>
            </w:r>
            <w:r>
              <w:rPr>
                <w:rFonts w:hint="default" w:ascii="Times New Roman" w:hAnsi="Times New Roman" w:eastAsia="仿宋_GB2312" w:cs="Times New Roman"/>
                <w:b w:val="0"/>
                <w:bCs w:val="0"/>
                <w:color w:val="auto"/>
                <w:sz w:val="21"/>
                <w:szCs w:val="21"/>
                <w:highlight w:val="none"/>
                <w:lang w:bidi="ar"/>
              </w:rPr>
              <w:t>全力推进国储粮等战略储备项目签约落地，打造稳定高效的原料供应体系，为煤化工、稻米精深加工、高端肉制品加工等下游产业提供坚实保障，推进在谈“国字号”项目落地。重点对接新农利合、国开科发等目标企业，引进冷链物流仓储项目，着力打造集标准化仓储、智能分拣、冷链物流等功能于一体的现代化农业服务枢纽。围绕绿色物流兴起、供应链优化需求，重点跟进甲醇汽油仓储等项目，推动石化物流产业向高安全、高效率、高精准发展。</w:t>
            </w:r>
          </w:p>
          <w:p w14:paraId="2CA7B6FF">
            <w:pPr>
              <w:spacing w:line="360" w:lineRule="exact"/>
              <w:ind w:firstLine="420" w:firstLineChars="200"/>
              <w:rPr>
                <w:rFonts w:hint="default" w:ascii="Times New Roman" w:hAnsi="Times New Roman" w:eastAsia="仿宋_GB2312" w:cs="Times New Roman"/>
                <w:b w:val="0"/>
                <w:bCs w:val="0"/>
                <w:color w:val="auto"/>
                <w:sz w:val="21"/>
                <w:szCs w:val="21"/>
                <w:highlight w:val="none"/>
              </w:rPr>
            </w:pPr>
            <w:r>
              <w:rPr>
                <w:rFonts w:hint="default" w:ascii="Times New Roman" w:hAnsi="Times New Roman" w:eastAsia="仿宋_GB2312" w:cs="Times New Roman"/>
                <w:b w:val="0"/>
                <w:bCs w:val="0"/>
                <w:color w:val="auto"/>
                <w:sz w:val="21"/>
                <w:szCs w:val="21"/>
                <w:highlight w:val="none"/>
                <w:lang w:bidi="ar"/>
              </w:rPr>
              <w:t>锚定对俄贸易业招商</w:t>
            </w:r>
            <w:r>
              <w:rPr>
                <w:rFonts w:hint="default" w:ascii="Times New Roman" w:hAnsi="Times New Roman" w:eastAsia="仿宋_GB2312" w:cs="Times New Roman"/>
                <w:b w:val="0"/>
                <w:bCs w:val="0"/>
                <w:color w:val="auto"/>
                <w:sz w:val="21"/>
                <w:szCs w:val="21"/>
                <w:highlight w:val="none"/>
                <w:lang w:eastAsia="zh-CN" w:bidi="ar"/>
              </w:rPr>
              <w:t>。</w:t>
            </w:r>
            <w:r>
              <w:rPr>
                <w:rFonts w:hint="default" w:ascii="Times New Roman" w:hAnsi="Times New Roman" w:eastAsia="仿宋_GB2312" w:cs="Times New Roman"/>
                <w:b w:val="0"/>
                <w:bCs w:val="0"/>
                <w:color w:val="auto"/>
                <w:sz w:val="21"/>
                <w:szCs w:val="21"/>
                <w:highlight w:val="none"/>
                <w:lang w:bidi="ar"/>
              </w:rPr>
              <w:t>加强外向型经济主体的引进和培育，引导企业在本地注册结算，招引2家以上的大桥过货企业，推动贸易、投资、产业与市场深度融合，加快打造全市向北开放新高地。</w:t>
            </w:r>
          </w:p>
          <w:p w14:paraId="722A4731">
            <w:pPr>
              <w:spacing w:line="360" w:lineRule="exact"/>
              <w:ind w:firstLine="420" w:firstLineChars="200"/>
              <w:rPr>
                <w:rFonts w:hint="default" w:ascii="Times New Roman" w:hAnsi="Times New Roman" w:eastAsia="仿宋_GB2312" w:cs="Times New Roman"/>
                <w:b w:val="0"/>
                <w:bCs w:val="0"/>
                <w:color w:val="auto"/>
                <w:sz w:val="21"/>
                <w:szCs w:val="21"/>
                <w:highlight w:val="none"/>
              </w:rPr>
            </w:pPr>
            <w:r>
              <w:rPr>
                <w:rFonts w:hint="default" w:ascii="Times New Roman" w:hAnsi="Times New Roman" w:eastAsia="仿宋_GB2312" w:cs="Times New Roman"/>
                <w:b w:val="0"/>
                <w:bCs w:val="0"/>
                <w:color w:val="auto"/>
                <w:sz w:val="21"/>
                <w:szCs w:val="21"/>
                <w:highlight w:val="none"/>
                <w:lang w:bidi="ar"/>
              </w:rPr>
              <w:t>锚定精细化工业招商</w:t>
            </w:r>
            <w:r>
              <w:rPr>
                <w:rFonts w:hint="default" w:ascii="Times New Roman" w:hAnsi="Times New Roman" w:eastAsia="仿宋_GB2312" w:cs="Times New Roman"/>
                <w:b w:val="0"/>
                <w:bCs w:val="0"/>
                <w:color w:val="auto"/>
                <w:szCs w:val="21"/>
                <w:highlight w:val="none"/>
                <w:woUserID w:val="8"/>
              </w:rPr>
              <w:t>。</w:t>
            </w:r>
            <w:r>
              <w:rPr>
                <w:rFonts w:hint="default" w:ascii="Times New Roman" w:hAnsi="Times New Roman" w:eastAsia="仿宋_GB2312" w:cs="Times New Roman"/>
                <w:b w:val="0"/>
                <w:bCs w:val="0"/>
                <w:color w:val="auto"/>
                <w:sz w:val="21"/>
                <w:szCs w:val="21"/>
                <w:highlight w:val="none"/>
                <w:lang w:bidi="ar"/>
              </w:rPr>
              <w:t>发挥省级化工园区承载优势，围绕江苏连云港、内蒙古通辽等化工产业发达地区，谋划招引以食品添加剂、丙酮酸及丙酮酸盐类、生物医药、生物农药、煤化工等为核心的精细化工项目，推动新型化工产业与农业、食品、医药、纺织等下游产业融合发展。</w:t>
            </w:r>
          </w:p>
          <w:p w14:paraId="67B299C2">
            <w:pPr>
              <w:spacing w:line="360" w:lineRule="exact"/>
              <w:ind w:firstLine="420" w:firstLineChars="200"/>
              <w:rPr>
                <w:rFonts w:hint="default" w:ascii="Times New Roman" w:hAnsi="Times New Roman" w:eastAsia="楷体_GB2312" w:cs="Times New Roman"/>
                <w:b w:val="0"/>
                <w:bCs w:val="0"/>
                <w:color w:val="auto"/>
                <w:sz w:val="24"/>
                <w:highlight w:val="none"/>
              </w:rPr>
            </w:pPr>
            <w:r>
              <w:rPr>
                <w:rFonts w:hint="default" w:ascii="Times New Roman" w:hAnsi="Times New Roman" w:eastAsia="仿宋_GB2312" w:cs="Times New Roman"/>
                <w:b w:val="0"/>
                <w:bCs w:val="0"/>
                <w:color w:val="auto"/>
                <w:sz w:val="21"/>
                <w:szCs w:val="21"/>
                <w:highlight w:val="none"/>
                <w:lang w:bidi="ar"/>
              </w:rPr>
              <w:t>锚定新兴产业招商</w:t>
            </w:r>
            <w:r>
              <w:rPr>
                <w:rFonts w:hint="default" w:ascii="Times New Roman" w:hAnsi="Times New Roman" w:eastAsia="仿宋_GB2312" w:cs="Times New Roman"/>
                <w:b w:val="0"/>
                <w:bCs w:val="0"/>
                <w:color w:val="auto"/>
                <w:sz w:val="21"/>
                <w:szCs w:val="21"/>
                <w:highlight w:val="none"/>
                <w:lang w:eastAsia="zh-CN" w:bidi="ar"/>
              </w:rPr>
              <w:t>。</w:t>
            </w:r>
            <w:r>
              <w:rPr>
                <w:rFonts w:hint="default" w:ascii="Times New Roman" w:hAnsi="Times New Roman" w:eastAsia="仿宋_GB2312" w:cs="Times New Roman"/>
                <w:b w:val="0"/>
                <w:bCs w:val="0"/>
                <w:color w:val="auto"/>
                <w:sz w:val="21"/>
                <w:szCs w:val="21"/>
                <w:highlight w:val="none"/>
                <w:lang w:bidi="ar"/>
              </w:rPr>
              <w:t>聚焦发展新质生产力，围绕商业航天、电子信息制造、新材料、智能农机、高端装备制造、口腔医疗等战略性新兴产业、未来产业持续建链、延链、补链，精准谋划一批战略性新兴产业项目。谋划低空经济、银发经济、首发经济等产业招商新热点、新风向、新趋势，寻找符合桦川产业发展实际的方向和领域，形成一批精准对接政策、得到扶持的好项目。</w:t>
            </w:r>
          </w:p>
        </w:tc>
      </w:tr>
    </w:tbl>
    <w:p w14:paraId="03F455A3">
      <w:pPr>
        <w:keepNext w:val="0"/>
        <w:keepLines w:val="0"/>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923" w:name="_Toc888559358"/>
      <w:bookmarkStart w:id="924" w:name="_Toc25663"/>
      <w:bookmarkStart w:id="925" w:name="_Toc16253"/>
      <w:bookmarkStart w:id="926" w:name="_Toc23262"/>
      <w:bookmarkStart w:id="927" w:name="_Toc24089"/>
      <w:bookmarkStart w:id="928" w:name="_Toc7929"/>
      <w:bookmarkStart w:id="929" w:name="_Toc24465"/>
      <w:bookmarkStart w:id="930" w:name="_Toc22344"/>
      <w:bookmarkStart w:id="931" w:name="_Toc26770"/>
      <w:bookmarkStart w:id="932" w:name="_Toc26581"/>
      <w:bookmarkStart w:id="933" w:name="_Toc2096435124"/>
      <w:r>
        <w:rPr>
          <w:rFonts w:hint="default" w:ascii="Times New Roman" w:hAnsi="Times New Roman" w:eastAsia="仿宋_GB2312" w:cs="Times New Roman"/>
          <w:b w:val="0"/>
          <w:bCs w:val="0"/>
          <w:color w:val="auto"/>
          <w:sz w:val="32"/>
          <w:szCs w:val="32"/>
          <w:highlight w:val="none"/>
          <w:u w:val="none"/>
          <w:lang w:eastAsia="zh" w:bidi="ar"/>
          <w:woUserID w:val="0"/>
        </w:rPr>
        <w:t>第二节 着力推动大中小企业梯度培育和融通发展</w:t>
      </w:r>
      <w:bookmarkEnd w:id="923"/>
      <w:bookmarkEnd w:id="924"/>
      <w:bookmarkEnd w:id="925"/>
      <w:bookmarkEnd w:id="926"/>
      <w:bookmarkEnd w:id="927"/>
      <w:bookmarkEnd w:id="928"/>
      <w:bookmarkEnd w:id="929"/>
      <w:bookmarkEnd w:id="930"/>
      <w:bookmarkEnd w:id="931"/>
      <w:bookmarkEnd w:id="932"/>
      <w:bookmarkEnd w:id="933"/>
    </w:p>
    <w:p w14:paraId="6C3312A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创新金融服务深化政策落实。引导金融机构结合桦川实际，针对民营小微企业轻资产等特点，推出知识产权质押、动产质押、应收账款质押等信贷产品，满足企业融资需求。实施企业振兴专项行动，着力培育一批优秀民营企业、专精特新“小巨人”企业和制造业单项冠军企业。实施企业小升规、规转股、股上市工程，推动企业“智改数转”，引导金融机构加大对“领跑者”企业支持力度。聚焦农机装备、新材料、生物育种等优势领域，推动科技创新和产业创新深度融合发展，实现科技成果就地转化和产业化，全面构建县域经济发展新格局。采取“政府搭台、校企唱戏、市场运作”的对接形式，全力争取企业与东北农业大学、黑龙江八一农垦大学、佳木斯大学等高校签订战略合作协议，支持产学研用深度融合发展。常态化开展“走千企、访万户”行动，积极帮助企业解决招工、融资等难题。鼓励企业抢抓“两重”“两新”政策机遇，加大技术改造和智能化升级投入力度，推动传统产业向高端化、智能化、绿色化方向转型发展。到2030年，全县</w:t>
      </w:r>
      <w:r>
        <w:rPr>
          <w:rFonts w:hint="default" w:ascii="Times New Roman" w:hAnsi="Times New Roman" w:eastAsia="仿宋_GB2312" w:cs="Times New Roman"/>
          <w:color w:val="auto"/>
          <w:sz w:val="32"/>
          <w:szCs w:val="32"/>
          <w:highlight w:val="none"/>
          <w:lang w:val="en-US" w:eastAsia="zh-CN"/>
        </w:rPr>
        <w:t>培育</w:t>
      </w:r>
      <w:r>
        <w:rPr>
          <w:rFonts w:hint="default" w:ascii="Times New Roman" w:hAnsi="Times New Roman" w:eastAsia="仿宋_GB2312" w:cs="Times New Roman"/>
          <w:color w:val="auto"/>
          <w:sz w:val="32"/>
          <w:szCs w:val="32"/>
          <w:highlight w:val="none"/>
          <w:lang w:eastAsia="zh"/>
        </w:rPr>
        <w:t>高新技术企业</w:t>
      </w:r>
      <w:r>
        <w:rPr>
          <w:rFonts w:hint="default" w:ascii="Times New Roman" w:hAnsi="Times New Roman" w:eastAsia="仿宋_GB2312" w:cs="Times New Roman"/>
          <w:color w:val="auto"/>
          <w:sz w:val="32"/>
          <w:szCs w:val="32"/>
          <w:highlight w:val="none"/>
          <w:lang w:eastAsia="zh-CN"/>
        </w:rPr>
        <w:t>5</w:t>
      </w:r>
      <w:r>
        <w:rPr>
          <w:rFonts w:hint="default" w:ascii="Times New Roman" w:hAnsi="Times New Roman" w:eastAsia="仿宋_GB2312" w:cs="Times New Roman"/>
          <w:color w:val="auto"/>
          <w:sz w:val="32"/>
          <w:szCs w:val="32"/>
          <w:highlight w:val="none"/>
          <w:lang w:eastAsia="zh"/>
        </w:rPr>
        <w:t>户，</w:t>
      </w:r>
      <w:r>
        <w:rPr>
          <w:rFonts w:hint="default" w:ascii="Times New Roman" w:hAnsi="Times New Roman" w:eastAsia="仿宋_GB2312" w:cs="Times New Roman"/>
          <w:color w:val="auto"/>
          <w:sz w:val="32"/>
          <w:szCs w:val="32"/>
          <w:highlight w:val="none"/>
          <w:lang w:val="en-US" w:eastAsia="zh-CN"/>
        </w:rPr>
        <w:t>新增</w:t>
      </w:r>
      <w:r>
        <w:rPr>
          <w:rFonts w:hint="default" w:ascii="Times New Roman" w:hAnsi="Times New Roman" w:eastAsia="仿宋_GB2312" w:cs="Times New Roman"/>
          <w:color w:val="auto"/>
          <w:sz w:val="32"/>
          <w:szCs w:val="32"/>
          <w:highlight w:val="none"/>
          <w:lang w:eastAsia="zh"/>
        </w:rPr>
        <w:t>专精特新中小企业</w:t>
      </w:r>
      <w:r>
        <w:rPr>
          <w:rFonts w:hint="default" w:ascii="Times New Roman" w:hAnsi="Times New Roman" w:eastAsia="仿宋_GB2312" w:cs="Times New Roman"/>
          <w:color w:val="auto"/>
          <w:sz w:val="32"/>
          <w:szCs w:val="32"/>
          <w:highlight w:val="none"/>
          <w:lang w:eastAsia="zh-CN"/>
        </w:rPr>
        <w:t>3</w:t>
      </w:r>
      <w:r>
        <w:rPr>
          <w:rFonts w:hint="default" w:ascii="Times New Roman" w:hAnsi="Times New Roman" w:eastAsia="仿宋_GB2312" w:cs="Times New Roman"/>
          <w:color w:val="auto"/>
          <w:sz w:val="32"/>
          <w:szCs w:val="32"/>
          <w:highlight w:val="none"/>
          <w:lang w:eastAsia="zh"/>
        </w:rPr>
        <w:t>户，新增省级数字化车间1个以上；园区科技创新能力大幅提升，规上企业数量达到35户以上；园区服务高效便捷，企业满意度达100%。</w:t>
      </w:r>
    </w:p>
    <w:tbl>
      <w:tblPr>
        <w:tblStyle w:val="25"/>
        <w:tblW w:w="0" w:type="auto"/>
        <w:jc w:val="center"/>
        <w:tblLayout w:type="autofit"/>
        <w:tblCellMar>
          <w:top w:w="0" w:type="dxa"/>
          <w:left w:w="108" w:type="dxa"/>
          <w:bottom w:w="0" w:type="dxa"/>
          <w:right w:w="108" w:type="dxa"/>
        </w:tblCellMar>
      </w:tblPr>
      <w:tblGrid>
        <w:gridCol w:w="8296"/>
      </w:tblGrid>
      <w:tr w14:paraId="20FDEB20">
        <w:trPr>
          <w:jc w:val="center"/>
        </w:trPr>
        <w:tc>
          <w:tcPr>
            <w:tcW w:w="8296" w:type="dxa"/>
            <w:tcBorders>
              <w:top w:val="single" w:color="auto" w:sz="4" w:space="0"/>
              <w:left w:val="single" w:color="auto" w:sz="4" w:space="0"/>
              <w:bottom w:val="single" w:color="auto" w:sz="4" w:space="0"/>
              <w:right w:val="single" w:color="auto" w:sz="4" w:space="0"/>
            </w:tcBorders>
            <w:shd w:val="clear" w:color="auto" w:fill="auto"/>
          </w:tcPr>
          <w:p w14:paraId="2BD8E001">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lang w:bidi="ar"/>
              </w:rPr>
              <w:t>专栏4-5 企业科技创新重点任务</w:t>
            </w:r>
          </w:p>
        </w:tc>
      </w:tr>
      <w:tr w14:paraId="1531DE85">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shd w:val="clear" w:color="auto" w:fill="auto"/>
          </w:tcPr>
          <w:p w14:paraId="34CB6884">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eastAsia="仿宋_GB2312" w:cs="Times New Roman"/>
                <w:b w:val="0"/>
                <w:bCs w:val="0"/>
                <w:color w:val="auto"/>
                <w:sz w:val="21"/>
                <w:szCs w:val="21"/>
                <w:highlight w:val="none"/>
              </w:rPr>
            </w:pPr>
            <w:r>
              <w:rPr>
                <w:rFonts w:hint="default" w:ascii="Times New Roman" w:hAnsi="Times New Roman" w:eastAsia="仿宋_GB2312" w:cs="Times New Roman"/>
                <w:b w:val="0"/>
                <w:bCs w:val="0"/>
                <w:color w:val="auto"/>
                <w:sz w:val="21"/>
                <w:szCs w:val="21"/>
                <w:highlight w:val="none"/>
                <w:lang w:bidi="ar"/>
              </w:rPr>
              <w:t>推动科技创新能力取得新突破</w:t>
            </w:r>
            <w:r>
              <w:rPr>
                <w:rFonts w:hint="default" w:ascii="Times New Roman" w:hAnsi="Times New Roman" w:eastAsia="仿宋_GB2312" w:cs="Times New Roman"/>
                <w:b w:val="0"/>
                <w:bCs w:val="0"/>
                <w:color w:val="auto"/>
                <w:szCs w:val="21"/>
                <w:highlight w:val="none"/>
                <w:woUserID w:val="8"/>
              </w:rPr>
              <w:t>。</w:t>
            </w:r>
            <w:r>
              <w:rPr>
                <w:rFonts w:hint="default" w:ascii="Times New Roman" w:hAnsi="Times New Roman" w:eastAsia="仿宋_GB2312" w:cs="Times New Roman"/>
                <w:b w:val="0"/>
                <w:bCs w:val="0"/>
                <w:color w:val="auto"/>
                <w:sz w:val="21"/>
                <w:szCs w:val="21"/>
                <w:highlight w:val="none"/>
                <w:lang w:bidi="ar"/>
              </w:rPr>
              <w:t>深入贯彻落实企业研发投入奖补、基础研究等惠企政策，通过“政策激励+要素驱动”，鼓励企业加大研发投入力度，提高基础研究经费在总研发经费中的比重，打造基础经费来源多样化格局，提升原始创新能力。梳理企业产业转型升级需求，积极对接高校、科研院所和机构，及时解决企业技术需求，进一步推动科技创新与产业创新深度融合，提升企业自主创新能力。</w:t>
            </w:r>
          </w:p>
          <w:p w14:paraId="2AF64A00">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eastAsia="仿宋_GB2312" w:cs="Times New Roman"/>
                <w:b w:val="0"/>
                <w:bCs w:val="0"/>
                <w:color w:val="auto"/>
                <w:sz w:val="21"/>
                <w:szCs w:val="21"/>
                <w:highlight w:val="none"/>
              </w:rPr>
            </w:pPr>
            <w:r>
              <w:rPr>
                <w:rFonts w:hint="default" w:ascii="Times New Roman" w:hAnsi="Times New Roman" w:eastAsia="仿宋_GB2312" w:cs="Times New Roman"/>
                <w:b w:val="0"/>
                <w:bCs w:val="0"/>
                <w:color w:val="auto"/>
                <w:sz w:val="21"/>
                <w:szCs w:val="21"/>
                <w:highlight w:val="none"/>
                <w:lang w:bidi="ar"/>
              </w:rPr>
              <w:t>推动科创企业总量取得新突破</w:t>
            </w:r>
            <w:r>
              <w:rPr>
                <w:rFonts w:hint="default" w:ascii="Times New Roman" w:hAnsi="Times New Roman" w:eastAsia="仿宋_GB2312" w:cs="Times New Roman"/>
                <w:b w:val="0"/>
                <w:bCs w:val="0"/>
                <w:color w:val="auto"/>
                <w:szCs w:val="21"/>
                <w:highlight w:val="none"/>
                <w:woUserID w:val="8"/>
              </w:rPr>
              <w:t>。</w:t>
            </w:r>
            <w:r>
              <w:rPr>
                <w:rFonts w:hint="default" w:ascii="Times New Roman" w:hAnsi="Times New Roman" w:eastAsia="仿宋_GB2312" w:cs="Times New Roman"/>
                <w:b w:val="0"/>
                <w:bCs w:val="0"/>
                <w:color w:val="auto"/>
                <w:sz w:val="21"/>
                <w:szCs w:val="21"/>
                <w:highlight w:val="none"/>
                <w:lang w:bidi="ar"/>
              </w:rPr>
              <w:t>以培育发展科技创新主体为核心，实施“科技型中小企业—高新技术企业—专精特新‘小巨人’”梯度培育专项行动，鼓励企业科技创新不断取得新发展。按照“筛选、培育、后备、申报”的顺序，培育国家级科技型中小企业、高新技术企业、专精特新中小企业。加快三绿源米业、付士米业、富桦星火米业等制造业企业数字化转型，购置先进数字化设备，打造一批省级数字化车间。到2030年科技型中小企业总数突破30户，创新型中小企业总数突破10户，</w:t>
            </w:r>
            <w:r>
              <w:rPr>
                <w:rFonts w:hint="default" w:ascii="Times New Roman" w:hAnsi="Times New Roman" w:eastAsia="仿宋_GB2312" w:cs="Times New Roman"/>
                <w:b w:val="0"/>
                <w:bCs w:val="0"/>
                <w:color w:val="auto"/>
                <w:sz w:val="21"/>
                <w:szCs w:val="21"/>
                <w:highlight w:val="none"/>
                <w:lang w:val="en-US" w:eastAsia="zh-CN" w:bidi="ar"/>
              </w:rPr>
              <w:t>培育</w:t>
            </w:r>
            <w:r>
              <w:rPr>
                <w:rFonts w:hint="default" w:ascii="Times New Roman" w:hAnsi="Times New Roman" w:eastAsia="仿宋_GB2312" w:cs="Times New Roman"/>
                <w:b w:val="0"/>
                <w:bCs w:val="0"/>
                <w:color w:val="auto"/>
                <w:sz w:val="21"/>
                <w:szCs w:val="21"/>
                <w:highlight w:val="none"/>
                <w:lang w:bidi="ar"/>
              </w:rPr>
              <w:t>高新技术企业5户，</w:t>
            </w:r>
            <w:r>
              <w:rPr>
                <w:rFonts w:hint="default" w:ascii="Times New Roman" w:hAnsi="Times New Roman" w:eastAsia="仿宋_GB2312" w:cs="Times New Roman"/>
                <w:b w:val="0"/>
                <w:bCs w:val="0"/>
                <w:color w:val="auto"/>
                <w:sz w:val="21"/>
                <w:szCs w:val="21"/>
                <w:highlight w:val="none"/>
                <w:lang w:val="en-US" w:eastAsia="zh-CN" w:bidi="ar"/>
              </w:rPr>
              <w:t>新增</w:t>
            </w:r>
            <w:r>
              <w:rPr>
                <w:rFonts w:hint="default" w:ascii="Times New Roman" w:hAnsi="Times New Roman" w:eastAsia="仿宋_GB2312" w:cs="Times New Roman"/>
                <w:b w:val="0"/>
                <w:bCs w:val="0"/>
                <w:color w:val="auto"/>
                <w:sz w:val="21"/>
                <w:szCs w:val="21"/>
                <w:highlight w:val="none"/>
                <w:lang w:bidi="ar"/>
              </w:rPr>
              <w:t>专精特新中小企业总数突破5户，新增数字化车间1个。</w:t>
            </w:r>
          </w:p>
          <w:p w14:paraId="4DFA54D4">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eastAsia="仿宋_GB2312" w:cs="Times New Roman"/>
                <w:b w:val="0"/>
                <w:bCs w:val="0"/>
                <w:color w:val="auto"/>
                <w:sz w:val="21"/>
                <w:szCs w:val="21"/>
                <w:highlight w:val="none"/>
              </w:rPr>
            </w:pPr>
            <w:r>
              <w:rPr>
                <w:rFonts w:hint="default" w:ascii="Times New Roman" w:hAnsi="Times New Roman" w:eastAsia="仿宋_GB2312" w:cs="Times New Roman"/>
                <w:b w:val="0"/>
                <w:bCs w:val="0"/>
                <w:color w:val="auto"/>
                <w:sz w:val="21"/>
                <w:szCs w:val="21"/>
                <w:highlight w:val="none"/>
                <w:lang w:bidi="ar"/>
              </w:rPr>
              <w:t>推动科技攻关项目取得新突破</w:t>
            </w:r>
            <w:r>
              <w:rPr>
                <w:rFonts w:hint="default" w:ascii="Times New Roman" w:hAnsi="Times New Roman" w:eastAsia="仿宋_GB2312" w:cs="Times New Roman"/>
                <w:b w:val="0"/>
                <w:bCs w:val="0"/>
                <w:color w:val="auto"/>
                <w:szCs w:val="21"/>
                <w:highlight w:val="none"/>
                <w:woUserID w:val="8"/>
              </w:rPr>
              <w:t>。</w:t>
            </w:r>
            <w:r>
              <w:rPr>
                <w:rFonts w:hint="default" w:ascii="Times New Roman" w:hAnsi="Times New Roman" w:eastAsia="仿宋_GB2312" w:cs="Times New Roman"/>
                <w:b w:val="0"/>
                <w:bCs w:val="0"/>
                <w:color w:val="auto"/>
                <w:sz w:val="21"/>
                <w:szCs w:val="21"/>
                <w:highlight w:val="none"/>
                <w:lang w:bidi="ar"/>
              </w:rPr>
              <w:t>按照打造“一城”发展“五业”安排部署，强化“企业出题、科研解题、市场阅卷”导向，聚焦“4567”现代化产业体系重点领域和薄弱环节形成关键技术清单，重点围绕数字经济、生物经济、新材料、智能农机等领域布局重大攻关项目，凝练技术需求，以项目为载体，加快产学研用的深度融合，鼓励引导鑫沣塑料、春生农机等企业开展关键技术攻关，完成重点产业领域关键技术攻关项目零突破。</w:t>
            </w:r>
          </w:p>
          <w:p w14:paraId="2E2B6A96">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eastAsia="仿宋_GB2312" w:cs="Times New Roman"/>
                <w:b w:val="0"/>
                <w:bCs w:val="0"/>
                <w:color w:val="auto"/>
                <w:sz w:val="21"/>
                <w:szCs w:val="21"/>
                <w:highlight w:val="none"/>
              </w:rPr>
            </w:pPr>
            <w:r>
              <w:rPr>
                <w:rFonts w:hint="default" w:ascii="Times New Roman" w:hAnsi="Times New Roman" w:eastAsia="仿宋_GB2312" w:cs="Times New Roman"/>
                <w:b w:val="0"/>
                <w:bCs w:val="0"/>
                <w:color w:val="auto"/>
                <w:sz w:val="21"/>
                <w:szCs w:val="21"/>
                <w:highlight w:val="none"/>
                <w:lang w:bidi="ar"/>
              </w:rPr>
              <w:t>推动科技成果转化取得新突破</w:t>
            </w:r>
            <w:r>
              <w:rPr>
                <w:rFonts w:hint="default" w:ascii="Times New Roman" w:hAnsi="Times New Roman" w:eastAsia="仿宋_GB2312" w:cs="Times New Roman"/>
                <w:b w:val="0"/>
                <w:bCs w:val="0"/>
                <w:color w:val="auto"/>
                <w:szCs w:val="21"/>
                <w:highlight w:val="none"/>
                <w:woUserID w:val="8"/>
              </w:rPr>
              <w:t>。</w:t>
            </w:r>
            <w:r>
              <w:rPr>
                <w:rFonts w:hint="default" w:ascii="Times New Roman" w:hAnsi="Times New Roman" w:eastAsia="仿宋_GB2312" w:cs="Times New Roman"/>
                <w:b w:val="0"/>
                <w:bCs w:val="0"/>
                <w:color w:val="auto"/>
                <w:sz w:val="21"/>
                <w:szCs w:val="21"/>
                <w:highlight w:val="none"/>
                <w:lang w:bidi="ar"/>
              </w:rPr>
              <w:t>主动融入市科技成果联络体系，积极搭建校企合作平台，促进产学研深度融合，常态化开展科技成果供需对接，组织科技成果路演推介对接活动，支持企业购买高校、科研院所、新型研发机构科技成果。推动田友种业、新峰种业、富尔中秋等企业科技成果在桦川实现产业化应用。</w:t>
            </w:r>
          </w:p>
          <w:p w14:paraId="7BE61B1A">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eastAsia="仿宋_GB2312" w:cs="Times New Roman"/>
                <w:b w:val="0"/>
                <w:bCs w:val="0"/>
                <w:color w:val="auto"/>
                <w:sz w:val="21"/>
                <w:szCs w:val="21"/>
                <w:highlight w:val="none"/>
              </w:rPr>
            </w:pPr>
            <w:r>
              <w:rPr>
                <w:rFonts w:hint="default" w:ascii="Times New Roman" w:hAnsi="Times New Roman" w:eastAsia="仿宋_GB2312" w:cs="Times New Roman"/>
                <w:b w:val="0"/>
                <w:bCs w:val="0"/>
                <w:color w:val="auto"/>
                <w:sz w:val="21"/>
                <w:szCs w:val="21"/>
                <w:highlight w:val="none"/>
                <w:lang w:bidi="ar"/>
              </w:rPr>
              <w:t>推动科技创新平台取得新突破</w:t>
            </w:r>
            <w:r>
              <w:rPr>
                <w:rFonts w:hint="default" w:ascii="Times New Roman" w:hAnsi="Times New Roman" w:eastAsia="仿宋_GB2312" w:cs="Times New Roman"/>
                <w:b w:val="0"/>
                <w:bCs w:val="0"/>
                <w:color w:val="auto"/>
                <w:szCs w:val="21"/>
                <w:highlight w:val="none"/>
                <w:woUserID w:val="8"/>
              </w:rPr>
              <w:t>。</w:t>
            </w:r>
            <w:r>
              <w:rPr>
                <w:rFonts w:hint="default" w:ascii="Times New Roman" w:hAnsi="Times New Roman" w:eastAsia="仿宋_GB2312" w:cs="Times New Roman"/>
                <w:b w:val="0"/>
                <w:bCs w:val="0"/>
                <w:color w:val="auto"/>
                <w:sz w:val="21"/>
                <w:szCs w:val="21"/>
                <w:highlight w:val="none"/>
                <w:lang w:bidi="ar"/>
              </w:rPr>
              <w:t>立足县域产业特色与创新需求，摸清企业技术痛点、高校科研强项、产业链薄弱环节，开展科技企业创新平台培育行动，深挖企业科技创新要素，推进善思农业、富尔中秋等科技型企业与大院大所合作，培育和建设一批市级以上重点实验室、工程技术研究中心、新型研发机构等科技创新平台，加快科技成果研发与转化，为科技成果产业化提供重要支撑。</w:t>
            </w:r>
          </w:p>
          <w:p w14:paraId="0FD6D46B">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eastAsia="仿宋_GB2312" w:cs="Times New Roman"/>
                <w:b w:val="0"/>
                <w:bCs w:val="0"/>
                <w:color w:val="auto"/>
                <w:sz w:val="21"/>
                <w:szCs w:val="21"/>
                <w:highlight w:val="none"/>
              </w:rPr>
            </w:pPr>
            <w:r>
              <w:rPr>
                <w:rFonts w:hint="default" w:ascii="Times New Roman" w:hAnsi="Times New Roman" w:eastAsia="仿宋_GB2312" w:cs="Times New Roman"/>
                <w:b w:val="0"/>
                <w:bCs w:val="0"/>
                <w:color w:val="auto"/>
                <w:sz w:val="21"/>
                <w:szCs w:val="21"/>
                <w:highlight w:val="none"/>
                <w:lang w:bidi="ar"/>
              </w:rPr>
              <w:t>推动知识产权保护取得新突</w:t>
            </w:r>
            <w:r>
              <w:rPr>
                <w:rFonts w:hint="default" w:ascii="Times New Roman" w:hAnsi="Times New Roman" w:eastAsia="仿宋_GB2312" w:cs="Times New Roman"/>
                <w:b w:val="0"/>
                <w:bCs w:val="0"/>
                <w:color w:val="auto"/>
                <w:szCs w:val="21"/>
                <w:highlight w:val="none"/>
                <w:woUserID w:val="8"/>
              </w:rPr>
              <w:t>破。</w:t>
            </w:r>
            <w:r>
              <w:rPr>
                <w:rFonts w:hint="default" w:ascii="Times New Roman" w:hAnsi="Times New Roman" w:eastAsia="仿宋_GB2312" w:cs="Times New Roman"/>
                <w:b w:val="0"/>
                <w:bCs w:val="0"/>
                <w:color w:val="auto"/>
                <w:sz w:val="21"/>
                <w:szCs w:val="21"/>
                <w:highlight w:val="none"/>
                <w:lang w:bidi="ar"/>
              </w:rPr>
              <w:t>建立科技创新管理体制机制。强化企业在技术创新中的主体地位。探索建立财政科技资金对科技项目的扶持机制，强化创新要素的市场配置能力。建立健全科技成果转化服务平台和引导激励机制，鼓励企业自主研发一批拥有自主知识产权的关键技术。</w:t>
            </w:r>
          </w:p>
          <w:p w14:paraId="33A6AE3D">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eastAsia="楷体_GB2312" w:cs="Times New Roman"/>
                <w:b w:val="0"/>
                <w:bCs w:val="0"/>
                <w:color w:val="auto"/>
                <w:sz w:val="24"/>
                <w:highlight w:val="none"/>
              </w:rPr>
            </w:pPr>
            <w:r>
              <w:rPr>
                <w:rFonts w:hint="default" w:ascii="Times New Roman" w:hAnsi="Times New Roman" w:eastAsia="仿宋_GB2312" w:cs="Times New Roman"/>
                <w:b w:val="0"/>
                <w:bCs w:val="0"/>
                <w:color w:val="auto"/>
                <w:sz w:val="21"/>
                <w:szCs w:val="21"/>
                <w:highlight w:val="none"/>
                <w:lang w:bidi="ar"/>
              </w:rPr>
              <w:t>推动科技创新人才取得新突</w:t>
            </w:r>
            <w:r>
              <w:rPr>
                <w:rFonts w:hint="default" w:ascii="Times New Roman" w:hAnsi="Times New Roman" w:eastAsia="仿宋_GB2312" w:cs="Times New Roman"/>
                <w:b w:val="0"/>
                <w:bCs w:val="0"/>
                <w:color w:val="auto"/>
                <w:szCs w:val="21"/>
                <w:highlight w:val="none"/>
                <w:woUserID w:val="8"/>
              </w:rPr>
              <w:t>破。</w:t>
            </w:r>
            <w:r>
              <w:rPr>
                <w:rFonts w:hint="default" w:ascii="Times New Roman" w:hAnsi="Times New Roman" w:eastAsia="仿宋_GB2312" w:cs="Times New Roman"/>
                <w:b w:val="0"/>
                <w:bCs w:val="0"/>
                <w:color w:val="auto"/>
                <w:sz w:val="21"/>
                <w:szCs w:val="21"/>
                <w:highlight w:val="none"/>
                <w:lang w:bidi="ar"/>
              </w:rPr>
              <w:t>聚焦“高精尖缺”领域，鼓励企业发展引才，大力宣传桦川人才政策，积极探索建立引进人才服务企业制度，让人才引得进、留得住、用得好，培养一批能解决“卡脖子”技术难题的领军人才和创新团队，为实现高水平科技自立自强提供坚实的人才支撑。</w:t>
            </w:r>
          </w:p>
        </w:tc>
      </w:tr>
    </w:tbl>
    <w:p w14:paraId="757DDCE5">
      <w:pPr>
        <w:keepNext w:val="0"/>
        <w:keepLines w:val="0"/>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934" w:name="_Toc30252"/>
      <w:bookmarkStart w:id="935" w:name="_Toc3676"/>
      <w:bookmarkStart w:id="936" w:name="_Toc12443"/>
      <w:bookmarkStart w:id="937" w:name="_Toc5477"/>
      <w:bookmarkStart w:id="938" w:name="_Toc1403168130"/>
      <w:bookmarkStart w:id="939" w:name="_Toc27610"/>
      <w:bookmarkStart w:id="940" w:name="_Toc9336"/>
      <w:bookmarkStart w:id="941" w:name="_Toc19713"/>
      <w:bookmarkStart w:id="942" w:name="_Toc11548"/>
      <w:bookmarkStart w:id="943" w:name="_Toc13886"/>
      <w:bookmarkStart w:id="944" w:name="_Toc1174874939"/>
      <w:r>
        <w:rPr>
          <w:rFonts w:hint="default" w:ascii="Times New Roman" w:hAnsi="Times New Roman" w:eastAsia="仿宋_GB2312" w:cs="Times New Roman"/>
          <w:b w:val="0"/>
          <w:bCs w:val="0"/>
          <w:color w:val="auto"/>
          <w:sz w:val="32"/>
          <w:szCs w:val="32"/>
          <w:highlight w:val="none"/>
          <w:u w:val="none"/>
          <w:lang w:eastAsia="zh" w:bidi="ar"/>
          <w:woUserID w:val="0"/>
        </w:rPr>
        <w:t>第三节 联动佳木斯打造“双城双地”产业备份基地</w:t>
      </w:r>
      <w:bookmarkEnd w:id="934"/>
      <w:bookmarkEnd w:id="935"/>
      <w:bookmarkEnd w:id="936"/>
      <w:bookmarkEnd w:id="937"/>
      <w:bookmarkEnd w:id="938"/>
      <w:bookmarkEnd w:id="939"/>
      <w:bookmarkEnd w:id="940"/>
      <w:bookmarkEnd w:id="941"/>
      <w:bookmarkEnd w:id="942"/>
      <w:bookmarkEnd w:id="943"/>
      <w:bookmarkEnd w:id="944"/>
    </w:p>
    <w:p w14:paraId="7D566D5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充分发挥自身区位优势和产业基础，联动打造“双城双地”产业备份基地。依托中国绿色稻米之都优势，与佳木斯共建农产品加工产业备份基地，进一步提升稻米加工能力，巩固全省最大米糠加工基地地位。借助佳木斯市科技人才资源，加强与高校科研院所合作，建立产业技术创新联盟，提升产业创新能力。积极承接佳木斯产业转移，利用现有工业基础，重点发展钢结构、塑料制品等产业，打造制造业备份基地。加强与佳木斯在能源保障、物流运输等方面合作，共同完善产业配套基础设施，吸引更多企业入驻，实现桦川与佳木斯的产业互补、协同发展。</w:t>
      </w:r>
    </w:p>
    <w:p w14:paraId="458A4ED2">
      <w:pPr>
        <w:keepNext w:val="0"/>
        <w:keepLines w:val="0"/>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945" w:name="_Toc11421"/>
      <w:bookmarkStart w:id="946" w:name="_Toc17940"/>
      <w:bookmarkStart w:id="947" w:name="_Toc4120"/>
      <w:bookmarkStart w:id="948" w:name="_Toc19889"/>
      <w:bookmarkStart w:id="949" w:name="_Toc10618"/>
      <w:bookmarkStart w:id="950" w:name="_Toc6230"/>
      <w:bookmarkStart w:id="951" w:name="_Toc14043"/>
      <w:bookmarkStart w:id="952" w:name="_Toc1438211686"/>
      <w:bookmarkStart w:id="953" w:name="_Toc20402"/>
      <w:bookmarkStart w:id="954" w:name="_Toc26839"/>
      <w:bookmarkStart w:id="955" w:name="_Toc168272692"/>
      <w:r>
        <w:rPr>
          <w:rFonts w:hint="default" w:ascii="Times New Roman" w:hAnsi="Times New Roman" w:eastAsia="仿宋_GB2312" w:cs="Times New Roman"/>
          <w:b w:val="0"/>
          <w:bCs w:val="0"/>
          <w:color w:val="auto"/>
          <w:sz w:val="32"/>
          <w:szCs w:val="32"/>
          <w:highlight w:val="none"/>
          <w:u w:val="none"/>
          <w:lang w:eastAsia="zh" w:bidi="ar"/>
          <w:woUserID w:val="0"/>
        </w:rPr>
        <w:t>第四节 强化产业园区载体建设与运营模式创新</w:t>
      </w:r>
      <w:bookmarkEnd w:id="945"/>
      <w:bookmarkEnd w:id="946"/>
      <w:bookmarkEnd w:id="947"/>
      <w:bookmarkEnd w:id="948"/>
      <w:bookmarkEnd w:id="949"/>
      <w:bookmarkEnd w:id="950"/>
      <w:bookmarkEnd w:id="951"/>
      <w:bookmarkEnd w:id="952"/>
      <w:bookmarkEnd w:id="953"/>
      <w:bookmarkEnd w:id="954"/>
      <w:bookmarkEnd w:id="955"/>
    </w:p>
    <w:p w14:paraId="60C4032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加强工业园区和服务业集聚区建设，完善产业园区和项目配套设施，健全用地储备和供地机制，强化水热电气、信息网络、标准厂房、科技服务等要素供给。做好产业项目服务保障工作，强化用地指标、节能环保及水资源等指标保障，对照重点项目有针对性地加强对人、财、物调度，做好通水、通电、通路等要素保障。加快完善集中供汽和经开区配套基础设施。结合城南工业园区功能区划分和企业需求，确定集中供气和经开区配套基础设施项目建设内容、资金需求。聚焦供汽、物流、标准化厂房等方面，着力推动企业数字化升级，全面有效降低企业生产经营成本。持续探索桦川“管委会+公司”运营模式改革，实行政企分开、政资分开，支持企业运营园区、管理园区物业、承担园区的基础设施建设、承接建设项目前期手续办理等。深入实施“满园”工程，全面清查园区闲置土地及资源，对符合再次利用条件的厂房设施，有针对</w:t>
      </w:r>
      <w:r>
        <w:rPr>
          <w:rFonts w:hint="eastAsia" w:eastAsia="仿宋_GB2312" w:cs="Times New Roman"/>
          <w:b w:val="0"/>
          <w:bCs w:val="0"/>
          <w:color w:val="auto"/>
          <w:sz w:val="32"/>
          <w:szCs w:val="32"/>
          <w:highlight w:val="none"/>
          <w:lang w:eastAsia="zh-CN"/>
        </w:rPr>
        <w:t>性地</w:t>
      </w:r>
      <w:r>
        <w:rPr>
          <w:rFonts w:hint="default" w:ascii="Times New Roman" w:hAnsi="Times New Roman" w:eastAsia="仿宋_GB2312" w:cs="Times New Roman"/>
          <w:b w:val="0"/>
          <w:bCs w:val="0"/>
          <w:color w:val="auto"/>
          <w:sz w:val="32"/>
          <w:szCs w:val="32"/>
          <w:highlight w:val="none"/>
          <w:lang w:eastAsia="zh"/>
        </w:rPr>
        <w:t>开展多渠道招商，支持新上项目优先盘活利用闲置土地、空置厂房。到2030年，力争全县实现园区基础设施全覆盖，园区闲置土地利用率达到90%以上，空置厂房盘活率85%以上，低效资产改造利用率达到100%；桦川经济开发区实现营业收入50亿元以上，实现税收收入1亿元以上，新增就业400人以上。</w:t>
      </w:r>
    </w:p>
    <w:tbl>
      <w:tblPr>
        <w:tblStyle w:val="25"/>
        <w:tblW w:w="0" w:type="auto"/>
        <w:jc w:val="center"/>
        <w:tblLayout w:type="autofit"/>
        <w:tblCellMar>
          <w:top w:w="0" w:type="dxa"/>
          <w:left w:w="108" w:type="dxa"/>
          <w:bottom w:w="0" w:type="dxa"/>
          <w:right w:w="108" w:type="dxa"/>
        </w:tblCellMar>
      </w:tblPr>
      <w:tblGrid>
        <w:gridCol w:w="8296"/>
      </w:tblGrid>
      <w:tr w14:paraId="249A6ECC">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shd w:val="clear" w:color="auto" w:fill="auto"/>
          </w:tcPr>
          <w:p w14:paraId="233A4B00">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lang w:bidi="ar"/>
              </w:rPr>
              <w:t>专栏4-6</w:t>
            </w:r>
            <w:r>
              <w:rPr>
                <w:rFonts w:hint="eastAsia" w:eastAsia="楷体_GB2312" w:cs="Times New Roman"/>
                <w:b w:val="0"/>
                <w:bCs w:val="0"/>
                <w:color w:val="auto"/>
                <w:sz w:val="24"/>
                <w:highlight w:val="none"/>
                <w:lang w:val="en-US" w:eastAsia="zh-CN" w:bidi="ar"/>
              </w:rPr>
              <w:t xml:space="preserve"> </w:t>
            </w:r>
            <w:r>
              <w:rPr>
                <w:rFonts w:hint="default" w:ascii="Times New Roman" w:hAnsi="Times New Roman" w:eastAsia="楷体_GB2312" w:cs="Times New Roman"/>
                <w:b w:val="0"/>
                <w:bCs w:val="0"/>
                <w:color w:val="auto"/>
                <w:sz w:val="24"/>
                <w:highlight w:val="none"/>
                <w:lang w:bidi="ar"/>
              </w:rPr>
              <w:t>“十五五”时期桦川县降低企业生产成本重点任务</w:t>
            </w:r>
          </w:p>
        </w:tc>
      </w:tr>
      <w:tr w14:paraId="50ABFF24">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shd w:val="clear" w:color="auto" w:fill="auto"/>
          </w:tcPr>
          <w:p w14:paraId="0E996E33">
            <w:pPr>
              <w:spacing w:line="360" w:lineRule="exact"/>
              <w:ind w:firstLine="420" w:firstLineChars="200"/>
              <w:rPr>
                <w:rFonts w:hint="default" w:ascii="Times New Roman" w:hAnsi="Times New Roman" w:eastAsia="仿宋_GB2312" w:cs="Times New Roman"/>
                <w:b w:val="0"/>
                <w:bCs w:val="0"/>
                <w:color w:val="auto"/>
                <w:sz w:val="21"/>
                <w:szCs w:val="21"/>
                <w:highlight w:val="none"/>
              </w:rPr>
            </w:pPr>
            <w:r>
              <w:rPr>
                <w:rFonts w:hint="default" w:ascii="Times New Roman" w:hAnsi="Times New Roman" w:eastAsia="仿宋_GB2312" w:cs="Times New Roman"/>
                <w:b w:val="0"/>
                <w:bCs w:val="0"/>
                <w:color w:val="auto"/>
                <w:sz w:val="21"/>
                <w:szCs w:val="21"/>
                <w:highlight w:val="none"/>
                <w:lang w:bidi="ar"/>
              </w:rPr>
              <w:t>降低企业用蒸汽成</w:t>
            </w:r>
            <w:r>
              <w:rPr>
                <w:rFonts w:hint="default" w:ascii="Times New Roman" w:hAnsi="Times New Roman" w:eastAsia="仿宋_GB2312" w:cs="Times New Roman"/>
                <w:b w:val="0"/>
                <w:bCs w:val="0"/>
                <w:color w:val="auto"/>
                <w:szCs w:val="21"/>
                <w:highlight w:val="none"/>
                <w:woUserID w:val="8"/>
              </w:rPr>
              <w:t>本。</w:t>
            </w:r>
            <w:r>
              <w:rPr>
                <w:rFonts w:hint="default" w:ascii="Times New Roman" w:hAnsi="Times New Roman" w:eastAsia="仿宋_GB2312" w:cs="Times New Roman"/>
                <w:b w:val="0"/>
                <w:bCs w:val="0"/>
                <w:color w:val="auto"/>
                <w:sz w:val="21"/>
                <w:szCs w:val="21"/>
                <w:highlight w:val="none"/>
                <w:lang w:bidi="ar"/>
              </w:rPr>
              <w:t>谋划论证城南工业园、桦西工业园2个集中供汽项目，新建生物质蒸汽锅炉4个，配套蒸汽管线24公里，有效满足园区内用热企业对蒸汽用量、蒸汽参数的需求以及未来工艺蒸汽负荷及采暖热负荷增长的需求，降低用能成本。</w:t>
            </w:r>
          </w:p>
          <w:p w14:paraId="05F877C5">
            <w:pPr>
              <w:spacing w:line="360" w:lineRule="exact"/>
              <w:ind w:firstLine="420" w:firstLineChars="200"/>
              <w:rPr>
                <w:rFonts w:hint="default" w:ascii="Times New Roman" w:hAnsi="Times New Roman" w:eastAsia="仿宋_GB2312" w:cs="Times New Roman"/>
                <w:b w:val="0"/>
                <w:bCs w:val="0"/>
                <w:color w:val="auto"/>
                <w:sz w:val="21"/>
                <w:szCs w:val="21"/>
                <w:highlight w:val="none"/>
              </w:rPr>
            </w:pPr>
            <w:r>
              <w:rPr>
                <w:rFonts w:hint="default" w:ascii="Times New Roman" w:hAnsi="Times New Roman" w:eastAsia="仿宋_GB2312" w:cs="Times New Roman"/>
                <w:b w:val="0"/>
                <w:bCs w:val="0"/>
                <w:color w:val="auto"/>
                <w:sz w:val="21"/>
                <w:szCs w:val="21"/>
                <w:highlight w:val="none"/>
                <w:lang w:bidi="ar"/>
              </w:rPr>
              <w:t>降低企业物流成</w:t>
            </w:r>
            <w:r>
              <w:rPr>
                <w:rFonts w:hint="default" w:ascii="Times New Roman" w:hAnsi="Times New Roman" w:eastAsia="仿宋_GB2312" w:cs="Times New Roman"/>
                <w:b w:val="0"/>
                <w:bCs w:val="0"/>
                <w:color w:val="auto"/>
                <w:szCs w:val="21"/>
                <w:highlight w:val="none"/>
                <w:woUserID w:val="8"/>
              </w:rPr>
              <w:t>本。</w:t>
            </w:r>
            <w:r>
              <w:rPr>
                <w:rFonts w:hint="default" w:ascii="Times New Roman" w:hAnsi="Times New Roman" w:eastAsia="仿宋_GB2312" w:cs="Times New Roman"/>
                <w:b w:val="0"/>
                <w:bCs w:val="0"/>
                <w:color w:val="auto"/>
                <w:sz w:val="21"/>
                <w:szCs w:val="21"/>
                <w:highlight w:val="none"/>
                <w:lang w:bidi="ar"/>
              </w:rPr>
              <w:t>谋划综合仓储集散中心项目，在四马现代物流园内新建6栋仓库，总建筑面积6万平方米，形成9万吨仓储规模，将四马物流园打造成为集仓储、集散、配送等多功能于一体的现代物流中心，缩短物流配送时间，降低物流成本。</w:t>
            </w:r>
          </w:p>
          <w:p w14:paraId="402A9CC7">
            <w:pPr>
              <w:spacing w:line="360" w:lineRule="exact"/>
              <w:ind w:firstLine="420" w:firstLineChars="200"/>
              <w:rPr>
                <w:rFonts w:hint="default" w:ascii="Times New Roman" w:hAnsi="Times New Roman" w:eastAsia="仿宋_GB2312" w:cs="Times New Roman"/>
                <w:b w:val="0"/>
                <w:bCs w:val="0"/>
                <w:color w:val="auto"/>
                <w:sz w:val="21"/>
                <w:szCs w:val="21"/>
                <w:highlight w:val="none"/>
              </w:rPr>
            </w:pPr>
            <w:r>
              <w:rPr>
                <w:rFonts w:hint="default" w:ascii="Times New Roman" w:hAnsi="Times New Roman" w:eastAsia="仿宋_GB2312" w:cs="Times New Roman"/>
                <w:b w:val="0"/>
                <w:bCs w:val="0"/>
                <w:color w:val="auto"/>
                <w:sz w:val="21"/>
                <w:szCs w:val="21"/>
                <w:highlight w:val="none"/>
                <w:lang w:bidi="ar"/>
              </w:rPr>
              <w:t>降低企业投资</w:t>
            </w:r>
            <w:r>
              <w:rPr>
                <w:rFonts w:hint="default" w:ascii="Times New Roman" w:hAnsi="Times New Roman" w:eastAsia="仿宋_GB2312" w:cs="Times New Roman"/>
                <w:b w:val="0"/>
                <w:bCs w:val="0"/>
                <w:color w:val="auto"/>
                <w:szCs w:val="21"/>
                <w:highlight w:val="none"/>
                <w:woUserID w:val="8"/>
              </w:rPr>
              <w:t>成本。</w:t>
            </w:r>
            <w:r>
              <w:rPr>
                <w:rFonts w:hint="default" w:ascii="Times New Roman" w:hAnsi="Times New Roman" w:eastAsia="仿宋_GB2312" w:cs="Times New Roman"/>
                <w:b w:val="0"/>
                <w:bCs w:val="0"/>
                <w:color w:val="auto"/>
                <w:sz w:val="21"/>
                <w:szCs w:val="21"/>
                <w:highlight w:val="none"/>
                <w:lang w:bidi="ar"/>
              </w:rPr>
              <w:t>谋划经开区基础设施项目，建设5栋地上1层</w:t>
            </w:r>
            <w:r>
              <w:rPr>
                <w:rFonts w:hint="eastAsia" w:eastAsia="仿宋_GB2312" w:cs="Times New Roman"/>
                <w:b w:val="0"/>
                <w:bCs w:val="0"/>
                <w:color w:val="auto"/>
                <w:sz w:val="21"/>
                <w:szCs w:val="21"/>
                <w:highlight w:val="none"/>
                <w:lang w:eastAsia="zh-CN" w:bidi="ar"/>
              </w:rPr>
              <w:t>门式钢架</w:t>
            </w:r>
            <w:r>
              <w:rPr>
                <w:rFonts w:hint="default" w:ascii="Times New Roman" w:hAnsi="Times New Roman" w:eastAsia="仿宋_GB2312" w:cs="Times New Roman"/>
                <w:b w:val="0"/>
                <w:bCs w:val="0"/>
                <w:color w:val="auto"/>
                <w:sz w:val="21"/>
                <w:szCs w:val="21"/>
                <w:highlight w:val="none"/>
                <w:lang w:bidi="ar"/>
              </w:rPr>
              <w:t>轻型钢结构的标准化厂房，共计60000平方米，每栋为12000平方米，实现企业“拎包入住”，提升园区招商引资竞争力。</w:t>
            </w:r>
          </w:p>
          <w:p w14:paraId="5408D438">
            <w:pPr>
              <w:spacing w:line="360" w:lineRule="exact"/>
              <w:ind w:firstLine="420" w:firstLineChars="200"/>
              <w:rPr>
                <w:rFonts w:hint="default" w:ascii="Times New Roman" w:hAnsi="Times New Roman" w:eastAsia="楷体_GB2312" w:cs="Times New Roman"/>
                <w:b w:val="0"/>
                <w:bCs w:val="0"/>
                <w:color w:val="auto"/>
                <w:sz w:val="24"/>
                <w:highlight w:val="none"/>
              </w:rPr>
            </w:pPr>
            <w:r>
              <w:rPr>
                <w:rFonts w:hint="default" w:ascii="Times New Roman" w:hAnsi="Times New Roman" w:eastAsia="仿宋_GB2312" w:cs="Times New Roman"/>
                <w:b w:val="0"/>
                <w:bCs w:val="0"/>
                <w:color w:val="auto"/>
                <w:sz w:val="21"/>
                <w:szCs w:val="21"/>
                <w:highlight w:val="none"/>
                <w:lang w:bidi="ar"/>
              </w:rPr>
              <w:t>降低企业运营</w:t>
            </w:r>
            <w:r>
              <w:rPr>
                <w:rFonts w:hint="default" w:ascii="Times New Roman" w:hAnsi="Times New Roman" w:eastAsia="仿宋_GB2312" w:cs="Times New Roman"/>
                <w:b w:val="0"/>
                <w:bCs w:val="0"/>
                <w:color w:val="auto"/>
                <w:szCs w:val="21"/>
                <w:highlight w:val="none"/>
                <w:woUserID w:val="8"/>
              </w:rPr>
              <w:t>成本。</w:t>
            </w:r>
            <w:r>
              <w:rPr>
                <w:rFonts w:hint="default" w:ascii="Times New Roman" w:hAnsi="Times New Roman" w:eastAsia="仿宋_GB2312" w:cs="Times New Roman"/>
                <w:b w:val="0"/>
                <w:bCs w:val="0"/>
                <w:color w:val="auto"/>
                <w:sz w:val="21"/>
                <w:szCs w:val="21"/>
                <w:highlight w:val="none"/>
                <w:lang w:bidi="ar"/>
              </w:rPr>
              <w:t>抢抓佳木斯市入选黑龙江省中小企业数字化转型试点城市的契机，推进企业数字化、智能化升级，引导企业使用机械臂装卸、智能管控系统，降低搬运用工成本，合理规划仓库空间，减少二次装卸费用，提升企业生产效率。</w:t>
            </w:r>
          </w:p>
        </w:tc>
      </w:tr>
    </w:tbl>
    <w:p w14:paraId="4BC29013">
      <w:pPr>
        <w:pageBreakBefore w:val="0"/>
        <w:widowControl w:val="0"/>
        <w:kinsoku/>
        <w:wordWrap/>
        <w:overflowPunct/>
        <w:topLinePunct w:val="0"/>
        <w:autoSpaceDN/>
        <w:bidi w:val="0"/>
        <w:adjustRightInd/>
        <w:snapToGrid w:val="0"/>
        <w:spacing w:line="560" w:lineRule="exact"/>
        <w:ind w:left="0" w:firstLine="0" w:firstLineChars="0"/>
        <w:jc w:val="center"/>
        <w:textAlignment w:val="auto"/>
        <w:outlineLvl w:val="0"/>
        <w:rPr>
          <w:rFonts w:hint="default" w:ascii="Times New Roman" w:hAnsi="Times New Roman" w:eastAsia="黑体" w:cs="Times New Roman"/>
          <w:b w:val="0"/>
          <w:bCs w:val="0"/>
          <w:color w:val="auto"/>
          <w:sz w:val="32"/>
          <w:szCs w:val="32"/>
          <w:highlight w:val="none"/>
          <w14:ligatures w14:val="standardContextual"/>
        </w:rPr>
      </w:pPr>
      <w:bookmarkStart w:id="956" w:name="_Toc21428"/>
      <w:bookmarkStart w:id="957" w:name="_Toc380319905"/>
      <w:bookmarkStart w:id="958" w:name="_Toc14198"/>
      <w:bookmarkStart w:id="959" w:name="_Toc11461"/>
      <w:bookmarkStart w:id="960" w:name="_Toc4436"/>
      <w:bookmarkStart w:id="961" w:name="_Toc702"/>
      <w:bookmarkStart w:id="962" w:name="_Toc941978536"/>
      <w:bookmarkStart w:id="963" w:name="_Toc32541"/>
      <w:bookmarkStart w:id="964" w:name="_Toc7525"/>
      <w:bookmarkStart w:id="965" w:name="_Toc24388"/>
      <w:bookmarkStart w:id="966" w:name="_Toc14493"/>
      <w:bookmarkStart w:id="967" w:name="_Toc9124"/>
      <w:bookmarkStart w:id="968" w:name="_Toc29352"/>
      <w:bookmarkStart w:id="969" w:name="_Toc30129"/>
      <w:r>
        <w:rPr>
          <w:rFonts w:hint="default" w:ascii="Times New Roman" w:hAnsi="Times New Roman" w:eastAsia="黑体" w:cs="Times New Roman"/>
          <w:b w:val="0"/>
          <w:bCs w:val="0"/>
          <w:color w:val="auto"/>
          <w:sz w:val="32"/>
          <w:szCs w:val="32"/>
          <w:highlight w:val="none"/>
          <w14:ligatures w14:val="standardContextual"/>
        </w:rPr>
        <w:t>第五</w:t>
      </w:r>
      <w:r>
        <w:rPr>
          <w:rFonts w:hint="default" w:ascii="Times New Roman" w:hAnsi="Times New Roman" w:eastAsia="黑体" w:cs="Times New Roman"/>
          <w:b w:val="0"/>
          <w:bCs w:val="0"/>
          <w:color w:val="auto"/>
          <w:sz w:val="32"/>
          <w:szCs w:val="32"/>
          <w:highlight w:val="none"/>
          <w:lang w:eastAsia="zh"/>
          <w14:ligatures w14:val="standardContextual"/>
          <w:woUserID w:val="0"/>
        </w:rPr>
        <w:t>篇</w:t>
      </w:r>
      <w:r>
        <w:rPr>
          <w:rFonts w:hint="default" w:ascii="Times New Roman" w:hAnsi="Times New Roman" w:eastAsia="黑体" w:cs="Times New Roman"/>
          <w:b w:val="0"/>
          <w:bCs w:val="0"/>
          <w:color w:val="auto"/>
          <w:sz w:val="32"/>
          <w:szCs w:val="32"/>
          <w:highlight w:val="none"/>
          <w14:ligatures w14:val="standardContextual"/>
        </w:rPr>
        <w:t xml:space="preserve"> </w:t>
      </w:r>
      <w:r>
        <w:rPr>
          <w:rFonts w:hint="default" w:ascii="Times New Roman" w:hAnsi="Times New Roman" w:eastAsia="黑体" w:cs="Times New Roman"/>
          <w:b w:val="0"/>
          <w:bCs w:val="0"/>
          <w:color w:val="auto"/>
          <w:sz w:val="32"/>
          <w:szCs w:val="32"/>
          <w:highlight w:val="none"/>
          <w:lang w:eastAsia="zh"/>
          <w14:ligatures w14:val="standardContextual"/>
        </w:rPr>
        <w:t>推动三产融合升级</w:t>
      </w:r>
      <w:r>
        <w:rPr>
          <w:rFonts w:hint="default" w:ascii="Times New Roman" w:hAnsi="Times New Roman" w:eastAsia="黑体" w:cs="Times New Roman"/>
          <w:b w:val="0"/>
          <w:bCs w:val="0"/>
          <w:color w:val="auto"/>
          <w:sz w:val="32"/>
          <w:szCs w:val="32"/>
          <w:highlight w:val="none"/>
          <w14:ligatures w14:val="standardContextual"/>
        </w:rPr>
        <w:t xml:space="preserve">  </w:t>
      </w:r>
      <w:r>
        <w:rPr>
          <w:rFonts w:hint="default" w:ascii="Times New Roman" w:hAnsi="Times New Roman" w:eastAsia="黑体" w:cs="Times New Roman"/>
          <w:b w:val="0"/>
          <w:bCs w:val="0"/>
          <w:color w:val="auto"/>
          <w:sz w:val="32"/>
          <w:szCs w:val="32"/>
          <w:highlight w:val="none"/>
          <w:lang w:eastAsia="zh"/>
          <w14:ligatures w14:val="standardContextual"/>
        </w:rPr>
        <w:t>筑牢</w:t>
      </w:r>
      <w:r>
        <w:rPr>
          <w:rFonts w:hint="default" w:ascii="Times New Roman" w:hAnsi="Times New Roman" w:eastAsia="黑体" w:cs="Times New Roman"/>
          <w:b w:val="0"/>
          <w:bCs w:val="0"/>
          <w:color w:val="auto"/>
          <w:sz w:val="32"/>
          <w:szCs w:val="32"/>
          <w:highlight w:val="none"/>
          <w:lang w:val="en-US" w:eastAsia="zh-CN"/>
          <w14:ligatures w14:val="standardContextual"/>
        </w:rPr>
        <w:t>县域经济</w:t>
      </w:r>
      <w:r>
        <w:rPr>
          <w:rFonts w:hint="default" w:ascii="Times New Roman" w:hAnsi="Times New Roman" w:eastAsia="黑体" w:cs="Times New Roman"/>
          <w:b w:val="0"/>
          <w:bCs w:val="0"/>
          <w:color w:val="auto"/>
          <w:sz w:val="32"/>
          <w:szCs w:val="32"/>
          <w:highlight w:val="none"/>
          <w:lang w:eastAsia="zh"/>
          <w14:ligatures w14:val="standardContextual"/>
        </w:rPr>
        <w:t>发展新高地</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p>
    <w:p w14:paraId="40C8ED76">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textAlignment w:val="auto"/>
        <w:rPr>
          <w:rFonts w:hint="default" w:ascii="Times New Roman" w:hAnsi="Times New Roman" w:eastAsia="仿宋_GB2312" w:cs="Times New Roman"/>
          <w:b w:val="0"/>
          <w:bCs w:val="0"/>
          <w:color w:val="auto"/>
          <w:sz w:val="32"/>
          <w:szCs w:val="32"/>
          <w:highlight w:val="none"/>
          <w:lang w:eastAsia="zh"/>
        </w:rPr>
      </w:pPr>
      <w:bookmarkStart w:id="970" w:name="_Toc2072227790"/>
      <w:bookmarkStart w:id="971" w:name="_Toc1332085316"/>
      <w:r>
        <w:rPr>
          <w:rFonts w:hint="default" w:ascii="Times New Roman" w:hAnsi="Times New Roman" w:eastAsia="仿宋_GB2312" w:cs="Times New Roman"/>
          <w:b w:val="0"/>
          <w:bCs w:val="0"/>
          <w:color w:val="auto"/>
          <w:sz w:val="32"/>
          <w:szCs w:val="32"/>
          <w:highlight w:val="none"/>
          <w:lang w:eastAsia="zh"/>
        </w:rPr>
        <w:t>建设布局特色旅游集群，高质量打造冷链仓储物流产业，提高现代服务业与先进制造业、现代农业融合发展水平，积极建设优质高效服务业，构建现代服务业发展桥头堡。</w:t>
      </w:r>
    </w:p>
    <w:p w14:paraId="3C7B99BA">
      <w:pPr>
        <w:pStyle w:val="3"/>
        <w:pageBreakBefore w:val="0"/>
        <w:widowControl w:val="0"/>
        <w:kinsoku/>
        <w:wordWrap/>
        <w:overflowPunct/>
        <w:topLinePunct w:val="0"/>
        <w:autoSpaceDE w:val="0"/>
        <w:autoSpaceDN/>
        <w:bidi w:val="0"/>
        <w:adjustRightInd/>
        <w:spacing w:before="0" w:after="0" w:line="560" w:lineRule="exact"/>
        <w:ind w:left="0" w:firstLine="0" w:firstLineChars="0"/>
        <w:jc w:val="center"/>
        <w:textAlignment w:val="auto"/>
        <w:rPr>
          <w:rFonts w:hint="default" w:ascii="Times New Roman" w:hAnsi="Times New Roman" w:eastAsia="楷体" w:cs="Times New Roman"/>
          <w:b w:val="0"/>
          <w:bCs w:val="0"/>
          <w:color w:val="auto"/>
          <w:sz w:val="32"/>
          <w:szCs w:val="32"/>
          <w:highlight w:val="none"/>
          <w:lang w:bidi="ar"/>
        </w:rPr>
      </w:pPr>
      <w:bookmarkStart w:id="972" w:name="_Toc31774"/>
      <w:bookmarkStart w:id="973" w:name="_Toc13933"/>
      <w:bookmarkStart w:id="974" w:name="_Toc15409"/>
      <w:bookmarkStart w:id="975" w:name="_Toc16728"/>
      <w:bookmarkStart w:id="976" w:name="_Toc8867"/>
      <w:bookmarkStart w:id="977" w:name="_Toc14355"/>
      <w:bookmarkStart w:id="978" w:name="_Toc841"/>
      <w:bookmarkStart w:id="979" w:name="_Toc11291"/>
      <w:bookmarkStart w:id="980" w:name="_Toc6563"/>
      <w:bookmarkStart w:id="981" w:name="_Toc24384"/>
      <w:bookmarkStart w:id="982" w:name="_Toc14159"/>
      <w:bookmarkStart w:id="983" w:name="_Toc9067"/>
      <w:r>
        <w:rPr>
          <w:rFonts w:hint="default" w:ascii="Times New Roman" w:hAnsi="Times New Roman" w:eastAsia="楷体" w:cs="Times New Roman"/>
          <w:b w:val="0"/>
          <w:bCs w:val="0"/>
          <w:color w:val="auto"/>
          <w:sz w:val="32"/>
          <w:szCs w:val="32"/>
          <w:highlight w:val="none"/>
        </w:rPr>
        <w:t>第一</w:t>
      </w:r>
      <w:r>
        <w:rPr>
          <w:rFonts w:hint="default" w:ascii="Times New Roman" w:hAnsi="Times New Roman" w:eastAsia="楷体" w:cs="Times New Roman"/>
          <w:b w:val="0"/>
          <w:bCs w:val="0"/>
          <w:color w:val="auto"/>
          <w:sz w:val="32"/>
          <w:szCs w:val="32"/>
          <w:highlight w:val="none"/>
          <w:lang w:eastAsia="zh"/>
          <w:woUserID w:val="0"/>
        </w:rPr>
        <w:t>章</w:t>
      </w:r>
      <w:r>
        <w:rPr>
          <w:rFonts w:hint="default" w:ascii="Times New Roman" w:hAnsi="Times New Roman" w:eastAsia="楷体" w:cs="Times New Roman"/>
          <w:b w:val="0"/>
          <w:bCs w:val="0"/>
          <w:color w:val="auto"/>
          <w:sz w:val="32"/>
          <w:szCs w:val="32"/>
          <w:highlight w:val="none"/>
        </w:rPr>
        <w:t xml:space="preserve"> </w:t>
      </w:r>
      <w:r>
        <w:rPr>
          <w:rFonts w:hint="default" w:ascii="Times New Roman" w:hAnsi="Times New Roman" w:eastAsia="楷体" w:cs="Times New Roman"/>
          <w:b w:val="0"/>
          <w:bCs w:val="0"/>
          <w:color w:val="auto"/>
          <w:kern w:val="2"/>
          <w:sz w:val="32"/>
          <w:szCs w:val="32"/>
          <w:highlight w:val="none"/>
        </w:rPr>
        <w:t>夯实全域旅游发展根基</w:t>
      </w:r>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p>
    <w:p w14:paraId="50D383D5">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大力发展全域旅游，聚力实施A级旅游景区升级改造工程，推进基础设施建设，完善景区配套服务保障措施和旅游交通可进入性条件，打造景区专线，健全道路标识系统，提高旅游服务质量，丰富旅游产品供给，整合具有特色的旅游资源，完善配套服务体系，突出“全要素”发力，开展“食住行游购娱”全要素提升行动。开发沉浸式和互动体验式的旅游产品，持续丰富景区娱乐业态。优化交通通达网络，重点打造特色民俗游、生态休闲游、红色文化游等精品旅游线路。推进影视产业建设，盘活老化油器厂等闲置资源，完善影视体验配套。争创星火稻乡AAAAA级国家旅游景区和黑龙江桦川国家森林公园AAAA级国家旅游景区。重点优化提升创意设计产业，构建以“三江稻乡 秀美桦川”为核心的品牌体系，以开发文化旅游业重点工作为抓手，深度发掘朝鲜族民俗、影视资源和体育赛事等资源，推出“做一次演员、当一次饕餮、拍一次美照、选一件礼物、来一场竞技、看一场演艺、来一次实践、长一次本领、开一次眼界、当一回候鸟”等“十个一”营销推广主题，通过培育特色美食、优质旅拍、文创礼品、影视IP等多元消费场景，升级研学、运动、演艺等体验项目，打造四季旅游产品体系，全方位提升桦川文旅的辨识度、影响力与核心竞争力，深化与携程、美团等OTA平台战略合作，深度参与市域文旅资源系统整合与线上服务一体化建设，构建新媒体传播矩阵，依托抖音、小红书等平台策划轻量化、强互动内容，通过话题传播与直播联动打造爆款话题，联动线上线下多渠道开展宣传推广，通过消费券等促消费活动提升旅游商品附加值，全面激活文旅产业活力，为县域经济持续增长注入强劲动力。</w:t>
      </w:r>
    </w:p>
    <w:p w14:paraId="09D44797">
      <w:pPr>
        <w:pStyle w:val="3"/>
        <w:pageBreakBefore w:val="0"/>
        <w:widowControl w:val="0"/>
        <w:kinsoku/>
        <w:wordWrap/>
        <w:overflowPunct/>
        <w:topLinePunct w:val="0"/>
        <w:autoSpaceDN/>
        <w:bidi w:val="0"/>
        <w:adjustRightInd/>
        <w:spacing w:before="0" w:after="0" w:line="560" w:lineRule="exact"/>
        <w:ind w:left="0"/>
        <w:jc w:val="center"/>
        <w:textAlignment w:val="auto"/>
        <w:rPr>
          <w:rFonts w:hint="default" w:ascii="Times New Roman" w:hAnsi="Times New Roman" w:eastAsia="楷体" w:cs="Times New Roman"/>
          <w:b w:val="0"/>
          <w:bCs w:val="0"/>
          <w:color w:val="auto"/>
          <w:sz w:val="32"/>
          <w:szCs w:val="32"/>
          <w:highlight w:val="none"/>
        </w:rPr>
      </w:pPr>
      <w:bookmarkStart w:id="984" w:name="_Toc11130"/>
      <w:bookmarkStart w:id="985" w:name="_Toc2632"/>
      <w:bookmarkStart w:id="986" w:name="_Toc7521"/>
      <w:bookmarkStart w:id="987" w:name="_Toc14168"/>
      <w:bookmarkStart w:id="988" w:name="_Toc8276"/>
      <w:bookmarkStart w:id="989" w:name="_Toc6935"/>
      <w:bookmarkStart w:id="990" w:name="_Toc5269"/>
      <w:bookmarkStart w:id="991" w:name="_Toc12623"/>
      <w:bookmarkStart w:id="992" w:name="_Toc32223"/>
      <w:bookmarkStart w:id="993" w:name="_Toc16835"/>
      <w:bookmarkStart w:id="994" w:name="_Toc4880"/>
      <w:bookmarkStart w:id="995" w:name="_Toc14122"/>
      <w:r>
        <w:rPr>
          <w:rFonts w:hint="default" w:ascii="Times New Roman" w:hAnsi="Times New Roman" w:eastAsia="楷体" w:cs="Times New Roman"/>
          <w:b w:val="0"/>
          <w:bCs w:val="0"/>
          <w:color w:val="auto"/>
          <w:sz w:val="32"/>
          <w:szCs w:val="32"/>
          <w:highlight w:val="none"/>
        </w:rPr>
        <w:t>第二</w:t>
      </w:r>
      <w:r>
        <w:rPr>
          <w:rFonts w:hint="default" w:ascii="Times New Roman" w:hAnsi="Times New Roman" w:eastAsia="楷体" w:cs="Times New Roman"/>
          <w:b w:val="0"/>
          <w:bCs w:val="0"/>
          <w:color w:val="auto"/>
          <w:sz w:val="32"/>
          <w:szCs w:val="32"/>
          <w:highlight w:val="none"/>
          <w:lang w:eastAsia="zh"/>
          <w:woUserID w:val="0"/>
        </w:rPr>
        <w:t>章</w:t>
      </w:r>
      <w:r>
        <w:rPr>
          <w:rFonts w:hint="default" w:ascii="Times New Roman" w:hAnsi="Times New Roman" w:eastAsia="楷体" w:cs="Times New Roman"/>
          <w:b w:val="0"/>
          <w:bCs w:val="0"/>
          <w:color w:val="auto"/>
          <w:sz w:val="32"/>
          <w:szCs w:val="32"/>
          <w:highlight w:val="none"/>
        </w:rPr>
        <w:t xml:space="preserve"> </w:t>
      </w:r>
      <w:r>
        <w:rPr>
          <w:rFonts w:hint="default" w:ascii="Times New Roman" w:hAnsi="Times New Roman" w:eastAsia="楷体" w:cs="Times New Roman"/>
          <w:b w:val="0"/>
          <w:bCs w:val="0"/>
          <w:color w:val="auto"/>
          <w:kern w:val="2"/>
          <w:sz w:val="32"/>
          <w:szCs w:val="32"/>
          <w:highlight w:val="none"/>
        </w:rPr>
        <w:t>建设农文体旅产业集群</w:t>
      </w:r>
      <w:bookmarkEnd w:id="984"/>
      <w:bookmarkEnd w:id="985"/>
      <w:bookmarkEnd w:id="986"/>
      <w:bookmarkEnd w:id="987"/>
      <w:bookmarkEnd w:id="988"/>
      <w:bookmarkEnd w:id="989"/>
      <w:bookmarkEnd w:id="990"/>
      <w:bookmarkEnd w:id="991"/>
      <w:bookmarkEnd w:id="992"/>
      <w:bookmarkEnd w:id="993"/>
      <w:bookmarkEnd w:id="994"/>
      <w:bookmarkEnd w:id="995"/>
    </w:p>
    <w:p w14:paraId="3103ED64">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textAlignment w:val="auto"/>
        <w:rPr>
          <w:rFonts w:hint="default" w:ascii="Times New Roman" w:hAnsi="Times New Roman" w:eastAsia="仿宋_GB2312" w:cs="Times New Roman"/>
          <w:b w:val="0"/>
          <w:bCs w:val="0"/>
          <w:color w:val="auto"/>
          <w:sz w:val="32"/>
          <w:szCs w:val="32"/>
          <w:highlight w:val="none"/>
          <w:lang w:eastAsia="zh"/>
        </w:rPr>
      </w:pPr>
      <w:bookmarkStart w:id="996" w:name="_Toc206664079"/>
      <w:bookmarkStart w:id="997" w:name="_Toc38285334"/>
      <w:r>
        <w:rPr>
          <w:rFonts w:hint="default" w:ascii="Times New Roman" w:hAnsi="Times New Roman" w:eastAsia="仿宋_GB2312" w:cs="Times New Roman"/>
          <w:b w:val="0"/>
          <w:bCs w:val="0"/>
          <w:color w:val="auto"/>
          <w:sz w:val="32"/>
          <w:szCs w:val="32"/>
          <w:highlight w:val="none"/>
          <w:lang w:eastAsia="zh"/>
        </w:rPr>
        <w:t>立足桦川县生态农业、红色文化、民俗风情等核心资源禀赋，重点打造“+旅游”深度融合场景，通过资源整合、业态创新，推动旅游产业实现“规模扩容、品质升级、品牌塑造、文化传承、产业融合”五大突破，构建全域覆盖、全季延伸、全链增值的旅游发展新格局，持续赋能县域全域旅游高质量发展。</w:t>
      </w:r>
    </w:p>
    <w:p w14:paraId="0D3B6D71">
      <w:pPr>
        <w:pageBreakBefore w:val="0"/>
        <w:widowControl w:val="0"/>
        <w:kinsoku/>
        <w:wordWrap/>
        <w:overflowPunct/>
        <w:topLinePunct w:val="0"/>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998" w:name="_Toc24580"/>
      <w:bookmarkStart w:id="999" w:name="_Toc26793"/>
      <w:bookmarkStart w:id="1000" w:name="_Toc24984"/>
      <w:bookmarkStart w:id="1001" w:name="_Toc13523"/>
      <w:bookmarkStart w:id="1002" w:name="_Toc20113"/>
      <w:bookmarkStart w:id="1003" w:name="_Toc14872"/>
      <w:bookmarkStart w:id="1004" w:name="_Toc13062"/>
      <w:bookmarkStart w:id="1005" w:name="_Toc18568"/>
      <w:bookmarkStart w:id="1006" w:name="_Toc21834"/>
      <w:r>
        <w:rPr>
          <w:rFonts w:hint="default" w:ascii="Times New Roman" w:hAnsi="Times New Roman" w:eastAsia="仿宋_GB2312" w:cs="Times New Roman"/>
          <w:b w:val="0"/>
          <w:bCs w:val="0"/>
          <w:color w:val="auto"/>
          <w:sz w:val="32"/>
          <w:szCs w:val="32"/>
          <w:highlight w:val="none"/>
          <w:u w:val="none"/>
          <w:lang w:eastAsia="zh" w:bidi="ar"/>
          <w:woUserID w:val="0"/>
        </w:rPr>
        <w:t>第一节 树立红色旅游新标杆</w:t>
      </w:r>
      <w:bookmarkEnd w:id="998"/>
      <w:bookmarkEnd w:id="999"/>
      <w:bookmarkEnd w:id="1000"/>
      <w:bookmarkEnd w:id="1001"/>
      <w:bookmarkEnd w:id="1002"/>
      <w:bookmarkEnd w:id="1003"/>
      <w:bookmarkEnd w:id="1004"/>
      <w:bookmarkEnd w:id="1005"/>
      <w:bookmarkEnd w:id="1006"/>
    </w:p>
    <w:p w14:paraId="698A0F51">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深耕国家一类革命老区红色底蕴，全面发掘县域红色文化旅游资源，同步升级红色场馆展陈水平与教育功能，筑牢专业讲解员培养体系，着力打造区域红色旅游示范标杆。依托抗日英雄冷云、革命烈士赵敬夫故乡的红色根基，深度整合博物馆、冷云小学、烈士陵园等核心资源，串联会龙山、张闻天工作旧址等历史地标，精心打造精品红色旅游线路。四马架镇聚焦“红色旅游+传统农业”融合发展，以张闻天工作旧址为核心建设会龙红色教育中心，配套开发红色研学与农业采摘项目，让红色文化与田园体验深度交融。星火朝鲜族乡则以“红色旅游+实景剧”演绎展现民族历史与红色文化交织的独特魅力，引入抗联主题相关实景剧项目，以沉浸式演绎活化东北抗联历史记忆。通过多业态布局与资源整合，推动红色旅游主题文化区建设，致力于打造具有广泛影响力的爱国主义教育和红色文化体验基地。</w:t>
      </w:r>
    </w:p>
    <w:p w14:paraId="6EE835C5">
      <w:pPr>
        <w:pageBreakBefore w:val="0"/>
        <w:widowControl w:val="0"/>
        <w:kinsoku/>
        <w:wordWrap/>
        <w:overflowPunct/>
        <w:topLinePunct w:val="0"/>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007" w:name="_Toc13801"/>
      <w:bookmarkStart w:id="1008" w:name="_Toc32286"/>
      <w:bookmarkStart w:id="1009" w:name="_Toc12428"/>
      <w:bookmarkStart w:id="1010" w:name="_Toc10381"/>
      <w:bookmarkStart w:id="1011" w:name="_Toc8450"/>
      <w:bookmarkStart w:id="1012" w:name="_Toc27873"/>
      <w:bookmarkStart w:id="1013" w:name="_Toc30142"/>
      <w:bookmarkStart w:id="1014" w:name="_Toc2977"/>
      <w:bookmarkStart w:id="1015" w:name="_Toc31466"/>
      <w:r>
        <w:rPr>
          <w:rFonts w:hint="default" w:ascii="Times New Roman" w:hAnsi="Times New Roman" w:eastAsia="仿宋_GB2312" w:cs="Times New Roman"/>
          <w:b w:val="0"/>
          <w:bCs w:val="0"/>
          <w:color w:val="auto"/>
          <w:sz w:val="32"/>
          <w:szCs w:val="32"/>
          <w:highlight w:val="none"/>
          <w:u w:val="none"/>
          <w:lang w:eastAsia="zh" w:bidi="ar"/>
          <w:woUserID w:val="0"/>
        </w:rPr>
        <w:t>第二节 构建民俗旅游新业态</w:t>
      </w:r>
      <w:bookmarkEnd w:id="1007"/>
      <w:bookmarkEnd w:id="1008"/>
      <w:bookmarkEnd w:id="1009"/>
      <w:bookmarkEnd w:id="1010"/>
      <w:bookmarkEnd w:id="1011"/>
      <w:bookmarkEnd w:id="1012"/>
      <w:bookmarkEnd w:id="1013"/>
      <w:bookmarkEnd w:id="1014"/>
      <w:bookmarkEnd w:id="1015"/>
    </w:p>
    <w:p w14:paraId="30F5952A">
      <w:pPr>
        <w:keepNext w:val="0"/>
        <w:keepLines w:val="0"/>
        <w:pageBreakBefore w:val="0"/>
        <w:widowControl w:val="0"/>
        <w:kinsoku/>
        <w:wordWrap/>
        <w:overflowPunct/>
        <w:topLinePunct w:val="0"/>
        <w:autoSpaceDE/>
        <w:autoSpaceDN/>
        <w:bidi w:val="0"/>
        <w:adjustRightInd/>
        <w:snapToGrid w:val="0"/>
        <w:spacing w:line="560" w:lineRule="exact"/>
        <w:ind w:left="0"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以星火朝鲜族乡新中国第一个集体农庄的诞生地和朝鲜族民俗品牌，常态化举办朝鲜族民俗文化节、花甲节、秋夕节等特色节庆活动，强化民族文化传播与体验。聚焦业态创新，培育民俗体验、AI光影、低空经济等新兴产业形态，同步开发朝鲜族非遗美食制作、朝鲜族歌舞表演等沉浸式民俗体验项目，构建场景化、互动性强的旅游消费场景。深挖东北民俗文化内涵，以悦来镇、横头山镇、四马架镇等为重点，推进乡村旅游重点村建设，完善乡村民宿、农家乐、采摘园等基础设施配套，开发东北年猪、冰糖葫芦、围炉取火等民俗体验项目，全面激活区域文旅资源潜力，为桦川县文旅产业高质量发展注入持续动能。</w:t>
      </w:r>
    </w:p>
    <w:tbl>
      <w:tblPr>
        <w:tblStyle w:val="25"/>
        <w:tblW w:w="0" w:type="auto"/>
        <w:jc w:val="center"/>
        <w:tblLayout w:type="autofit"/>
        <w:tblCellMar>
          <w:top w:w="0" w:type="dxa"/>
          <w:left w:w="108" w:type="dxa"/>
          <w:bottom w:w="0" w:type="dxa"/>
          <w:right w:w="108" w:type="dxa"/>
        </w:tblCellMar>
      </w:tblPr>
      <w:tblGrid>
        <w:gridCol w:w="8296"/>
      </w:tblGrid>
      <w:tr w14:paraId="3938AB0D">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7842E42E">
            <w:pPr>
              <w:spacing w:line="360" w:lineRule="exact"/>
              <w:jc w:val="center"/>
              <w:rPr>
                <w:rFonts w:hint="default" w:ascii="Times New Roman" w:hAnsi="Times New Roman" w:eastAsia="楷体_GB2312" w:cs="Times New Roman"/>
                <w:b w:val="0"/>
                <w:bCs w:val="0"/>
                <w:color w:val="auto"/>
                <w:sz w:val="24"/>
                <w:highlight w:val="none"/>
                <w14:ligatures w14:val="standardContextual"/>
              </w:rPr>
            </w:pPr>
            <w:r>
              <w:rPr>
                <w:rFonts w:hint="default" w:ascii="Times New Roman" w:hAnsi="Times New Roman" w:eastAsia="楷体_GB2312" w:cs="Times New Roman"/>
                <w:b w:val="0"/>
                <w:bCs w:val="0"/>
                <w:color w:val="auto"/>
                <w:sz w:val="24"/>
                <w:highlight w:val="none"/>
                <w14:ligatures w14:val="standardContextual"/>
              </w:rPr>
              <w:t>专栏5-1 星火特色旅游建设重大工程项目</w:t>
            </w:r>
          </w:p>
        </w:tc>
      </w:tr>
      <w:tr w14:paraId="20048671">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2321DBAF">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eastAsia="仿宋_GB2312" w:cs="Times New Roman"/>
                <w:b w:val="0"/>
                <w:bCs w:val="0"/>
                <w:color w:val="auto"/>
                <w:szCs w:val="21"/>
                <w:highlight w:val="none"/>
                <w:lang w:eastAsia="zh-CN"/>
              </w:rPr>
            </w:pPr>
            <w:r>
              <w:rPr>
                <w:rFonts w:hint="default" w:ascii="Times New Roman" w:hAnsi="Times New Roman" w:eastAsia="仿宋_GB2312" w:cs="Times New Roman"/>
                <w:b w:val="0"/>
                <w:bCs w:val="0"/>
                <w:color w:val="auto"/>
                <w:szCs w:val="21"/>
                <w:highlight w:val="none"/>
              </w:rPr>
              <w:t>桦川县星火旅游经济聚集区基础设施提升项</w:t>
            </w:r>
            <w:r>
              <w:rPr>
                <w:rFonts w:hint="default" w:ascii="Times New Roman" w:hAnsi="Times New Roman" w:eastAsia="仿宋_GB2312" w:cs="Times New Roman"/>
                <w:b w:val="0"/>
                <w:bCs w:val="0"/>
                <w:color w:val="auto"/>
                <w:szCs w:val="21"/>
                <w:highlight w:val="none"/>
                <w:woUserID w:val="8"/>
              </w:rPr>
              <w:t>目。</w:t>
            </w:r>
            <w:r>
              <w:rPr>
                <w:rFonts w:hint="default" w:ascii="Times New Roman" w:hAnsi="Times New Roman" w:eastAsia="仿宋_GB2312" w:cs="Times New Roman"/>
                <w:b w:val="0"/>
                <w:bCs w:val="0"/>
                <w:color w:val="auto"/>
                <w:szCs w:val="21"/>
                <w:highlight w:val="none"/>
              </w:rPr>
              <w:t>占地面积30000平方米的夜间经济聚集区及配套设施；5000平</w:t>
            </w:r>
            <w:r>
              <w:rPr>
                <w:rFonts w:hint="default" w:ascii="Times New Roman" w:hAnsi="Times New Roman" w:eastAsia="仿宋_GB2312" w:cs="Times New Roman"/>
                <w:b w:val="0"/>
                <w:bCs w:val="0"/>
                <w:color w:val="auto"/>
                <w:szCs w:val="21"/>
                <w:highlight w:val="none"/>
                <w:lang w:eastAsia="zh-CN"/>
              </w:rPr>
              <w:t>方</w:t>
            </w:r>
            <w:r>
              <w:rPr>
                <w:rFonts w:hint="default" w:ascii="Times New Roman" w:hAnsi="Times New Roman" w:eastAsia="仿宋_GB2312" w:cs="Times New Roman"/>
                <w:b w:val="0"/>
                <w:bCs w:val="0"/>
                <w:color w:val="auto"/>
                <w:szCs w:val="21"/>
                <w:highlight w:val="none"/>
              </w:rPr>
              <w:t>米的民俗特色文创中心及配套设施；智慧景区平台建设；长5公里，宽3米的健身步道和旅游观光电车项目；33栋民宿和50套温泉民宿提升改造及运营项目；10000平方米的稻田观光及配套设施；占地15000平方米的集散中心和20000平方米汽车自驾营地附属配套工程等。建设稻米研学体验项目</w:t>
            </w:r>
            <w:r>
              <w:rPr>
                <w:rFonts w:hint="default" w:ascii="Times New Roman" w:hAnsi="Times New Roman" w:eastAsia="仿宋_GB2312" w:cs="Times New Roman"/>
                <w:b w:val="0"/>
                <w:bCs w:val="0"/>
                <w:color w:val="auto"/>
                <w:szCs w:val="21"/>
                <w:highlight w:val="none"/>
                <w:lang w:eastAsia="zh-CN"/>
              </w:rPr>
              <w:t>。</w:t>
            </w:r>
          </w:p>
          <w:p w14:paraId="64F592C0">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桦川县星火景区中星村提升改造及运营项</w:t>
            </w:r>
            <w:r>
              <w:rPr>
                <w:rFonts w:hint="default" w:ascii="Times New Roman" w:hAnsi="Times New Roman" w:eastAsia="仿宋_GB2312" w:cs="Times New Roman"/>
                <w:b w:val="0"/>
                <w:bCs w:val="0"/>
                <w:color w:val="auto"/>
                <w:szCs w:val="21"/>
                <w:highlight w:val="none"/>
                <w:woUserID w:val="8"/>
              </w:rPr>
              <w:t>目。</w:t>
            </w:r>
            <w:r>
              <w:rPr>
                <w:rFonts w:hint="default" w:ascii="Times New Roman" w:hAnsi="Times New Roman" w:eastAsia="仿宋_GB2312" w:cs="Times New Roman"/>
                <w:b w:val="0"/>
                <w:bCs w:val="0"/>
                <w:color w:val="auto"/>
                <w:szCs w:val="21"/>
                <w:highlight w:val="none"/>
              </w:rPr>
              <w:t>完善50套温泉康养民宿、4600平方米游客接待中心、600平方米旅拍店、5000平方米民俗园的附属配套工程。</w:t>
            </w:r>
          </w:p>
          <w:p w14:paraId="3C0BC936">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桦川县星火拖拉机站工业陈列馆改建项</w:t>
            </w:r>
            <w:r>
              <w:rPr>
                <w:rFonts w:hint="default" w:ascii="Times New Roman" w:hAnsi="Times New Roman" w:eastAsia="仿宋_GB2312" w:cs="Times New Roman"/>
                <w:b w:val="0"/>
                <w:bCs w:val="0"/>
                <w:color w:val="auto"/>
                <w:szCs w:val="21"/>
                <w:highlight w:val="none"/>
                <w:woUserID w:val="8"/>
              </w:rPr>
              <w:t>目。</w:t>
            </w:r>
            <w:r>
              <w:rPr>
                <w:rFonts w:hint="default" w:ascii="Times New Roman" w:hAnsi="Times New Roman" w:eastAsia="仿宋_GB2312" w:cs="Times New Roman"/>
                <w:b w:val="0"/>
                <w:bCs w:val="0"/>
                <w:color w:val="auto"/>
                <w:szCs w:val="21"/>
                <w:highlight w:val="none"/>
              </w:rPr>
              <w:t>占地面积10000平方米，改造星火汽油化厂旧址为工业陈列馆，主要包括：建筑修缮装饰工程、工业制造车间场景打造、数字化沉浸式体验区、工业机械陈列展区、配套改造老工业街商业区一条。</w:t>
            </w:r>
          </w:p>
          <w:p w14:paraId="2B32E0F4">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稻乡旅游景区观光轨道项</w:t>
            </w:r>
            <w:r>
              <w:rPr>
                <w:rFonts w:hint="default" w:ascii="Times New Roman" w:hAnsi="Times New Roman" w:eastAsia="仿宋_GB2312" w:cs="Times New Roman"/>
                <w:b w:val="0"/>
                <w:bCs w:val="0"/>
                <w:color w:val="auto"/>
                <w:szCs w:val="21"/>
                <w:highlight w:val="none"/>
                <w:woUserID w:val="8"/>
              </w:rPr>
              <w:t>目。</w:t>
            </w:r>
            <w:r>
              <w:rPr>
                <w:rFonts w:hint="default" w:ascii="Times New Roman" w:hAnsi="Times New Roman" w:eastAsia="仿宋_GB2312" w:cs="Times New Roman"/>
                <w:b w:val="0"/>
                <w:bCs w:val="0"/>
                <w:color w:val="auto"/>
                <w:szCs w:val="21"/>
                <w:highlight w:val="none"/>
              </w:rPr>
              <w:t>建设星火稻乡农业资源高效联通运输系统，含架空廊道、货运提升设备及配套安全设施，总长25000米，配套建设上下站房及货物中转平台。项目建成后可实现星火村至中星村农产品及生产物资便捷转运，提升农业生产效率，助力农文旅体验业态融合发展。</w:t>
            </w:r>
          </w:p>
          <w:p w14:paraId="59ECBD4A">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朝鲜族特色米酒厂项</w:t>
            </w:r>
            <w:r>
              <w:rPr>
                <w:rFonts w:hint="default" w:ascii="Times New Roman" w:hAnsi="Times New Roman" w:eastAsia="仿宋_GB2312" w:cs="Times New Roman"/>
                <w:b w:val="0"/>
                <w:bCs w:val="0"/>
                <w:color w:val="auto"/>
                <w:szCs w:val="21"/>
                <w:highlight w:val="none"/>
                <w:woUserID w:val="8"/>
              </w:rPr>
              <w:t>目。</w:t>
            </w:r>
            <w:r>
              <w:rPr>
                <w:rFonts w:hint="default" w:ascii="Times New Roman" w:hAnsi="Times New Roman" w:eastAsia="仿宋_GB2312" w:cs="Times New Roman"/>
                <w:b w:val="0"/>
                <w:bCs w:val="0"/>
                <w:color w:val="auto"/>
                <w:szCs w:val="21"/>
                <w:highlight w:val="none"/>
              </w:rPr>
              <w:t>对现有500平方米朝鲜族特色米酒生产加工车间进行分区改造升级，按照原料仓储区、酿造车间、发酵区、陈酿区、成品仓储区、检验区、游客体验区、办公区划分8大功能区域，采购发酵罐（10吨级）6台、糖化罐2台；板框压滤机、精密过滤器各1台；陶瓷陈酿缸50个、不锈钢储酒罐4台；自动洗瓶机、灌装机、封口机、贴标机等设备各1台。</w:t>
            </w:r>
          </w:p>
          <w:p w14:paraId="7B9BB891">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eastAsia="仿宋"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桦川县农业文旅融合抗联红色文化户外展示基地项</w:t>
            </w:r>
            <w:r>
              <w:rPr>
                <w:rFonts w:hint="default" w:ascii="Times New Roman" w:hAnsi="Times New Roman" w:eastAsia="仿宋_GB2312" w:cs="Times New Roman"/>
                <w:b w:val="0"/>
                <w:bCs w:val="0"/>
                <w:color w:val="auto"/>
                <w:szCs w:val="21"/>
                <w:highlight w:val="none"/>
                <w:woUserID w:val="8"/>
              </w:rPr>
              <w:t>目。</w:t>
            </w:r>
            <w:r>
              <w:rPr>
                <w:rFonts w:hint="default" w:ascii="Times New Roman" w:hAnsi="Times New Roman" w:eastAsia="仿宋_GB2312" w:cs="Times New Roman"/>
                <w:b w:val="0"/>
                <w:bCs w:val="0"/>
                <w:color w:val="auto"/>
                <w:szCs w:val="21"/>
                <w:highlight w:val="none"/>
              </w:rPr>
              <w:t>建设总面积10000平方米红色文化主题户外展示区，其中核心展示区域2000平方米，配套建设可容纳2500人的观礼休憩区；打造抗联历史场景复原工程，包括实物陈列、场景再现等设施；完善场地硬化、绿化、给排水、供电及消防等配套基础设施，助力桦川县农文旅融合的深入发展。</w:t>
            </w:r>
          </w:p>
        </w:tc>
      </w:tr>
    </w:tbl>
    <w:p w14:paraId="05BCB7F4">
      <w:pPr>
        <w:keepNext w:val="0"/>
        <w:keepLines w:val="0"/>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016" w:name="_Toc1300"/>
      <w:bookmarkStart w:id="1017" w:name="_Toc11448"/>
      <w:bookmarkStart w:id="1018" w:name="_Toc7183"/>
      <w:bookmarkStart w:id="1019" w:name="_Toc7333"/>
      <w:bookmarkStart w:id="1020" w:name="_Toc32347"/>
      <w:bookmarkStart w:id="1021" w:name="_Toc28961"/>
      <w:bookmarkStart w:id="1022" w:name="_Toc5670"/>
      <w:bookmarkStart w:id="1023" w:name="_Toc20235"/>
      <w:bookmarkStart w:id="1024" w:name="_Toc6370"/>
      <w:r>
        <w:rPr>
          <w:rFonts w:hint="default" w:ascii="Times New Roman" w:hAnsi="Times New Roman" w:eastAsia="仿宋_GB2312" w:cs="Times New Roman"/>
          <w:b w:val="0"/>
          <w:bCs w:val="0"/>
          <w:color w:val="auto"/>
          <w:sz w:val="32"/>
          <w:szCs w:val="32"/>
          <w:highlight w:val="none"/>
          <w:u w:val="none"/>
          <w:lang w:eastAsia="zh" w:bidi="ar"/>
          <w:woUserID w:val="0"/>
        </w:rPr>
        <w:t>第三节 打造生态旅游新景观</w:t>
      </w:r>
      <w:bookmarkEnd w:id="1016"/>
      <w:bookmarkEnd w:id="1017"/>
      <w:bookmarkEnd w:id="1018"/>
      <w:bookmarkEnd w:id="1019"/>
      <w:bookmarkEnd w:id="1020"/>
      <w:bookmarkEnd w:id="1021"/>
      <w:bookmarkEnd w:id="1022"/>
      <w:bookmarkEnd w:id="1023"/>
      <w:bookmarkEnd w:id="1024"/>
    </w:p>
    <w:p w14:paraId="20B5313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发展森林游、湿地游、田园游等特色旅游。依托大湿地、大森林、大江河等自然资源开发，开发各类药膳食养、中药医养等农医融合新产品，推出“森林氧吧”主题旅游线路，打造特色旅游康养品牌。举办森林穿越、登山徒步等“生态+旅游”特色活动，丰富休闲旅游新产业新业态。加大森林公园开发力度，发展农家乐、民宿等新产业新业态，推动建设以桦川国家森林公园为中心的南部生态康养旅游区。以万景山景点为核心，积极打造旅游环路及沿边景观。</w:t>
      </w:r>
    </w:p>
    <w:p w14:paraId="420D43C7">
      <w:pPr>
        <w:keepNext w:val="0"/>
        <w:keepLines w:val="0"/>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025" w:name="_Toc8716"/>
      <w:bookmarkStart w:id="1026" w:name="_Toc5663"/>
      <w:bookmarkStart w:id="1027" w:name="_Toc619"/>
      <w:bookmarkStart w:id="1028" w:name="_Toc12440"/>
      <w:bookmarkStart w:id="1029" w:name="_Toc19863"/>
      <w:bookmarkStart w:id="1030" w:name="_Toc7748"/>
      <w:bookmarkStart w:id="1031" w:name="_Toc26714"/>
      <w:bookmarkStart w:id="1032" w:name="_Toc19743"/>
      <w:bookmarkStart w:id="1033" w:name="_Toc13502"/>
      <w:r>
        <w:rPr>
          <w:rFonts w:hint="default" w:ascii="Times New Roman" w:hAnsi="Times New Roman" w:eastAsia="仿宋_GB2312" w:cs="Times New Roman"/>
          <w:b w:val="0"/>
          <w:bCs w:val="0"/>
          <w:color w:val="auto"/>
          <w:sz w:val="32"/>
          <w:szCs w:val="32"/>
          <w:highlight w:val="none"/>
          <w:u w:val="none"/>
          <w:lang w:eastAsia="zh" w:bidi="ar"/>
          <w:woUserID w:val="0"/>
        </w:rPr>
        <w:t>第四节 建设冰雪旅游新格局</w:t>
      </w:r>
      <w:bookmarkEnd w:id="1025"/>
      <w:bookmarkEnd w:id="1026"/>
      <w:bookmarkEnd w:id="1027"/>
      <w:bookmarkEnd w:id="1028"/>
      <w:bookmarkEnd w:id="1029"/>
      <w:bookmarkEnd w:id="1030"/>
      <w:bookmarkEnd w:id="1031"/>
      <w:bookmarkEnd w:id="1032"/>
      <w:bookmarkEnd w:id="1033"/>
    </w:p>
    <w:p w14:paraId="730A4CB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立足本地冰雪资源禀赋，全力提升冰雪旅游品质，做好“后亚冬”文章，打造冰雪经济新增长点，以发展冰雪旅游产业融合为目标，强化冰雪项目招商引资，推动冰雪运动、冰雪文化、冰雪旅游全产业链发展。通过深度挖掘冰雪生态与民俗文化内涵，将冰雪景观与地域特色体验相结合，丰富冰雪旅游产品供给；强化冰雪项目精准招商引资，重点引入兼具观赏性与参与性的冰雪运动、冰雪文创等业态，推动冰雪运动普及、冰雪文化传承与冰雪旅游消费深度联动，构建“冰雪+”全产业链发展格局，持续释放冰雪经济潜力，为县域经济高质量发展注入新动能。</w:t>
      </w:r>
    </w:p>
    <w:p w14:paraId="08A1CEF0">
      <w:pPr>
        <w:keepNext w:val="0"/>
        <w:keepLines w:val="0"/>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034" w:name="_Toc5440"/>
      <w:bookmarkStart w:id="1035" w:name="_Toc6483"/>
      <w:bookmarkStart w:id="1036" w:name="_Toc11811"/>
      <w:bookmarkStart w:id="1037" w:name="_Toc4790"/>
      <w:bookmarkStart w:id="1038" w:name="_Toc4761"/>
      <w:bookmarkStart w:id="1039" w:name="_Toc11077"/>
      <w:bookmarkStart w:id="1040" w:name="_Toc7561"/>
      <w:bookmarkStart w:id="1041" w:name="_Toc24077"/>
      <w:bookmarkStart w:id="1042" w:name="_Toc31414"/>
      <w:r>
        <w:rPr>
          <w:rFonts w:hint="default" w:ascii="Times New Roman" w:hAnsi="Times New Roman" w:eastAsia="仿宋_GB2312" w:cs="Times New Roman"/>
          <w:b w:val="0"/>
          <w:bCs w:val="0"/>
          <w:color w:val="auto"/>
          <w:sz w:val="32"/>
          <w:szCs w:val="32"/>
          <w:highlight w:val="none"/>
          <w:u w:val="none"/>
          <w:lang w:eastAsia="zh" w:bidi="ar"/>
          <w:woUserID w:val="0"/>
        </w:rPr>
        <w:t>第五节 开辟乡村旅游新路径</w:t>
      </w:r>
      <w:bookmarkEnd w:id="1034"/>
      <w:bookmarkEnd w:id="1035"/>
      <w:bookmarkEnd w:id="1036"/>
      <w:bookmarkEnd w:id="1037"/>
      <w:bookmarkEnd w:id="1038"/>
      <w:bookmarkEnd w:id="1039"/>
      <w:bookmarkEnd w:id="1040"/>
      <w:bookmarkEnd w:id="1041"/>
      <w:bookmarkEnd w:id="1042"/>
    </w:p>
    <w:p w14:paraId="2CC827A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以农文旅深度融合为核心路径，大力发展乡村旅游，持续做强水稻公园起点。聚焦“星火大米品牌赋能+朝鲜族民族农耕文化”双核心，推动稻田画主题多元化创新，打造“可观赏、可体验、可传播”的沉浸式农文旅主题场景。依托稻田观光、农事研学、农产品展销活动，深化“农田变景观、农房变民宿、农产品变纪念品”价值转化。深挖森林、湿地、中医药等生态资源禀赋，围绕垂钓、山</w:t>
      </w:r>
      <w:r>
        <w:rPr>
          <w:rFonts w:hint="eastAsia" w:eastAsia="仿宋_GB2312" w:cs="Times New Roman"/>
          <w:b w:val="0"/>
          <w:bCs w:val="0"/>
          <w:color w:val="auto"/>
          <w:sz w:val="32"/>
          <w:szCs w:val="32"/>
          <w:highlight w:val="none"/>
          <w:lang w:eastAsia="zh-CN"/>
        </w:rPr>
        <w:t>野</w:t>
      </w:r>
      <w:r>
        <w:rPr>
          <w:rFonts w:hint="default" w:ascii="Times New Roman" w:hAnsi="Times New Roman" w:eastAsia="仿宋_GB2312" w:cs="Times New Roman"/>
          <w:b w:val="0"/>
          <w:bCs w:val="0"/>
          <w:color w:val="auto"/>
          <w:sz w:val="32"/>
          <w:szCs w:val="32"/>
          <w:highlight w:val="none"/>
          <w:lang w:eastAsia="zh"/>
        </w:rPr>
        <w:t>菜、中医药康养等特色产品体系，推出农事生态主题旅游线路，培育差异化康养旅游品牌。举办落日打卡、登山徒步等特色活动，带动鹿场、钓场、乡村山庄等配套业态提质发展。以业态创新推动乡村旅游从“单一观光”向“深度体验”转型，激活农文旅融合发展新动能，为乡村振兴注入持续动力。</w:t>
      </w:r>
    </w:p>
    <w:p w14:paraId="2F2E4570">
      <w:pPr>
        <w:keepNext w:val="0"/>
        <w:keepLines w:val="0"/>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043" w:name="_Toc15382"/>
      <w:bookmarkStart w:id="1044" w:name="_Toc29028"/>
      <w:bookmarkStart w:id="1045" w:name="_Toc17252"/>
      <w:bookmarkStart w:id="1046" w:name="_Toc3701"/>
      <w:bookmarkStart w:id="1047" w:name="_Toc3578"/>
      <w:bookmarkStart w:id="1048" w:name="_Toc10928"/>
      <w:bookmarkStart w:id="1049" w:name="_Toc5570"/>
      <w:bookmarkStart w:id="1050" w:name="_Toc24262"/>
      <w:bookmarkStart w:id="1051" w:name="_Toc5030"/>
      <w:r>
        <w:rPr>
          <w:rFonts w:hint="default" w:ascii="Times New Roman" w:hAnsi="Times New Roman" w:eastAsia="仿宋_GB2312" w:cs="Times New Roman"/>
          <w:b w:val="0"/>
          <w:bCs w:val="0"/>
          <w:color w:val="auto"/>
          <w:sz w:val="32"/>
          <w:szCs w:val="32"/>
          <w:highlight w:val="none"/>
          <w:u w:val="none"/>
          <w:lang w:eastAsia="zh" w:bidi="ar"/>
          <w:woUserID w:val="0"/>
        </w:rPr>
        <w:t>第六节 拓展非遗旅游新载体</w:t>
      </w:r>
      <w:bookmarkEnd w:id="1043"/>
      <w:bookmarkEnd w:id="1044"/>
      <w:bookmarkEnd w:id="1045"/>
      <w:bookmarkEnd w:id="1046"/>
      <w:bookmarkEnd w:id="1047"/>
      <w:bookmarkEnd w:id="1048"/>
      <w:bookmarkEnd w:id="1049"/>
      <w:bookmarkEnd w:id="1050"/>
      <w:bookmarkEnd w:id="1051"/>
    </w:p>
    <w:p w14:paraId="196664C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健全文化遗产保护、传承、利用一体化体系，充分发挥瓦里霍吞古城遗址的辐射带动作用，推动文物事业与周边旅游业深度联动，将其打造为彰显地方底蕴的标志性文化地标。强化文物保护与活化利用，深度挖掘文物背后的历史文化故事，推动文物古迹、文博场馆与自然景观有机融合，构建“可观、可感、可体验”的文化展示场景。重点提升非遗保护传承利用水平，以“龟锅传承技艺、桦川米画、大地白酒”等为核心，开发系列非遗主题旅游吸引物与特色产品，提升非遗旅游创意设计品质。系统设计非遗旅游产品体系，打造特色非遗旅游体验线路，培育标杆性非遗旅游景点，全力建设全国知名的非遗文化旅游目的地。</w:t>
      </w:r>
    </w:p>
    <w:bookmarkEnd w:id="996"/>
    <w:bookmarkEnd w:id="997"/>
    <w:p w14:paraId="12D59F86">
      <w:pPr>
        <w:keepNext w:val="0"/>
        <w:keepLines w:val="0"/>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052" w:name="_Toc21718"/>
      <w:bookmarkStart w:id="1053" w:name="_Toc13768"/>
      <w:bookmarkStart w:id="1054" w:name="_Toc2473"/>
      <w:bookmarkStart w:id="1055" w:name="_Toc21899"/>
      <w:bookmarkStart w:id="1056" w:name="_Toc28116"/>
      <w:bookmarkStart w:id="1057" w:name="_Toc17726"/>
      <w:bookmarkStart w:id="1058" w:name="_Toc5336"/>
      <w:bookmarkStart w:id="1059" w:name="_Toc28207"/>
      <w:bookmarkStart w:id="1060" w:name="_Toc10753"/>
      <w:bookmarkStart w:id="1061" w:name="_Toc1661360318"/>
      <w:bookmarkStart w:id="1062" w:name="_Toc1595566784"/>
      <w:r>
        <w:rPr>
          <w:rFonts w:hint="default" w:ascii="Times New Roman" w:hAnsi="Times New Roman" w:eastAsia="仿宋_GB2312" w:cs="Times New Roman"/>
          <w:b w:val="0"/>
          <w:bCs w:val="0"/>
          <w:color w:val="auto"/>
          <w:sz w:val="32"/>
          <w:szCs w:val="32"/>
          <w:highlight w:val="none"/>
          <w:u w:val="none"/>
          <w:lang w:eastAsia="zh" w:bidi="ar"/>
          <w:woUserID w:val="0"/>
        </w:rPr>
        <w:t>第七节 做强体育旅游新链条</w:t>
      </w:r>
      <w:bookmarkEnd w:id="1052"/>
      <w:bookmarkEnd w:id="1053"/>
      <w:bookmarkEnd w:id="1054"/>
      <w:bookmarkEnd w:id="1055"/>
      <w:bookmarkEnd w:id="1056"/>
      <w:bookmarkEnd w:id="1057"/>
      <w:bookmarkEnd w:id="1058"/>
      <w:bookmarkEnd w:id="1059"/>
      <w:bookmarkEnd w:id="1060"/>
    </w:p>
    <w:p w14:paraId="463AC94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聚焦“跟着赛事来旅行”体旅融合品牌IP，大力推进赛事经济，结合地域特色与市场需求多措并举，抓住“一日观赛，多日停留”的特点，设计“赛事+景区游览”“赛事+民俗体验”等组合产品，争取国家、省、市各级精品体育赛事落地桦川，广泛举办多年龄层县域邀请赛事，做强“赛事+文旅”基本盘，拓展多元融合路径，推动“体育赛事进景区、进街区、进商圈”，让赛事场景与消费场景深度绑定，将赛事流量转化为长期经济增量。</w:t>
      </w:r>
    </w:p>
    <w:tbl>
      <w:tblPr>
        <w:tblStyle w:val="25"/>
        <w:tblW w:w="4869" w:type="pct"/>
        <w:tblInd w:w="98" w:type="dxa"/>
        <w:tblLayout w:type="fixed"/>
        <w:tblCellMar>
          <w:top w:w="0" w:type="dxa"/>
          <w:left w:w="108" w:type="dxa"/>
          <w:bottom w:w="0" w:type="dxa"/>
          <w:right w:w="108" w:type="dxa"/>
        </w:tblCellMar>
      </w:tblPr>
      <w:tblGrid>
        <w:gridCol w:w="8088"/>
      </w:tblGrid>
      <w:tr w14:paraId="4601CA4D">
        <w:tblPrEx>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shd w:val="clear" w:color="auto" w:fill="auto"/>
          </w:tcPr>
          <w:p w14:paraId="6D21957D">
            <w:pPr>
              <w:spacing w:line="360" w:lineRule="auto"/>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lang w:bidi="ar"/>
              </w:rPr>
              <w:t>专栏5-2 全域“旅游+”专项行动</w:t>
            </w:r>
          </w:p>
        </w:tc>
      </w:tr>
      <w:tr w14:paraId="5CE08882">
        <w:tblPrEx>
          <w:tblCellMar>
            <w:top w:w="0" w:type="dxa"/>
            <w:left w:w="108" w:type="dxa"/>
            <w:bottom w:w="0" w:type="dxa"/>
            <w:right w:w="108" w:type="dxa"/>
          </w:tblCellMar>
        </w:tblPrEx>
        <w:tc>
          <w:tcPr>
            <w:tcW w:w="5000" w:type="pct"/>
            <w:tcBorders>
              <w:top w:val="single" w:color="auto" w:sz="4" w:space="0"/>
              <w:left w:val="single" w:color="auto" w:sz="4" w:space="0"/>
              <w:bottom w:val="single" w:color="auto" w:sz="4" w:space="0"/>
              <w:right w:val="single" w:color="auto" w:sz="4" w:space="0"/>
            </w:tcBorders>
            <w:shd w:val="clear" w:color="auto" w:fill="auto"/>
          </w:tcPr>
          <w:p w14:paraId="1036A218">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lang w:bidi="ar"/>
              </w:rPr>
              <w:t>“红色+旅游”专项行动。充分挖掘红色文化，持续培养红色讲解员，开发红色+农业旅游线路，推动美桦文化旅游投资有限公司加大投资力度，培育红色旅游新业态，加大文化推广覆盖面。</w:t>
            </w:r>
          </w:p>
          <w:p w14:paraId="756B7E10">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lang w:bidi="ar"/>
              </w:rPr>
              <w:t>“冰雪+旅游”专项行动。大力发展冰雪旅游，招引冰雪运动等项目，举办冰雪类体育赛事。强化冰雪项目招商引资，依托冰雪资源优势，因地制宜推出特色鲜明的冰雪项目，完善场地设施，开发冰雪节庆、主题乐园、冬捕、冰钓等高品质冰雪旅游项目，丰富冰雪旅游产品。完善冰雪旅游交通、住宿、餐饮等基础设施建设，培育导游、教练等冰雪旅游人才队伍，提升冰雪旅游服务质量，打造桦川冰雪旅游目的地，加强“冰雪+旅游”融合。打造雪地足球、雪BA、冰壶等品牌赛事，发展冬泳、雪地足球等冰雪户外运动。</w:t>
            </w:r>
          </w:p>
          <w:p w14:paraId="1D583362">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lang w:bidi="ar"/>
              </w:rPr>
              <w:t>“农业+旅游”专项行动。充分挖掘水稻特色，依托“星火大米”“三江水稻之源”“百万亩绿色稻米长廊起点”以及全国唯一县属部级农产品质量检测中心等优势资源，与旅行社深度合作，开展农业观光游览和农产品展销活动。深挖农产品绿色有机价值，培育星火大米、辣椒酱、鲜食玉米、冷水鱼等特色农产品和沙棘、木耳、婆婆丁、鹿茸等山珍产品充实旅游产品系列，提升游客美食和购物体验，全方位推介名优特产品，确保桦川农特产品火爆“出圈”，推动城郊经济、定制农业及农旅融合高质量发展。</w:t>
            </w:r>
          </w:p>
          <w:p w14:paraId="54567269">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lang w:bidi="ar"/>
              </w:rPr>
              <w:t>“文化+旅游”专项行动。推进瓦里霍吞古城、希尔哈古城、抗联密营等保护项目基础设施的谋划和实施，统筹推进旅游公共服务设施现代化改造，系统提升文旅配套服务能级。成立桦川县历史文化创作小组，以本土特色历史文化背景为创作主线，招募文艺专业人才（职业），征集桦川本土文化创作作品。充分挖掘非遗文化，大力发展文化创意产业，开发非遗制品、文创产品。打造非遗美食小镇，推出大地白酒、桦川龟锅、铁锅炖等非遗美食品牌，鼓励经营主体挖掘、开发、包装。</w:t>
            </w:r>
          </w:p>
          <w:p w14:paraId="694F7BCD">
            <w:pPr>
              <w:spacing w:line="360" w:lineRule="exact"/>
              <w:ind w:firstLine="420" w:firstLineChars="200"/>
              <w:rPr>
                <w:rFonts w:hint="default" w:ascii="Times New Roman" w:hAnsi="Times New Roman" w:eastAsia="仿宋"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lang w:bidi="ar"/>
              </w:rPr>
              <w:t>“体育+旅游”专项行动。打造多元赛事矩阵，持续加强“跟着赛事来旅行”本土赛事品牌培育，引入国家省市精品体育赛事、青训等活动，筑牢流量根基。深化产业跨界融合，开展“体育赛事进景区、进商圈、进街区”活动，在赛事周边设置特色市集，嵌入本地土特产、体育周边销售。建设网红体育场所、公园，吸引更多群众打卡。</w:t>
            </w:r>
          </w:p>
        </w:tc>
      </w:tr>
    </w:tbl>
    <w:p w14:paraId="5DEC9EF6">
      <w:pPr>
        <w:pStyle w:val="3"/>
        <w:pageBreakBefore w:val="0"/>
        <w:kinsoku/>
        <w:wordWrap/>
        <w:overflowPunct/>
        <w:topLinePunct w:val="0"/>
        <w:autoSpaceDN/>
        <w:bidi w:val="0"/>
        <w:adjustRightInd/>
        <w:spacing w:before="0" w:after="0" w:line="560" w:lineRule="exact"/>
        <w:ind w:firstLine="0" w:firstLineChars="0"/>
        <w:jc w:val="center"/>
        <w:textAlignment w:val="auto"/>
        <w:rPr>
          <w:rFonts w:hint="default" w:ascii="Times New Roman" w:hAnsi="Times New Roman" w:eastAsia="楷体" w:cs="Times New Roman"/>
          <w:b w:val="0"/>
          <w:bCs/>
          <w:color w:val="auto"/>
          <w:sz w:val="32"/>
          <w:szCs w:val="32"/>
          <w:highlight w:val="none"/>
          <w:lang w:eastAsia="zh-CN"/>
        </w:rPr>
      </w:pPr>
      <w:bookmarkStart w:id="1063" w:name="_Toc25502"/>
      <w:bookmarkStart w:id="1064" w:name="_Toc12194"/>
      <w:bookmarkStart w:id="1065" w:name="_Toc20295"/>
      <w:bookmarkStart w:id="1066" w:name="_Toc31185"/>
      <w:bookmarkStart w:id="1067" w:name="_Toc30480"/>
      <w:bookmarkStart w:id="1068" w:name="_Toc22339"/>
      <w:bookmarkStart w:id="1069" w:name="_Toc10395"/>
      <w:bookmarkStart w:id="1070" w:name="_Toc21269"/>
      <w:bookmarkStart w:id="1071" w:name="_Toc18762"/>
      <w:bookmarkStart w:id="1072" w:name="_Toc12644"/>
      <w:bookmarkStart w:id="1073" w:name="_Toc7498"/>
      <w:bookmarkStart w:id="1074" w:name="_Toc13282"/>
      <w:r>
        <w:rPr>
          <w:rFonts w:hint="default" w:ascii="Times New Roman" w:hAnsi="Times New Roman" w:eastAsia="楷体" w:cs="Times New Roman"/>
          <w:b w:val="0"/>
          <w:bCs/>
          <w:color w:val="auto"/>
          <w:sz w:val="32"/>
          <w:szCs w:val="32"/>
          <w:highlight w:val="none"/>
          <w:lang w:eastAsia="zh-CN"/>
        </w:rPr>
        <w:t>第</w:t>
      </w:r>
      <w:r>
        <w:rPr>
          <w:rFonts w:hint="default" w:ascii="Times New Roman" w:hAnsi="Times New Roman" w:eastAsia="楷体" w:cs="Times New Roman"/>
          <w:b w:val="0"/>
          <w:bCs/>
          <w:color w:val="auto"/>
          <w:sz w:val="32"/>
          <w:szCs w:val="32"/>
          <w:highlight w:val="none"/>
          <w:lang w:val="en-US" w:eastAsia="zh-CN"/>
        </w:rPr>
        <w:t>三</w:t>
      </w:r>
      <w:r>
        <w:rPr>
          <w:rFonts w:hint="default" w:ascii="Times New Roman" w:hAnsi="Times New Roman" w:eastAsia="楷体" w:cs="Times New Roman"/>
          <w:b w:val="0"/>
          <w:bCs/>
          <w:color w:val="auto"/>
          <w:sz w:val="32"/>
          <w:szCs w:val="32"/>
          <w:highlight w:val="none"/>
          <w:lang w:val="en-US" w:eastAsia="zh"/>
          <w:woUserID w:val="0"/>
        </w:rPr>
        <w:t>章</w:t>
      </w:r>
      <w:r>
        <w:rPr>
          <w:rFonts w:hint="default" w:ascii="Times New Roman" w:hAnsi="Times New Roman" w:eastAsia="楷体" w:cs="Times New Roman"/>
          <w:b w:val="0"/>
          <w:bCs/>
          <w:color w:val="auto"/>
          <w:sz w:val="32"/>
          <w:szCs w:val="32"/>
          <w:highlight w:val="none"/>
          <w:lang w:eastAsia="zh-CN"/>
        </w:rPr>
        <w:t xml:space="preserve"> 推动仓储物流产业转型升级</w:t>
      </w:r>
      <w:bookmarkEnd w:id="1063"/>
      <w:bookmarkEnd w:id="1064"/>
      <w:bookmarkEnd w:id="1065"/>
      <w:bookmarkEnd w:id="1066"/>
      <w:bookmarkEnd w:id="1067"/>
      <w:bookmarkEnd w:id="1068"/>
      <w:bookmarkEnd w:id="1069"/>
      <w:bookmarkEnd w:id="1070"/>
      <w:bookmarkEnd w:id="1071"/>
      <w:bookmarkEnd w:id="1072"/>
      <w:bookmarkEnd w:id="1073"/>
      <w:bookmarkEnd w:id="1074"/>
    </w:p>
    <w:p w14:paraId="0043BFE7">
      <w:pPr>
        <w:pageBreakBefore w:val="0"/>
        <w:widowControl/>
        <w:kinsoku/>
        <w:wordWrap/>
        <w:overflowPunct/>
        <w:topLinePunct w:val="0"/>
        <w:autoSpaceDE w:val="0"/>
        <w:autoSpaceDN/>
        <w:bidi w:val="0"/>
        <w:adjustRightInd/>
        <w:spacing w:line="560" w:lineRule="exact"/>
        <w:ind w:firstLine="640" w:firstLineChars="200"/>
        <w:textAlignment w:val="auto"/>
        <w:outlineLvl w:val="9"/>
        <w:rPr>
          <w:rFonts w:hint="default" w:ascii="Times New Roman" w:hAnsi="Times New Roman" w:eastAsia="仿宋" w:cs="Times New Roman"/>
          <w:bCs w:val="0"/>
          <w:color w:val="auto"/>
          <w:sz w:val="32"/>
          <w:szCs w:val="32"/>
          <w:highlight w:val="none"/>
          <w:lang w:bidi="ar"/>
        </w:rPr>
      </w:pPr>
      <w:r>
        <w:rPr>
          <w:rFonts w:hint="default" w:ascii="Times New Roman" w:hAnsi="Times New Roman" w:eastAsia="仿宋_GB2312" w:cs="Times New Roman"/>
          <w:color w:val="auto"/>
          <w:sz w:val="32"/>
          <w:szCs w:val="32"/>
          <w:highlight w:val="none"/>
          <w:lang w:eastAsia="zh"/>
        </w:rPr>
        <w:t>聚焦降低全社会物流成本“一号先导工程”，以规划为定位、政策为导向、基地为基础、项目为主体，重点建设物流枢纽园区、应急物资转运中心，建设桦川仓储物流枢纽基地，加快构建</w:t>
      </w:r>
      <w:r>
        <w:rPr>
          <w:rFonts w:hint="eastAsia" w:eastAsia="仿宋_GB2312" w:cs="Times New Roman"/>
          <w:color w:val="auto"/>
          <w:sz w:val="32"/>
          <w:szCs w:val="32"/>
          <w:highlight w:val="none"/>
          <w:lang w:eastAsia="zh-CN"/>
        </w:rPr>
        <w:t>现代物流体系</w:t>
      </w:r>
      <w:r>
        <w:rPr>
          <w:rFonts w:hint="default" w:ascii="Times New Roman" w:hAnsi="Times New Roman" w:eastAsia="仿宋_GB2312" w:cs="Times New Roman"/>
          <w:color w:val="auto"/>
          <w:sz w:val="32"/>
          <w:szCs w:val="32"/>
          <w:highlight w:val="none"/>
          <w:lang w:eastAsia="zh"/>
        </w:rPr>
        <w:t>，提高桦川物流运行质量、改善物流运行效率、降低物流运行成本。</w:t>
      </w:r>
    </w:p>
    <w:p w14:paraId="707AB08E">
      <w:pPr>
        <w:pageBreakBefore w:val="0"/>
        <w:kinsoku/>
        <w:wordWrap/>
        <w:overflowPunct/>
        <w:topLinePunct w:val="0"/>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075" w:name="_Toc11742"/>
      <w:bookmarkStart w:id="1076" w:name="_Toc32022"/>
      <w:bookmarkStart w:id="1077" w:name="_Toc6515"/>
      <w:bookmarkStart w:id="1078" w:name="_Toc15984"/>
      <w:bookmarkStart w:id="1079" w:name="_Toc9517"/>
      <w:bookmarkStart w:id="1080" w:name="_Toc17970"/>
      <w:bookmarkStart w:id="1081" w:name="_Toc5394"/>
      <w:bookmarkStart w:id="1082" w:name="_Toc9900"/>
      <w:bookmarkStart w:id="1083" w:name="_Toc25161"/>
      <w:r>
        <w:rPr>
          <w:rFonts w:hint="default" w:ascii="Times New Roman" w:hAnsi="Times New Roman" w:eastAsia="仿宋_GB2312" w:cs="Times New Roman"/>
          <w:b w:val="0"/>
          <w:bCs w:val="0"/>
          <w:color w:val="auto"/>
          <w:sz w:val="32"/>
          <w:szCs w:val="32"/>
          <w:highlight w:val="none"/>
          <w:u w:val="none"/>
          <w:lang w:eastAsia="zh" w:bidi="ar"/>
          <w:woUserID w:val="0"/>
        </w:rPr>
        <w:t>第一节 高标准打造桦川物流仓储基地</w:t>
      </w:r>
      <w:bookmarkEnd w:id="1061"/>
      <w:bookmarkEnd w:id="1062"/>
      <w:bookmarkEnd w:id="1075"/>
      <w:bookmarkEnd w:id="1076"/>
      <w:bookmarkEnd w:id="1077"/>
      <w:bookmarkEnd w:id="1078"/>
      <w:bookmarkEnd w:id="1079"/>
      <w:bookmarkEnd w:id="1080"/>
      <w:bookmarkEnd w:id="1081"/>
      <w:bookmarkEnd w:id="1082"/>
      <w:bookmarkEnd w:id="1083"/>
    </w:p>
    <w:p w14:paraId="7D38FB4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强力实施降低全社会物流成本“一号先导工程”，发挥陆港型国家物流枢纽城市优势，高标准构建现代物流体系。依托区位与产业优势，构建</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
        </w:rPr>
        <w:t>多式联运+产仓一体+智慧赋能</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
        </w:rPr>
        <w:t>的物流基础设施平台，谋划建设桦川县域物流产业园区（桦川悦来综合物流园、桦川港区综合物流园、</w:t>
      </w:r>
      <w:commentRangeStart w:id="6"/>
      <w:r>
        <w:rPr>
          <w:rFonts w:hint="default" w:ascii="Times New Roman" w:hAnsi="Times New Roman" w:eastAsia="仿宋_GB2312" w:cs="Times New Roman"/>
          <w:color w:val="auto"/>
          <w:sz w:val="32"/>
          <w:szCs w:val="32"/>
          <w:highlight w:val="none"/>
          <w:lang w:eastAsia="zh"/>
        </w:rPr>
        <w:t>改扩建客运快递物流园</w:t>
      </w:r>
      <w:commentRangeEnd w:id="6"/>
      <w:r>
        <w:rPr>
          <w:rFonts w:hint="default" w:ascii="Times New Roman" w:hAnsi="Times New Roman" w:eastAsia="仿宋_GB2312" w:cs="Times New Roman"/>
          <w:color w:val="auto"/>
          <w:sz w:val="32"/>
          <w:szCs w:val="32"/>
          <w:highlight w:val="none"/>
          <w:lang w:eastAsia="zh"/>
        </w:rPr>
        <w:commentReference w:id="6"/>
      </w:r>
      <w:r>
        <w:rPr>
          <w:rFonts w:hint="default" w:ascii="Times New Roman" w:hAnsi="Times New Roman" w:eastAsia="仿宋_GB2312" w:cs="Times New Roman"/>
          <w:color w:val="auto"/>
          <w:sz w:val="32"/>
          <w:szCs w:val="32"/>
          <w:highlight w:val="none"/>
          <w:lang w:eastAsia="zh"/>
        </w:rPr>
        <w:t>）、四马架物流产业园区（</w:t>
      </w:r>
      <w:r>
        <w:rPr>
          <w:rFonts w:hint="eastAsia" w:eastAsia="仿宋_GB2312" w:cs="Times New Roman"/>
          <w:color w:val="auto"/>
          <w:sz w:val="32"/>
          <w:szCs w:val="32"/>
          <w:highlight w:val="none"/>
          <w:lang w:val="en-US" w:eastAsia="zh-CN"/>
        </w:rPr>
        <w:t>桦川县粮食储运综合物流园</w:t>
      </w:r>
      <w:r>
        <w:rPr>
          <w:rFonts w:hint="default" w:ascii="Times New Roman" w:hAnsi="Times New Roman" w:eastAsia="仿宋_GB2312" w:cs="Times New Roman"/>
          <w:color w:val="auto"/>
          <w:sz w:val="32"/>
          <w:szCs w:val="32"/>
          <w:highlight w:val="none"/>
          <w:lang w:eastAsia="zh"/>
        </w:rPr>
        <w:t>、四马架现代物流园），形成仓储、冷链、生产、销售一体化的大宗商品产业园区和交易中心。培育引进现代物流集团，鼓励仓储、运输等传统物流服务企业延伸服务链条。围绕仓储分级、多式联运等核心领域，谋划建设桦川县粮食储运综合物流园、佳木斯龙威物流产业园项目、桦川港区综合物流园、改建客运快递物流园。按照“资源共享、客货兼顾、运邮结合、融合发展”的原则，充分利用相关优惠政策和农村客运补贴资金，开展农村客运班车公交化改造，改造客货邮综合服务站，建设专业化快递物流园区，统筹推进物流网络节点建设。</w:t>
      </w:r>
    </w:p>
    <w:tbl>
      <w:tblPr>
        <w:tblStyle w:val="25"/>
        <w:tblW w:w="0" w:type="auto"/>
        <w:jc w:val="center"/>
        <w:tblLayout w:type="autofit"/>
        <w:tblCellMar>
          <w:top w:w="0" w:type="dxa"/>
          <w:left w:w="108" w:type="dxa"/>
          <w:bottom w:w="0" w:type="dxa"/>
          <w:right w:w="108" w:type="dxa"/>
        </w:tblCellMar>
      </w:tblPr>
      <w:tblGrid>
        <w:gridCol w:w="8296"/>
      </w:tblGrid>
      <w:tr w14:paraId="793D5514">
        <w:trPr>
          <w:jc w:val="center"/>
        </w:trPr>
        <w:tc>
          <w:tcPr>
            <w:tcW w:w="8296" w:type="dxa"/>
            <w:tcBorders>
              <w:top w:val="single" w:color="auto" w:sz="4" w:space="0"/>
              <w:left w:val="single" w:color="auto" w:sz="4" w:space="0"/>
              <w:bottom w:val="single" w:color="auto" w:sz="4" w:space="0"/>
              <w:right w:val="single" w:color="auto" w:sz="4" w:space="0"/>
            </w:tcBorders>
          </w:tcPr>
          <w:p w14:paraId="2D1F2B23">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专栏5-3</w:t>
            </w:r>
            <w:commentRangeStart w:id="7"/>
            <w:r>
              <w:rPr>
                <w:rFonts w:hint="default" w:ascii="Times New Roman" w:hAnsi="Times New Roman" w:eastAsia="楷体_GB2312" w:cs="Times New Roman"/>
                <w:b w:val="0"/>
                <w:bCs w:val="0"/>
                <w:color w:val="auto"/>
                <w:sz w:val="24"/>
                <w:highlight w:val="none"/>
                <w14:ligatures w14:val="standardContextual"/>
              </w:rPr>
              <w:t xml:space="preserve"> 桦川仓储物流基地</w:t>
            </w:r>
            <w:commentRangeEnd w:id="7"/>
            <w:r>
              <w:rPr>
                <w:rFonts w:hint="default" w:ascii="Times New Roman" w:hAnsi="Times New Roman" w:cs="Times New Roman"/>
                <w:b w:val="0"/>
                <w:bCs w:val="0"/>
                <w:color w:val="auto"/>
                <w:highlight w:val="none"/>
              </w:rPr>
              <w:commentReference w:id="7"/>
            </w:r>
          </w:p>
        </w:tc>
      </w:tr>
      <w:tr w14:paraId="71584018">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556083E1">
            <w:pPr>
              <w:spacing w:line="360" w:lineRule="exact"/>
              <w:ind w:firstLine="420" w:firstLineChars="200"/>
              <w:rPr>
                <w:rFonts w:hint="default" w:ascii="Times New Roman" w:hAnsi="Times New Roman" w:eastAsia="仿宋_GB2312" w:cs="Times New Roman"/>
                <w:b w:val="0"/>
                <w:bCs w:val="0"/>
                <w:color w:val="auto"/>
                <w:sz w:val="21"/>
                <w:szCs w:val="21"/>
                <w:highlight w:val="none"/>
                <w:lang w:val="en-US" w:eastAsia="zh"/>
                <w14:ligatures w14:val="standardContextual"/>
              </w:rPr>
            </w:pPr>
            <w:r>
              <w:rPr>
                <w:rFonts w:hint="default" w:ascii="Times New Roman" w:hAnsi="Times New Roman" w:eastAsia="仿宋" w:cs="Times New Roman"/>
                <w:b w:val="0"/>
                <w:bCs w:val="0"/>
                <w:color w:val="auto"/>
                <w:szCs w:val="21"/>
                <w:highlight w:val="none"/>
              </w:rPr>
              <w:commentReference w:id="8"/>
            </w:r>
            <w:r>
              <w:rPr>
                <w:rFonts w:hint="default" w:ascii="Times New Roman" w:hAnsi="Times New Roman" w:eastAsia="仿宋_GB2312" w:cs="Times New Roman"/>
                <w:b w:val="0"/>
                <w:bCs w:val="0"/>
                <w:color w:val="auto"/>
                <w:sz w:val="21"/>
                <w:szCs w:val="21"/>
                <w:highlight w:val="none"/>
                <w14:ligatures w14:val="standardContextual"/>
              </w:rPr>
              <w:t>建设桦川港区综合物流园。建设占地20万平方米，年周转量50万吨货物的综合型物流园区。其中：通用仓库占地12万平方米、货物分拣中心占地1.2万平方米、物流交易</w:t>
            </w:r>
            <w:r>
              <w:rPr>
                <w:rFonts w:hint="default" w:ascii="Times New Roman" w:hAnsi="Times New Roman" w:eastAsia="仿宋_GB2312" w:cs="Times New Roman"/>
                <w:b w:val="0"/>
                <w:bCs w:val="0"/>
                <w:color w:val="auto"/>
                <w:sz w:val="21"/>
                <w:szCs w:val="21"/>
                <w:highlight w:val="none"/>
                <w:lang w:val="en-US" w:eastAsia="zh-CN"/>
                <w14:ligatures w14:val="standardContextual"/>
              </w:rPr>
              <w:t>仓占地2.8万平方米、办公区占地2000平方米并建立智慧物流配套设施，项目实施可</w:t>
            </w:r>
            <w:r>
              <w:rPr>
                <w:rFonts w:hint="default" w:ascii="Times New Roman" w:hAnsi="Times New Roman" w:eastAsia="仿宋_GB2312" w:cs="Times New Roman"/>
                <w:b w:val="0"/>
                <w:bCs w:val="0"/>
                <w:color w:val="auto"/>
                <w:sz w:val="21"/>
                <w:szCs w:val="21"/>
                <w:highlight w:val="none"/>
                <w:lang w:val="en-US" w:eastAsia="zh"/>
                <w14:ligatures w14:val="standardContextual"/>
              </w:rPr>
              <w:t>实现“多式联运”，推动对俄贸易和加工产业链整合。</w:t>
            </w:r>
          </w:p>
          <w:p w14:paraId="351F5FB0">
            <w:pPr>
              <w:spacing w:line="360" w:lineRule="exact"/>
              <w:ind w:firstLine="420" w:firstLineChars="200"/>
              <w:rPr>
                <w:rFonts w:hint="default" w:ascii="Times New Roman" w:hAnsi="Times New Roman" w:eastAsia="仿宋_GB2312" w:cs="Times New Roman"/>
                <w:b w:val="0"/>
                <w:bCs w:val="0"/>
                <w:color w:val="auto"/>
                <w:sz w:val="21"/>
                <w:szCs w:val="21"/>
                <w:highlight w:val="none"/>
                <w:lang w:val="en-US" w:eastAsia="zh-CN"/>
                <w14:ligatures w14:val="standardContextual"/>
              </w:rPr>
            </w:pPr>
            <w:r>
              <w:rPr>
                <w:rFonts w:hint="default" w:ascii="Times New Roman" w:hAnsi="Times New Roman" w:eastAsia="仿宋_GB2312" w:cs="Times New Roman"/>
                <w:b w:val="0"/>
                <w:bCs w:val="0"/>
                <w:color w:val="auto"/>
                <w:sz w:val="21"/>
                <w:szCs w:val="21"/>
                <w:highlight w:val="none"/>
                <w:lang w:val="en-US" w:eastAsia="zh"/>
                <w14:ligatures w14:val="standardContextual"/>
              </w:rPr>
              <w:t>建设桦川县粮食储运</w:t>
            </w:r>
            <w:r>
              <w:rPr>
                <w:rFonts w:hint="default" w:ascii="Times New Roman" w:hAnsi="Times New Roman" w:eastAsia="仿宋_GB2312" w:cs="Times New Roman"/>
                <w:b w:val="0"/>
                <w:bCs w:val="0"/>
                <w:color w:val="auto"/>
                <w:sz w:val="21"/>
                <w:szCs w:val="21"/>
                <w:highlight w:val="none"/>
                <w:lang w:val="en-US" w:eastAsia="zh-CN"/>
                <w14:ligatures w14:val="standardContextual"/>
              </w:rPr>
              <w:t>综合物流园</w:t>
            </w:r>
            <w:r>
              <w:rPr>
                <w:rFonts w:hint="default" w:ascii="Times New Roman" w:hAnsi="Times New Roman" w:eastAsia="仿宋_GB2312" w:cs="Times New Roman"/>
                <w:b w:val="0"/>
                <w:bCs w:val="0"/>
                <w:color w:val="auto"/>
                <w:sz w:val="21"/>
                <w:szCs w:val="21"/>
                <w:highlight w:val="none"/>
                <w:lang w:val="en-US" w:eastAsia="zh"/>
                <w14:ligatures w14:val="standardContextual"/>
              </w:rPr>
              <w:t>。建设占地</w:t>
            </w:r>
            <w:r>
              <w:rPr>
                <w:rFonts w:hint="default" w:ascii="Times New Roman" w:hAnsi="Times New Roman" w:eastAsia="仿宋_GB2312" w:cs="Times New Roman"/>
                <w:b w:val="0"/>
                <w:bCs w:val="0"/>
                <w:color w:val="auto"/>
                <w:sz w:val="21"/>
                <w:szCs w:val="21"/>
                <w:highlight w:val="none"/>
                <w:lang w:val="en-US" w:eastAsia="zh-CN"/>
                <w14:ligatures w14:val="standardContextual"/>
              </w:rPr>
              <w:t>41</w:t>
            </w:r>
            <w:r>
              <w:rPr>
                <w:rFonts w:hint="default" w:ascii="Times New Roman" w:hAnsi="Times New Roman" w:eastAsia="仿宋_GB2312" w:cs="Times New Roman"/>
                <w:b w:val="0"/>
                <w:bCs w:val="0"/>
                <w:color w:val="auto"/>
                <w:sz w:val="21"/>
                <w:szCs w:val="21"/>
                <w:highlight w:val="none"/>
                <w:lang w:val="en-US" w:eastAsia="zh"/>
                <w14:ligatures w14:val="standardContextual"/>
              </w:rPr>
              <w:t>万平方米，年周转量300万吨货物的综合型物流园区。</w:t>
            </w:r>
            <w:r>
              <w:rPr>
                <w:rFonts w:hint="default" w:ascii="Times New Roman" w:hAnsi="Times New Roman" w:eastAsia="仿宋_GB2312" w:cs="Times New Roman"/>
                <w:b w:val="0"/>
                <w:bCs w:val="0"/>
                <w:color w:val="auto"/>
                <w:sz w:val="21"/>
                <w:szCs w:val="21"/>
                <w:highlight w:val="none"/>
                <w:lang w:val="en-US" w:eastAsia="zh-CN"/>
                <w14:ligatures w14:val="standardContextual"/>
              </w:rPr>
              <w:t>建设铺轨长度3.5公里铁路专用线（正线1.37公里），配套安全线、轨道衡、装卸作业场（2条货物线、1条机走线、1条机待线）及集装箱作业区、货品堆存区等设施，接轨佳富线四马架车站。园区部分包括东西两区9座储粮仓库（西区设6座50×200m储粮仓库，东区设3座50×270m储粮仓库，总仓容约50万吨）、4座烘干塔、2座综合办公楼、1座粮食加工车间、光伏配套、智慧物流体系及场地硬化、公用工程等配套设施，分西区一期、东区二期推进建设。</w:t>
            </w:r>
          </w:p>
          <w:p w14:paraId="076761E1">
            <w:pPr>
              <w:spacing w:line="360" w:lineRule="exact"/>
              <w:ind w:firstLine="420" w:firstLineChars="200"/>
              <w:rPr>
                <w:rFonts w:hint="default" w:ascii="Times New Roman" w:hAnsi="Times New Roman" w:eastAsia="仿宋_GB2312" w:cs="Times New Roman"/>
                <w:b w:val="0"/>
                <w:bCs w:val="0"/>
                <w:color w:val="auto"/>
                <w:sz w:val="21"/>
                <w:szCs w:val="21"/>
                <w:highlight w:val="none"/>
                <w:lang w:eastAsia="zh-CN"/>
                <w14:ligatures w14:val="standardContextual"/>
              </w:rPr>
            </w:pPr>
            <w:r>
              <w:rPr>
                <w:rFonts w:hint="default" w:ascii="Times New Roman" w:hAnsi="Times New Roman" w:eastAsia="仿宋_GB2312" w:cs="Times New Roman"/>
                <w:b w:val="0"/>
                <w:bCs w:val="0"/>
                <w:color w:val="auto"/>
                <w:sz w:val="21"/>
                <w:szCs w:val="21"/>
                <w:highlight w:val="none"/>
                <w:lang w:eastAsia="zh"/>
                <w14:ligatures w14:val="standardContextual"/>
              </w:rPr>
              <w:t>建设佳木斯龙威物流产业园项目。用地面积46047.14平方米，项目总建筑面积34546平方米。一层车库两座，建筑面积2850平方米。建设蒸罐清洗间、综合服务楼、智慧云仓、加油加气站、综合仓储物流服务信息化平台建设等。项目建成后将打造集仓储、运输、配送、信息处理于一体的</w:t>
            </w:r>
            <w:r>
              <w:rPr>
                <w:rFonts w:hint="eastAsia" w:eastAsia="仿宋_GB2312" w:cs="Times New Roman"/>
                <w:b w:val="0"/>
                <w:bCs w:val="0"/>
                <w:color w:val="auto"/>
                <w:sz w:val="21"/>
                <w:szCs w:val="21"/>
                <w:highlight w:val="none"/>
                <w:lang w:eastAsia="zh-CN"/>
                <w14:ligatures w14:val="standardContextual"/>
              </w:rPr>
              <w:t>现代物流体系</w:t>
            </w:r>
            <w:r>
              <w:rPr>
                <w:rFonts w:hint="default" w:ascii="Times New Roman" w:hAnsi="Times New Roman" w:eastAsia="仿宋_GB2312" w:cs="Times New Roman"/>
                <w:b w:val="0"/>
                <w:bCs w:val="0"/>
                <w:color w:val="auto"/>
                <w:sz w:val="21"/>
                <w:szCs w:val="21"/>
                <w:highlight w:val="none"/>
                <w:lang w:eastAsia="zh-CN"/>
                <w14:ligatures w14:val="standardContextual"/>
              </w:rPr>
              <w:t>。</w:t>
            </w:r>
          </w:p>
          <w:p w14:paraId="4B83E49A">
            <w:pPr>
              <w:spacing w:line="360" w:lineRule="exact"/>
              <w:ind w:firstLine="420" w:firstLineChars="200"/>
              <w:rPr>
                <w:rFonts w:hint="default" w:ascii="Times New Roman" w:hAnsi="Times New Roman" w:eastAsia="仿宋" w:cs="Times New Roman"/>
                <w:b w:val="0"/>
                <w:bCs w:val="0"/>
                <w:color w:val="auto"/>
                <w:szCs w:val="21"/>
                <w:highlight w:val="none"/>
                <w:lang w:eastAsia="zh"/>
              </w:rPr>
            </w:pPr>
            <w:r>
              <w:rPr>
                <w:rFonts w:hint="default" w:ascii="Times New Roman" w:hAnsi="Times New Roman" w:eastAsia="仿宋_GB2312" w:cs="Times New Roman"/>
                <w:b w:val="0"/>
                <w:bCs w:val="0"/>
                <w:color w:val="auto"/>
                <w:sz w:val="21"/>
                <w:szCs w:val="21"/>
                <w:highlight w:val="none"/>
                <w:lang w:eastAsia="zh-CN"/>
                <w14:ligatures w14:val="standardContextual"/>
              </w:rPr>
              <w:t>改扩建</w:t>
            </w:r>
            <w:r>
              <w:rPr>
                <w:rFonts w:hint="default" w:ascii="Times New Roman" w:hAnsi="Times New Roman" w:eastAsia="仿宋_GB2312" w:cs="Times New Roman"/>
                <w:b w:val="0"/>
                <w:bCs w:val="0"/>
                <w:color w:val="auto"/>
                <w:sz w:val="21"/>
                <w:szCs w:val="21"/>
                <w:highlight w:val="none"/>
                <w14:ligatures w14:val="standardContextual"/>
              </w:rPr>
              <w:t>客运快递物流园。依托新客运中心物流园改扩建，走访企业调研，按照企业需求进行园区改建，建设货物分拣中心占地1200平方米、恒温库房</w:t>
            </w:r>
            <w:r>
              <w:rPr>
                <w:rFonts w:hint="default" w:ascii="Times New Roman" w:hAnsi="Times New Roman" w:eastAsia="仿宋_GB2312" w:cs="Times New Roman"/>
                <w:b w:val="0"/>
                <w:bCs w:val="0"/>
                <w:color w:val="auto"/>
                <w:sz w:val="21"/>
                <w:szCs w:val="21"/>
                <w:highlight w:val="none"/>
                <w:lang w:eastAsia="zh"/>
                <w14:ligatures w14:val="standardContextual"/>
              </w:rPr>
              <w:t>2</w:t>
            </w:r>
            <w:r>
              <w:rPr>
                <w:rFonts w:hint="default" w:ascii="Times New Roman" w:hAnsi="Times New Roman" w:eastAsia="仿宋_GB2312" w:cs="Times New Roman"/>
                <w:b w:val="0"/>
                <w:bCs w:val="0"/>
                <w:color w:val="auto"/>
                <w:sz w:val="21"/>
                <w:szCs w:val="21"/>
                <w:highlight w:val="none"/>
                <w14:ligatures w14:val="standardContextual"/>
              </w:rPr>
              <w:t>000平方米，冷冻库房</w:t>
            </w:r>
            <w:r>
              <w:rPr>
                <w:rFonts w:hint="default" w:ascii="Times New Roman" w:hAnsi="Times New Roman" w:eastAsia="仿宋_GB2312" w:cs="Times New Roman"/>
                <w:b w:val="0"/>
                <w:bCs w:val="0"/>
                <w:color w:val="auto"/>
                <w:sz w:val="21"/>
                <w:szCs w:val="21"/>
                <w:highlight w:val="none"/>
                <w:lang w:eastAsia="zh"/>
                <w14:ligatures w14:val="standardContextual"/>
              </w:rPr>
              <w:t>20</w:t>
            </w:r>
            <w:r>
              <w:rPr>
                <w:rFonts w:hint="default" w:ascii="Times New Roman" w:hAnsi="Times New Roman" w:eastAsia="仿宋_GB2312" w:cs="Times New Roman"/>
                <w:b w:val="0"/>
                <w:bCs w:val="0"/>
                <w:color w:val="auto"/>
                <w:sz w:val="21"/>
                <w:szCs w:val="21"/>
                <w:highlight w:val="none"/>
                <w14:ligatures w14:val="standardContextual"/>
              </w:rPr>
              <w:t>00平方米，同时整合县内小微物流企业入驻，通过集约化经营，共享运力，降本增效</w:t>
            </w:r>
            <w:r>
              <w:rPr>
                <w:rFonts w:hint="default" w:ascii="Times New Roman" w:hAnsi="Times New Roman" w:eastAsia="仿宋_GB2312" w:cs="Times New Roman"/>
                <w:b w:val="0"/>
                <w:bCs w:val="0"/>
                <w:color w:val="auto"/>
                <w:sz w:val="21"/>
                <w:szCs w:val="21"/>
                <w:highlight w:val="none"/>
                <w:lang w:eastAsia="zh"/>
                <w14:ligatures w14:val="standardContextual"/>
              </w:rPr>
              <w:t>。</w:t>
            </w:r>
          </w:p>
        </w:tc>
      </w:tr>
    </w:tbl>
    <w:tbl>
      <w:tblPr>
        <w:tblStyle w:val="25"/>
        <w:tblpPr w:leftFromText="180" w:rightFromText="180" w:vertAnchor="text" w:tblpXSpec="center" w:tblpY="11"/>
        <w:tblOverlap w:val="never"/>
        <w:tblW w:w="0" w:type="auto"/>
        <w:jc w:val="center"/>
        <w:tblLayout w:type="autofit"/>
        <w:tblCellMar>
          <w:top w:w="0" w:type="dxa"/>
          <w:left w:w="108" w:type="dxa"/>
          <w:bottom w:w="0" w:type="dxa"/>
          <w:right w:w="108" w:type="dxa"/>
        </w:tblCellMar>
      </w:tblPr>
      <w:tblGrid>
        <w:gridCol w:w="8296"/>
      </w:tblGrid>
      <w:tr w14:paraId="3B36EAF4">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2D73F6F8">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专栏5-4 桦川城郊仓储与冷链物流产业重点项目</w:t>
            </w:r>
          </w:p>
        </w:tc>
      </w:tr>
      <w:tr w14:paraId="1F2E2584">
        <w:tblPrEx>
          <w:tblCellMar>
            <w:top w:w="0" w:type="dxa"/>
            <w:left w:w="108" w:type="dxa"/>
            <w:bottom w:w="0" w:type="dxa"/>
            <w:right w:w="108" w:type="dxa"/>
          </w:tblCellMar>
        </w:tblPrEx>
        <w:trPr>
          <w:trHeight w:val="90" w:hRule="atLeast"/>
          <w:jc w:val="center"/>
        </w:trPr>
        <w:tc>
          <w:tcPr>
            <w:tcW w:w="8296" w:type="dxa"/>
            <w:tcBorders>
              <w:top w:val="single" w:color="auto" w:sz="4" w:space="0"/>
              <w:left w:val="single" w:color="auto" w:sz="4" w:space="0"/>
              <w:bottom w:val="single" w:color="auto" w:sz="4" w:space="0"/>
              <w:right w:val="single" w:color="auto" w:sz="4" w:space="0"/>
            </w:tcBorders>
          </w:tcPr>
          <w:p w14:paraId="4C8A6F24">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建设桦川县应急中转站项目。计划总投资2亿元，用地面积约10万平方米，设有交易区、冷链区、仓储区、服务区四个功能区块，平时作为桦川粮食等大宗商品综合物流园和大米交易中心，紧急状况下可转为成品粮油城市应急保供中心。</w:t>
            </w:r>
          </w:p>
          <w:p w14:paraId="0F0353E5">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建设中储粮东河粮库。国储粮项目规划仓容为12万吨，该项目建成后不仅能更好地维护农民利益、维护粮食市场稳定和维护国家粮食安全，对当前拉动投资需求也有一定的促进作用，更为促进地方经济平稳较快发展做出贡献。</w:t>
            </w:r>
          </w:p>
          <w:p w14:paraId="0D37E6AB">
            <w:pPr>
              <w:spacing w:line="360" w:lineRule="exact"/>
              <w:ind w:firstLine="420" w:firstLineChars="200"/>
              <w:rPr>
                <w:rFonts w:hint="default" w:ascii="Times New Roman" w:hAnsi="Times New Roman" w:eastAsia="宋体" w:cs="Times New Roman"/>
                <w:b w:val="0"/>
                <w:bCs w:val="0"/>
                <w:color w:val="auto"/>
                <w:szCs w:val="24"/>
                <w:highlight w:val="none"/>
              </w:rPr>
            </w:pPr>
            <w:r>
              <w:rPr>
                <w:rFonts w:hint="default" w:ascii="Times New Roman" w:hAnsi="Times New Roman" w:eastAsia="仿宋_GB2312" w:cs="Times New Roman"/>
                <w:b w:val="0"/>
                <w:bCs w:val="0"/>
                <w:color w:val="auto"/>
                <w:szCs w:val="21"/>
                <w:highlight w:val="none"/>
              </w:rPr>
              <w:t>建设桦川县冷链物流项目。项目占地44310.66平方米，建筑面积为34603.00平方米，其中：冷库占地30000平方米，管理及附属用房占地3000平方米，配套建设围墙、消防设备、道路硬化工程、网络平台等设施。该项目的建设可以培植本地冷链物流，积极招引培育冷链龙头企业，园区配套可以支撑冷链物流企业建设网络货运平台，优化整合产品、冷库、冷链运输车辆资源，探索“合作社+冷链”“电商+冷链”多元化合作模式，为农产品加工和预制菜产业发展提供强力支撑</w:t>
            </w:r>
            <w:commentRangeStart w:id="9"/>
            <w:r>
              <w:rPr>
                <w:rFonts w:hint="default" w:ascii="Times New Roman" w:hAnsi="Times New Roman" w:eastAsia="仿宋_GB2312" w:cs="Times New Roman"/>
                <w:b w:val="0"/>
                <w:bCs w:val="0"/>
                <w:color w:val="auto"/>
                <w:szCs w:val="21"/>
                <w:highlight w:val="none"/>
              </w:rPr>
              <w:t>。</w:t>
            </w:r>
            <w:commentRangeEnd w:id="9"/>
            <w:r>
              <w:rPr>
                <w:rFonts w:hint="default" w:ascii="Times New Roman" w:hAnsi="Times New Roman" w:eastAsia="仿宋_GB2312" w:cs="Times New Roman"/>
                <w:b w:val="0"/>
                <w:bCs w:val="0"/>
                <w:color w:val="auto"/>
                <w:highlight w:val="none"/>
              </w:rPr>
              <w:commentReference w:id="9"/>
            </w:r>
          </w:p>
        </w:tc>
      </w:tr>
      <w:tr w14:paraId="1429ECBB">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6E7B4D8D">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专栏5-</w:t>
            </w:r>
            <w:r>
              <w:rPr>
                <w:rFonts w:hint="default" w:ascii="Times New Roman" w:hAnsi="Times New Roman" w:eastAsia="楷体_GB2312" w:cs="Times New Roman"/>
                <w:b w:val="0"/>
                <w:bCs w:val="0"/>
                <w:color w:val="auto"/>
                <w:sz w:val="24"/>
                <w:highlight w:val="none"/>
                <w:lang w:eastAsia="zh"/>
                <w14:ligatures w14:val="standardContextual"/>
              </w:rPr>
              <w:t>5</w:t>
            </w:r>
            <w:commentRangeStart w:id="10"/>
            <w:commentRangeStart w:id="11"/>
            <w:r>
              <w:rPr>
                <w:rFonts w:hint="default" w:ascii="Times New Roman" w:hAnsi="Times New Roman" w:eastAsia="楷体_GB2312" w:cs="Times New Roman"/>
                <w:b w:val="0"/>
                <w:bCs w:val="0"/>
                <w:color w:val="auto"/>
                <w:sz w:val="24"/>
                <w:highlight w:val="none"/>
                <w14:ligatures w14:val="standardContextual"/>
              </w:rPr>
              <w:t xml:space="preserve"> 桦</w:t>
            </w:r>
            <w:commentRangeEnd w:id="10"/>
            <w:r>
              <w:rPr>
                <w:rFonts w:hint="default" w:ascii="Times New Roman" w:hAnsi="Times New Roman" w:cs="Times New Roman"/>
                <w:b w:val="0"/>
                <w:bCs w:val="0"/>
                <w:color w:val="auto"/>
                <w:highlight w:val="none"/>
              </w:rPr>
              <w:commentReference w:id="10"/>
            </w:r>
            <w:commentRangeEnd w:id="11"/>
            <w:r>
              <w:rPr>
                <w:rStyle w:val="30"/>
                <w:rFonts w:hint="default" w:ascii="Times New Roman" w:hAnsi="Times New Roman" w:cs="Times New Roman"/>
                <w:b w:val="0"/>
                <w:bCs w:val="0"/>
                <w:color w:val="auto"/>
                <w:highlight w:val="none"/>
              </w:rPr>
              <w:commentReference w:id="11"/>
            </w:r>
            <w:r>
              <w:rPr>
                <w:rFonts w:hint="default" w:ascii="Times New Roman" w:hAnsi="Times New Roman" w:eastAsia="楷体_GB2312" w:cs="Times New Roman"/>
                <w:b w:val="0"/>
                <w:bCs w:val="0"/>
                <w:color w:val="auto"/>
                <w:sz w:val="24"/>
                <w:highlight w:val="none"/>
                <w:lang w:eastAsia="zh"/>
                <w14:ligatures w14:val="standardContextual"/>
              </w:rPr>
              <w:t>川客货邮一体化升级</w:t>
            </w:r>
          </w:p>
        </w:tc>
      </w:tr>
      <w:tr w14:paraId="1B393624">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3A941A48">
            <w:pPr>
              <w:spacing w:line="360" w:lineRule="exact"/>
              <w:ind w:firstLine="420" w:firstLineChars="200"/>
              <w:rPr>
                <w:rFonts w:hint="default" w:ascii="Times New Roman" w:hAnsi="Times New Roman" w:eastAsia="楷体_GB2312" w:cs="Times New Roman"/>
                <w:b w:val="0"/>
                <w:bCs w:val="0"/>
                <w:color w:val="auto"/>
                <w:szCs w:val="21"/>
                <w:highlight w:val="none"/>
                <w:lang w:eastAsia="zh"/>
              </w:rPr>
            </w:pPr>
            <w:r>
              <w:rPr>
                <w:rFonts w:hint="default" w:ascii="Times New Roman" w:hAnsi="Times New Roman" w:eastAsia="仿宋_GB2312" w:cs="Times New Roman"/>
                <w:b w:val="0"/>
                <w:bCs w:val="0"/>
                <w:color w:val="auto"/>
                <w:sz w:val="21"/>
                <w:szCs w:val="21"/>
                <w:highlight w:val="none"/>
                <w:lang w:eastAsia="zh"/>
                <w14:ligatures w14:val="standardContextual"/>
              </w:rPr>
              <w:t>桦川县客货邮一体化升级改造项目</w:t>
            </w:r>
            <w:r>
              <w:rPr>
                <w:rFonts w:hint="default" w:ascii="Times New Roman" w:hAnsi="Times New Roman" w:eastAsia="仿宋_GB2312" w:cs="Times New Roman"/>
                <w:b w:val="0"/>
                <w:bCs w:val="0"/>
                <w:color w:val="auto"/>
                <w:sz w:val="21"/>
                <w:szCs w:val="21"/>
                <w:highlight w:val="none"/>
                <w14:ligatures w14:val="standardContextual"/>
              </w:rPr>
              <w:t>。</w:t>
            </w:r>
            <w:r>
              <w:rPr>
                <w:rFonts w:hint="default" w:ascii="Times New Roman" w:hAnsi="Times New Roman" w:eastAsia="仿宋_GB2312" w:cs="Times New Roman"/>
                <w:b w:val="0"/>
                <w:bCs w:val="0"/>
                <w:color w:val="auto"/>
                <w:sz w:val="21"/>
                <w:szCs w:val="21"/>
                <w:highlight w:val="none"/>
                <w:lang w:eastAsia="zh"/>
                <w14:ligatures w14:val="standardContextual"/>
              </w:rPr>
              <w:t>建设面积为2000平方米的自动分拣库，涵盖所有行政村的自动化仓储设备。</w:t>
            </w:r>
          </w:p>
        </w:tc>
      </w:tr>
    </w:tbl>
    <w:p w14:paraId="69B42297">
      <w:pPr>
        <w:pageBreakBefore w:val="0"/>
        <w:kinsoku/>
        <w:wordWrap/>
        <w:overflowPunct/>
        <w:topLinePunct w:val="0"/>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084" w:name="_Toc24288"/>
      <w:bookmarkStart w:id="1085" w:name="_Toc25246"/>
      <w:bookmarkStart w:id="1086" w:name="_Toc25886"/>
      <w:bookmarkStart w:id="1087" w:name="_Toc195248229"/>
      <w:bookmarkStart w:id="1088" w:name="_Toc2399"/>
      <w:bookmarkStart w:id="1089" w:name="_Toc26403"/>
      <w:bookmarkStart w:id="1090" w:name="_Toc18481"/>
      <w:bookmarkStart w:id="1091" w:name="_Toc15621"/>
      <w:bookmarkStart w:id="1092" w:name="_Toc13904"/>
      <w:bookmarkStart w:id="1093" w:name="_Toc10241"/>
      <w:bookmarkStart w:id="1094" w:name="_Toc1647539800"/>
      <w:r>
        <w:rPr>
          <w:rFonts w:hint="default" w:ascii="Times New Roman" w:hAnsi="Times New Roman" w:eastAsia="仿宋_GB2312" w:cs="Times New Roman"/>
          <w:b w:val="0"/>
          <w:bCs w:val="0"/>
          <w:color w:val="auto"/>
          <w:sz w:val="32"/>
          <w:szCs w:val="32"/>
          <w:highlight w:val="none"/>
          <w:u w:val="none"/>
          <w:lang w:eastAsia="zh" w:bidi="ar"/>
          <w:woUserID w:val="0"/>
        </w:rPr>
        <w:t>第二节 推动“物流+”产业融合发展</w:t>
      </w:r>
      <w:bookmarkEnd w:id="1084"/>
      <w:bookmarkEnd w:id="1085"/>
      <w:bookmarkEnd w:id="1086"/>
      <w:bookmarkEnd w:id="1087"/>
      <w:bookmarkEnd w:id="1088"/>
      <w:bookmarkEnd w:id="1089"/>
      <w:bookmarkEnd w:id="1090"/>
      <w:bookmarkEnd w:id="1091"/>
      <w:bookmarkEnd w:id="1092"/>
      <w:bookmarkEnd w:id="1093"/>
      <w:bookmarkEnd w:id="1094"/>
    </w:p>
    <w:p w14:paraId="45D61A7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b w:val="0"/>
          <w:bCs w:val="0"/>
          <w:lang w:eastAsia="zh"/>
        </w:rPr>
      </w:pPr>
      <w:r>
        <w:rPr>
          <w:rFonts w:hint="default" w:ascii="Times New Roman" w:hAnsi="Times New Roman" w:eastAsia="仿宋_GB2312" w:cs="Times New Roman"/>
          <w:b w:val="0"/>
          <w:bCs w:val="0"/>
          <w:color w:val="auto"/>
          <w:sz w:val="32"/>
          <w:szCs w:val="32"/>
          <w:highlight w:val="none"/>
          <w:lang w:eastAsia="zh"/>
        </w:rPr>
        <w:t>统筹推进公路、水路、铁路建设，加快构建开放型综合立体交通网络建设，完善桦川县物流功能定位和空间布局，强化基础设施布局与枢纽建设，将桦川县打造成佳木斯东部地区综合物流枢纽中心，服务桦川县及周边县域的农业、制造业和商贸业，推动“物流+产业”融合发展。加快发展港口仓储物流、航运物流服务、物流咨询、物流金融、境外服务等供应链物流服务，推动物流企业向供应链解决方案系统服务商转变。加大国资物流企业招引力度，发挥国资物流企业牵头作用，推动“交通+”业态融合，加强交邮、公铁等运输方式联动，培育集物流、运输为一体的规上服务业企业，实现车辆、人员规范化运营，提升行业集中度。推动物流与产业融合发展，鼓励工商企业“剥离”物流业务，支持物流行业集聚发展，整合提升仓储效率，降低物流信息交易成本。</w:t>
      </w:r>
      <w:bookmarkStart w:id="1095" w:name="_Toc20721"/>
      <w:bookmarkStart w:id="1096" w:name="_Toc10219"/>
      <w:bookmarkStart w:id="1097" w:name="_Toc3923"/>
      <w:bookmarkStart w:id="1098" w:name="_Toc14195"/>
      <w:bookmarkStart w:id="1099" w:name="_Toc833605207"/>
      <w:bookmarkStart w:id="1100" w:name="_Toc17073"/>
      <w:bookmarkStart w:id="1101" w:name="_Toc95278690"/>
      <w:bookmarkStart w:id="1102" w:name="_Toc32058"/>
      <w:bookmarkStart w:id="1103" w:name="_Toc17217"/>
      <w:bookmarkStart w:id="1104" w:name="_Toc26264"/>
      <w:bookmarkStart w:id="1105" w:name="_Toc15580"/>
    </w:p>
    <w:p w14:paraId="10FC7988">
      <w:pPr>
        <w:pageBreakBefore w:val="0"/>
        <w:kinsoku/>
        <w:wordWrap/>
        <w:overflowPunct/>
        <w:topLinePunct w:val="0"/>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r>
        <w:rPr>
          <w:rFonts w:hint="default" w:ascii="Times New Roman" w:hAnsi="Times New Roman" w:eastAsia="仿宋_GB2312" w:cs="Times New Roman"/>
          <w:b w:val="0"/>
          <w:bCs w:val="0"/>
          <w:color w:val="auto"/>
          <w:sz w:val="32"/>
          <w:szCs w:val="32"/>
          <w:highlight w:val="none"/>
          <w:u w:val="none"/>
          <w:lang w:eastAsia="zh" w:bidi="ar"/>
          <w:woUserID w:val="0"/>
        </w:rPr>
        <w:t>第三节 全面构建县乡村三级物流体系</w:t>
      </w:r>
      <w:bookmarkEnd w:id="1095"/>
      <w:bookmarkEnd w:id="1096"/>
      <w:bookmarkEnd w:id="1097"/>
      <w:bookmarkEnd w:id="1098"/>
      <w:bookmarkEnd w:id="1099"/>
      <w:bookmarkEnd w:id="1100"/>
      <w:bookmarkEnd w:id="1101"/>
      <w:bookmarkEnd w:id="1102"/>
      <w:bookmarkEnd w:id="1103"/>
      <w:bookmarkEnd w:id="1104"/>
      <w:bookmarkEnd w:id="1105"/>
    </w:p>
    <w:p w14:paraId="191B103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积极响应国家公交货运融合发展政策，落实国家城乡一体化发展战略，利用</w:t>
      </w:r>
      <w:commentRangeStart w:id="12"/>
      <w:r>
        <w:rPr>
          <w:rFonts w:hint="default" w:ascii="Times New Roman" w:hAnsi="Times New Roman" w:eastAsia="仿宋_GB2312" w:cs="Times New Roman"/>
          <w:b w:val="0"/>
          <w:bCs w:val="0"/>
          <w:color w:val="auto"/>
          <w:sz w:val="32"/>
          <w:szCs w:val="32"/>
          <w:highlight w:val="none"/>
          <w:lang w:eastAsia="zh"/>
        </w:rPr>
        <w:t>客运快递物流园</w:t>
      </w:r>
      <w:commentRangeEnd w:id="12"/>
      <w:r>
        <w:rPr>
          <w:rFonts w:hint="default" w:ascii="Times New Roman" w:hAnsi="Times New Roman" w:eastAsia="仿宋_GB2312" w:cs="Times New Roman"/>
          <w:b w:val="0"/>
          <w:bCs w:val="0"/>
          <w:color w:val="auto"/>
          <w:sz w:val="32"/>
          <w:szCs w:val="32"/>
          <w:highlight w:val="none"/>
          <w:lang w:eastAsia="zh"/>
        </w:rPr>
        <w:commentReference w:id="12"/>
      </w:r>
      <w:r>
        <w:rPr>
          <w:rFonts w:hint="default" w:ascii="Times New Roman" w:hAnsi="Times New Roman" w:eastAsia="仿宋_GB2312" w:cs="Times New Roman"/>
          <w:b w:val="0"/>
          <w:bCs w:val="0"/>
          <w:color w:val="auto"/>
          <w:sz w:val="32"/>
          <w:szCs w:val="32"/>
          <w:highlight w:val="none"/>
          <w:lang w:eastAsia="zh"/>
        </w:rPr>
        <w:t>积极开展客货邮融合发展工作。积极推进客货邮融合发展，构建覆盖广泛、功能集约、高效便捷的县、乡、村三级客货邮融合发展新格局。推动县域公交化改造，形成全域一体化公交体系。改造完成后将提高城乡公交服务水平和能力，满足群众出行需求，形成全域一体化公交体系。持续推动建设县乡村三级物流网络，分类打造“综合商超+快递收发”“农资配送+农产品收购”“再生资源回收”等特色站点，推动物流配送“最后一公里”全覆盖。</w:t>
      </w:r>
    </w:p>
    <w:p w14:paraId="0D2A81E9">
      <w:pPr>
        <w:pStyle w:val="3"/>
        <w:pageBreakBefore w:val="0"/>
        <w:kinsoku/>
        <w:wordWrap/>
        <w:overflowPunct/>
        <w:topLinePunct w:val="0"/>
        <w:autoSpaceDN/>
        <w:bidi w:val="0"/>
        <w:adjustRightInd/>
        <w:spacing w:before="0" w:after="0" w:line="560" w:lineRule="exact"/>
        <w:jc w:val="center"/>
        <w:textAlignment w:val="auto"/>
        <w:rPr>
          <w:rFonts w:hint="default" w:ascii="Times New Roman" w:hAnsi="Times New Roman" w:eastAsia="楷体" w:cs="Times New Roman"/>
          <w:b w:val="0"/>
          <w:bCs w:val="0"/>
          <w:color w:val="auto"/>
          <w:sz w:val="32"/>
          <w:szCs w:val="32"/>
          <w:highlight w:val="none"/>
          <w:lang w:eastAsia="zh"/>
        </w:rPr>
      </w:pPr>
      <w:bookmarkStart w:id="1106" w:name="_Toc27147"/>
      <w:bookmarkStart w:id="1107" w:name="_Toc2207"/>
      <w:bookmarkStart w:id="1108" w:name="_Toc29671"/>
      <w:bookmarkStart w:id="1109" w:name="_Toc1064124360"/>
      <w:bookmarkStart w:id="1110" w:name="_Toc29995"/>
      <w:bookmarkStart w:id="1111" w:name="_Toc28942"/>
      <w:bookmarkStart w:id="1112" w:name="_Toc6014"/>
      <w:bookmarkStart w:id="1113" w:name="_Toc12496"/>
      <w:bookmarkStart w:id="1114" w:name="_Toc19234"/>
      <w:bookmarkStart w:id="1115" w:name="_Toc6964"/>
      <w:bookmarkStart w:id="1116" w:name="_Toc25087"/>
      <w:bookmarkStart w:id="1117" w:name="_Toc7766"/>
      <w:bookmarkStart w:id="1118" w:name="_Toc1959898012"/>
      <w:bookmarkStart w:id="1119" w:name="_Toc3978"/>
      <w:r>
        <w:rPr>
          <w:rFonts w:hint="default" w:ascii="Times New Roman" w:hAnsi="Times New Roman" w:eastAsia="楷体" w:cs="Times New Roman"/>
          <w:b w:val="0"/>
          <w:bCs w:val="0"/>
          <w:color w:val="auto"/>
          <w:sz w:val="32"/>
          <w:szCs w:val="32"/>
          <w:highlight w:val="none"/>
          <w:lang w:eastAsia="zh"/>
          <w:woUserID w:val="0"/>
        </w:rPr>
        <w:t>第四章</w:t>
      </w:r>
      <w:r>
        <w:rPr>
          <w:rFonts w:hint="default" w:ascii="Times New Roman" w:hAnsi="Times New Roman" w:eastAsia="楷体" w:cs="Times New Roman"/>
          <w:b w:val="0"/>
          <w:bCs w:val="0"/>
          <w:color w:val="auto"/>
          <w:sz w:val="32"/>
          <w:szCs w:val="32"/>
          <w:highlight w:val="none"/>
        </w:rPr>
        <w:t xml:space="preserve"> 打造现代服务业新增长极</w:t>
      </w:r>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p>
    <w:p w14:paraId="16BEBE43">
      <w:pPr>
        <w:pageBreakBefore w:val="0"/>
        <w:kinsoku/>
        <w:wordWrap/>
        <w:overflowPunct/>
        <w:topLinePunct w:val="0"/>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120" w:name="_Toc22374"/>
      <w:bookmarkStart w:id="1121" w:name="_Toc16972"/>
      <w:bookmarkStart w:id="1122" w:name="_Toc3864"/>
      <w:bookmarkStart w:id="1123" w:name="_Toc10668"/>
      <w:bookmarkStart w:id="1124" w:name="_Toc17887"/>
      <w:bookmarkStart w:id="1125" w:name="_Toc191510879"/>
      <w:bookmarkStart w:id="1126" w:name="_Toc23728"/>
      <w:bookmarkStart w:id="1127" w:name="_Toc2085180498"/>
      <w:bookmarkStart w:id="1128" w:name="_Toc10860"/>
      <w:bookmarkStart w:id="1129" w:name="_Toc4156"/>
      <w:bookmarkStart w:id="1130" w:name="_Toc6624"/>
      <w:r>
        <w:rPr>
          <w:rFonts w:hint="default" w:ascii="Times New Roman" w:hAnsi="Times New Roman" w:eastAsia="仿宋_GB2312" w:cs="Times New Roman"/>
          <w:b w:val="0"/>
          <w:bCs w:val="0"/>
          <w:color w:val="auto"/>
          <w:sz w:val="32"/>
          <w:szCs w:val="32"/>
          <w:highlight w:val="none"/>
          <w:u w:val="none"/>
          <w:lang w:eastAsia="zh" w:bidi="ar"/>
          <w:woUserID w:val="0"/>
        </w:rPr>
        <w:t>第一节 优化提升创意设计产业</w:t>
      </w:r>
      <w:bookmarkEnd w:id="1120"/>
      <w:bookmarkEnd w:id="1121"/>
      <w:bookmarkEnd w:id="1122"/>
      <w:bookmarkEnd w:id="1123"/>
      <w:bookmarkEnd w:id="1124"/>
      <w:bookmarkEnd w:id="1125"/>
      <w:bookmarkEnd w:id="1126"/>
      <w:bookmarkEnd w:id="1127"/>
      <w:bookmarkEnd w:id="1128"/>
      <w:bookmarkEnd w:id="1129"/>
      <w:bookmarkEnd w:id="1130"/>
    </w:p>
    <w:p w14:paraId="38ECCBB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u w:val="none"/>
          <w:lang w:eastAsia="zh" w:bidi="ar"/>
          <w:woUserID w:val="0"/>
        </w:rPr>
      </w:pPr>
      <w:bookmarkStart w:id="1131" w:name="_Toc163898137"/>
      <w:bookmarkStart w:id="1132" w:name="_Toc770020585"/>
      <w:bookmarkStart w:id="1133" w:name="_Toc1043212594"/>
      <w:r>
        <w:rPr>
          <w:rFonts w:hint="default" w:ascii="Times New Roman" w:hAnsi="Times New Roman" w:eastAsia="仿宋_GB2312" w:cs="Times New Roman"/>
          <w:b w:val="0"/>
          <w:bCs w:val="0"/>
          <w:color w:val="auto"/>
          <w:sz w:val="32"/>
          <w:szCs w:val="32"/>
          <w:highlight w:val="none"/>
          <w:lang w:eastAsia="zh"/>
        </w:rPr>
        <w:t>培育县域内创意设计企业，充分发挥企业龙头作用，带动其他企业发展。持续举办“我为星火大米代言”“星火杯”等创意设计大赛，搭建创意设计交流平台，推动创意设计成果转化应用，提升全县创意设计产业的整体水平。依托黑龙江省网络视听协会编剧专委会，创作一批具有地方特色和时代精神的影视剧本，推进影视基地建设，拍摄《全军列阵》《雪漫三江》等影视作品，提升桦川文化影响力。打造“影视+文旅”发展理念，从影视IP到文旅转化，树立特色影视旅游线路，举办影视主题文旅活动，吸引游客参与体验。“十五五”期间，全县培育年营业额超200万企业2家以上。</w:t>
      </w:r>
      <w:bookmarkEnd w:id="1131"/>
      <w:bookmarkEnd w:id="1132"/>
      <w:bookmarkEnd w:id="1133"/>
      <w:bookmarkStart w:id="1134" w:name="_Toc28883"/>
      <w:bookmarkStart w:id="1135" w:name="_Toc23116"/>
      <w:bookmarkStart w:id="1136" w:name="_Toc15366"/>
      <w:bookmarkStart w:id="1137" w:name="_Toc12269"/>
      <w:bookmarkStart w:id="1138" w:name="_Toc9815"/>
      <w:bookmarkStart w:id="1139" w:name="_Toc8482"/>
      <w:bookmarkStart w:id="1140" w:name="_Toc27073"/>
      <w:bookmarkStart w:id="1141" w:name="_Toc29461"/>
      <w:bookmarkStart w:id="1142" w:name="_Toc25980"/>
    </w:p>
    <w:p w14:paraId="2F399F5F">
      <w:pPr>
        <w:pageBreakBefore w:val="0"/>
        <w:kinsoku/>
        <w:wordWrap/>
        <w:overflowPunct/>
        <w:topLinePunct w:val="0"/>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CN" w:bidi="ar"/>
          <w:woUserID w:val="0"/>
        </w:rPr>
      </w:pPr>
      <w:r>
        <w:rPr>
          <w:rFonts w:hint="default" w:ascii="Times New Roman" w:hAnsi="Times New Roman" w:eastAsia="仿宋_GB2312" w:cs="Times New Roman"/>
          <w:b w:val="0"/>
          <w:bCs w:val="0"/>
          <w:color w:val="auto"/>
          <w:sz w:val="32"/>
          <w:szCs w:val="32"/>
          <w:highlight w:val="none"/>
          <w:u w:val="none"/>
          <w:lang w:eastAsia="zh" w:bidi="ar"/>
          <w:woUserID w:val="0"/>
        </w:rPr>
        <w:t>第二节 加快</w:t>
      </w:r>
      <w:r>
        <w:rPr>
          <w:rFonts w:hint="default" w:ascii="Times New Roman" w:hAnsi="Times New Roman" w:eastAsia="仿宋_GB2312" w:cs="Times New Roman"/>
          <w:b w:val="0"/>
          <w:bCs w:val="0"/>
          <w:color w:val="auto"/>
          <w:sz w:val="32"/>
          <w:szCs w:val="32"/>
          <w:highlight w:val="none"/>
          <w:u w:val="none"/>
          <w:lang w:eastAsia="zh-CN" w:bidi="ar"/>
          <w:woUserID w:val="0"/>
        </w:rPr>
        <w:t>发展健康养老产业</w:t>
      </w:r>
      <w:bookmarkEnd w:id="1134"/>
      <w:bookmarkEnd w:id="1135"/>
      <w:bookmarkEnd w:id="1136"/>
      <w:bookmarkEnd w:id="1137"/>
      <w:bookmarkEnd w:id="1138"/>
      <w:bookmarkEnd w:id="1139"/>
      <w:bookmarkEnd w:id="1140"/>
      <w:bookmarkEnd w:id="1141"/>
      <w:bookmarkEnd w:id="1142"/>
    </w:p>
    <w:p w14:paraId="5B0C7AA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加快发展银发经济产业，吸引国内高端旅居康养机构建设运营星级标准养老机构，鼓励开展乡村旅居养老业务、短期休闲养老和康养特色服务，打造特色区域性农村养老模式。培育智慧健康企业，开发适宜东北地区的功能性老年服饰、鞋帽等产品，引育康复医疗器械、智能设备等老年人日用品及辅助产品生产企业。发展壮大特色医疗康养服务，开发养生保健、健康管理、康复医疗等特色健康消费品，建设以中医药健康养老为主的护理院、疗养院，积极发展医疗服务、中医治未病服务、健康教育与管理、健康养老养生、体育健身、健康大数据、医养综合体等，培育在线医疗等服务新业态，增强医养结合服务功能，打造医养康体全产业链。弘扬医农融合药膳文化，支持利用传统食养理论和特色食品原料资源，开发新型药膳食品。</w:t>
      </w:r>
    </w:p>
    <w:p w14:paraId="392ACA1D">
      <w:pPr>
        <w:pageBreakBefore w:val="0"/>
        <w:kinsoku/>
        <w:wordWrap/>
        <w:overflowPunct/>
        <w:topLinePunct w:val="0"/>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143" w:name="_Toc21860"/>
      <w:bookmarkStart w:id="1144" w:name="_Toc13241"/>
      <w:bookmarkStart w:id="1145" w:name="_Toc9695"/>
      <w:bookmarkStart w:id="1146" w:name="_Toc31697"/>
      <w:bookmarkStart w:id="1147" w:name="_Toc10863"/>
      <w:bookmarkStart w:id="1148" w:name="_Toc8383"/>
      <w:bookmarkStart w:id="1149" w:name="_Toc20078"/>
      <w:bookmarkStart w:id="1150" w:name="_Toc27140"/>
      <w:bookmarkStart w:id="1151" w:name="_Toc8632"/>
      <w:bookmarkStart w:id="1152" w:name="_Toc940431366"/>
      <w:bookmarkStart w:id="1153" w:name="_Toc1228192041"/>
      <w:r>
        <w:rPr>
          <w:rFonts w:hint="default" w:ascii="Times New Roman" w:hAnsi="Times New Roman" w:eastAsia="仿宋_GB2312" w:cs="Times New Roman"/>
          <w:b w:val="0"/>
          <w:bCs w:val="0"/>
          <w:color w:val="auto"/>
          <w:sz w:val="32"/>
          <w:szCs w:val="32"/>
          <w:highlight w:val="none"/>
          <w:u w:val="none"/>
          <w:lang w:eastAsia="zh" w:bidi="ar"/>
          <w:woUserID w:val="0"/>
        </w:rPr>
        <w:t>第三节 积极发展现代金融</w:t>
      </w:r>
      <w:bookmarkEnd w:id="1143"/>
      <w:bookmarkEnd w:id="1144"/>
      <w:bookmarkEnd w:id="1145"/>
      <w:bookmarkEnd w:id="1146"/>
      <w:bookmarkEnd w:id="1147"/>
      <w:bookmarkEnd w:id="1148"/>
      <w:bookmarkEnd w:id="1149"/>
      <w:bookmarkEnd w:id="1150"/>
      <w:bookmarkEnd w:id="1151"/>
      <w:bookmarkEnd w:id="1152"/>
      <w:bookmarkEnd w:id="1153"/>
    </w:p>
    <w:p w14:paraId="662B53D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lang w:eastAsia="zh"/>
        </w:rPr>
        <w:t>加强金融服务体系建设，引导银行机构加强与政府性融资担保机构合作，加大担保贷款发放力度，推出多样化信贷产品。开展多层次政银企对接合作，丰富金融产品，加强个性化、精准化融资服务。深化“银税互动”，加强银行与税务部门信息共享，提升中小微企业融资便利水平。推动数字金融服务新业态发展，加大黑龙江省融资信用征信服务平台的推广应用，支持金融机构制定全方位数字化转型战略规划，引导金融机构聚焦重点领域，做好供应链优质核心客户及其链上企业拓展工作。积极发展供应链金融，推动符合条件的链主企业、供应链上下游企业加强与金融机构交流互动，继续拓展应收账款、知识产权质押等新型融资模式</w:t>
      </w:r>
      <w:bookmarkStart w:id="1154" w:name="_Toc981"/>
      <w:bookmarkStart w:id="1155" w:name="_Toc4690"/>
      <w:bookmarkStart w:id="1156" w:name="_Toc11741"/>
      <w:bookmarkStart w:id="1157" w:name="_Toc899"/>
      <w:bookmarkStart w:id="1158" w:name="_Toc7439"/>
      <w:bookmarkStart w:id="1159" w:name="_Toc1193"/>
      <w:bookmarkStart w:id="1160" w:name="_Toc29569"/>
      <w:bookmarkStart w:id="1161" w:name="_Toc982055483"/>
      <w:bookmarkStart w:id="1162" w:name="_Toc784409187"/>
      <w:bookmarkStart w:id="1163" w:name="_Toc17691"/>
      <w:bookmarkStart w:id="1164" w:name="_Toc20023"/>
      <w:r>
        <w:rPr>
          <w:rFonts w:hint="eastAsia" w:eastAsia="仿宋_GB2312" w:cs="Times New Roman"/>
          <w:b w:val="0"/>
          <w:bCs w:val="0"/>
          <w:color w:val="auto"/>
          <w:sz w:val="32"/>
          <w:szCs w:val="32"/>
          <w:highlight w:val="none"/>
          <w:lang w:eastAsia="zh-CN"/>
        </w:rPr>
        <w:t>。</w:t>
      </w:r>
    </w:p>
    <w:p w14:paraId="5893CFCF">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仿宋_GB2312" w:cs="Times New Roman"/>
          <w:b w:val="0"/>
          <w:bCs w:val="0"/>
          <w:color w:val="auto"/>
          <w:sz w:val="32"/>
          <w:szCs w:val="32"/>
          <w:highlight w:val="none"/>
          <w:u w:val="none"/>
          <w:lang w:eastAsia="zh" w:bidi="ar"/>
          <w:woUserID w:val="0"/>
        </w:rPr>
      </w:pPr>
      <w:r>
        <w:rPr>
          <w:rFonts w:hint="default" w:ascii="Times New Roman" w:hAnsi="Times New Roman" w:eastAsia="仿宋_GB2312" w:cs="Times New Roman"/>
          <w:b w:val="0"/>
          <w:bCs w:val="0"/>
          <w:color w:val="auto"/>
          <w:sz w:val="32"/>
          <w:szCs w:val="32"/>
          <w:highlight w:val="none"/>
          <w:u w:val="none"/>
          <w:lang w:eastAsia="zh" w:bidi="ar"/>
          <w:woUserID w:val="0"/>
        </w:rPr>
        <w:t>第四节 发展定制农业新业态</w:t>
      </w:r>
      <w:bookmarkEnd w:id="1154"/>
      <w:bookmarkEnd w:id="1155"/>
      <w:bookmarkEnd w:id="1156"/>
      <w:bookmarkEnd w:id="1157"/>
      <w:bookmarkEnd w:id="1158"/>
      <w:bookmarkEnd w:id="1159"/>
      <w:bookmarkEnd w:id="1160"/>
      <w:bookmarkEnd w:id="1161"/>
      <w:bookmarkEnd w:id="1162"/>
      <w:bookmarkEnd w:id="1163"/>
      <w:bookmarkEnd w:id="1164"/>
    </w:p>
    <w:p w14:paraId="229B0AA4">
      <w:pPr>
        <w:pageBreakBefore w:val="0"/>
        <w:widowControl/>
        <w:kinsoku/>
        <w:wordWrap/>
        <w:overflowPunct/>
        <w:topLinePunct w:val="0"/>
        <w:autoSpaceDE w:val="0"/>
        <w:autoSpaceDN/>
        <w:bidi w:val="0"/>
        <w:adjustRightInd/>
        <w:spacing w:line="560" w:lineRule="exact"/>
        <w:ind w:firstLine="640" w:firstLineChars="200"/>
        <w:textAlignment w:val="auto"/>
        <w:outlineLvl w:val="9"/>
        <w:rPr>
          <w:rFonts w:hint="default" w:ascii="Times New Roman" w:hAnsi="Times New Roman" w:eastAsia="仿宋" w:cs="Times New Roman"/>
          <w:b w:val="0"/>
          <w:bCs w:val="0"/>
          <w:color w:val="auto"/>
          <w:sz w:val="32"/>
          <w:szCs w:val="32"/>
          <w:highlight w:val="none"/>
        </w:rPr>
      </w:pPr>
      <w:r>
        <w:rPr>
          <w:rFonts w:hint="default" w:ascii="Times New Roman" w:hAnsi="Times New Roman" w:eastAsia="仿宋_GB2312" w:cs="Times New Roman"/>
          <w:b w:val="0"/>
          <w:bCs w:val="0"/>
          <w:color w:val="auto"/>
          <w:sz w:val="32"/>
          <w:szCs w:val="32"/>
          <w:highlight w:val="none"/>
          <w:lang w:eastAsia="zh"/>
        </w:rPr>
        <w:t>聚焦稻米、畜禽、酿造及文旅领域，积极探索开发“谷、米、油、饭、酒”的稻米全产业链定制新模式。依托桦盛鹅业、大地酒业、二宝酱菜、黑农科酸菜等企业知名产品，积极推广“星火雪鹅”“小黑猪”“溜达鸡”等特色品种定制化销售，创新开展畜禽产品、酒类、酱菜产品和农文旅IP等产品定制。针对大型商超、电商平台、团购企业等采购商，提供定制化合作方案，推出企业礼品米、联名款包装等产品设计。开发“我在桦川有亩田”“我在桦川有菜园”“我在桦川有间房”“我在桦川有优选”四种定制模式，联合“设计邹”创新定制礼盒。到2030年，力争全县定制农业规模达到5000亩以上。</w:t>
      </w:r>
    </w:p>
    <w:tbl>
      <w:tblPr>
        <w:tblStyle w:val="25"/>
        <w:tblW w:w="0" w:type="auto"/>
        <w:jc w:val="center"/>
        <w:tblLayout w:type="autofit"/>
        <w:tblCellMar>
          <w:top w:w="0" w:type="dxa"/>
          <w:left w:w="108" w:type="dxa"/>
          <w:bottom w:w="0" w:type="dxa"/>
          <w:right w:w="108" w:type="dxa"/>
        </w:tblCellMar>
      </w:tblPr>
      <w:tblGrid>
        <w:gridCol w:w="8296"/>
      </w:tblGrid>
      <w:tr w14:paraId="6FDD4C4C">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7C91145A">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专栏5-6 定制农业新模式</w:t>
            </w:r>
          </w:p>
        </w:tc>
      </w:tr>
      <w:tr w14:paraId="6D577694">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0E858BCE">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探索“定制种业”模式</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根据生产销售数据分析，企业向育种户或合作社签订定制品种繁育合同，按照合同约定企业进行回收，或按照经销商、合作社、种地大户等向企业定制品种，企业与需求者签订供种合同，再与育种方签订定制合同。</w:t>
            </w:r>
          </w:p>
          <w:p w14:paraId="6903BB3D">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探索“定制米”模式</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立足水稻资源优势，将稻米定制分为绿色有机定制和综合种养等类别进行定制，在综合种养领域，进行稻鱼、稻蟹、稻虾等特色定制，可根据客户用米需求，提供稻谷存储、即时加工、快递等配套服务，联合“设计邹”创新定制礼盒，可印刻消费者姓名或企业LOGO，将星火大米从普通农产品升级为“情感化、体验式”的高端消费品，提升星火大米溢价能力。</w:t>
            </w:r>
          </w:p>
          <w:p w14:paraId="195E4768">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探索“大鹅定制”模式</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依据客户需求，开展“星火雪鹅”定制养殖，客户全周期参与挑选、养殖、销售及后续加工环节，构建“特色品种+生态养殖+精深加工+品牌营销”的畜禽全产业链定制模式。与安徽正大羽毛制品有限公司签约合作，开展鹅毛清洗分级和羽毛球生产定制。积极与波司登等羽绒服加工企业对接，签订代加工协议，生产羽绒服。</w:t>
            </w:r>
          </w:p>
          <w:p w14:paraId="4619500B">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探索“蔬菜定制”模式</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以星火朝鲜族乡全省规模最大的水培蔬菜种植基地为核心，打造“定制菜园+亲自耕种+亲手采摘”的沉浸式体验模式，以庭院经济、定制农业促进农民增收。以冯东、军哥等家庭农场为依托，不断与佳木斯共和果业、大润发等企业建立长期合作关系，持续开展规模化定制。</w:t>
            </w:r>
          </w:p>
          <w:p w14:paraId="0D151E71">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探索“个性酿造”定制模式</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依托黑龙江大地酒业“苏家店”“北国龙”两个系列品牌，借助农业科技，为种植区域定制精准的农业管理方案，依据客户定制需求，灵活调整酿造工艺参数与配方，实现小批量、多样化的酒类产品定制生产。打造专属定制化瓶贴、包装设计服务，为客户提供从原料选择、酿造工艺到成品包装的全程个性化体验。</w:t>
            </w:r>
          </w:p>
          <w:p w14:paraId="18777F81">
            <w:pPr>
              <w:spacing w:line="360" w:lineRule="exact"/>
              <w:ind w:firstLine="420" w:firstLineChars="200"/>
              <w:rPr>
                <w:rFonts w:hint="default" w:ascii="Times New Roman" w:hAnsi="Times New Roman" w:eastAsia="仿宋"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探索“绿色食品定制”模式</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以“绿色有机山药煎饼”为核心，开展定制销售。依托乡友会，推出“思乡定制礼盒”，定向接触在外乡友及关联企业福利采购。联合健康社团、工会，以“低糖粗粮+助农公益”切入企业员工福利市场，开展试吃拼团活动。</w:t>
            </w:r>
          </w:p>
        </w:tc>
      </w:tr>
    </w:tbl>
    <w:p w14:paraId="5AF7C01F">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outlineLvl w:val="0"/>
        <w:rPr>
          <w:rFonts w:hint="default" w:ascii="Times New Roman" w:hAnsi="Times New Roman" w:eastAsia="黑体" w:cs="Times New Roman"/>
          <w:color w:val="auto"/>
          <w:sz w:val="32"/>
          <w:szCs w:val="32"/>
          <w:highlight w:val="none"/>
          <w14:ligatures w14:val="standardContextual"/>
        </w:rPr>
      </w:pPr>
      <w:bookmarkStart w:id="1165" w:name="_Toc19761"/>
      <w:bookmarkStart w:id="1166" w:name="_Toc9537"/>
      <w:bookmarkStart w:id="1167" w:name="_Toc24101"/>
      <w:bookmarkStart w:id="1168" w:name="_Toc12567"/>
      <w:bookmarkStart w:id="1169" w:name="_Toc13932"/>
      <w:bookmarkStart w:id="1170" w:name="_Toc9269"/>
      <w:bookmarkStart w:id="1171" w:name="_Toc1472153268"/>
      <w:bookmarkStart w:id="1172" w:name="_Toc32513"/>
      <w:bookmarkStart w:id="1173" w:name="_Toc25929"/>
      <w:bookmarkStart w:id="1174" w:name="_Toc11544"/>
      <w:bookmarkStart w:id="1175" w:name="_Toc18994"/>
      <w:bookmarkStart w:id="1176" w:name="_Toc1044272400"/>
      <w:bookmarkStart w:id="1177" w:name="_Toc1030"/>
      <w:bookmarkStart w:id="1178" w:name="_Toc23267"/>
      <w:r>
        <w:rPr>
          <w:rFonts w:hint="default" w:ascii="Times New Roman" w:hAnsi="Times New Roman" w:eastAsia="黑体" w:cs="Times New Roman"/>
          <w:color w:val="auto"/>
          <w:sz w:val="32"/>
          <w:szCs w:val="32"/>
          <w:highlight w:val="none"/>
          <w14:ligatures w14:val="standardContextual"/>
        </w:rPr>
        <w:t>第六</w:t>
      </w:r>
      <w:r>
        <w:rPr>
          <w:rFonts w:hint="default" w:ascii="Times New Roman" w:hAnsi="Times New Roman" w:eastAsia="黑体" w:cs="Times New Roman"/>
          <w:color w:val="auto"/>
          <w:sz w:val="32"/>
          <w:szCs w:val="32"/>
          <w:highlight w:val="none"/>
          <w:lang w:eastAsia="zh"/>
          <w14:ligatures w14:val="standardContextual"/>
          <w:woUserID w:val="0"/>
        </w:rPr>
        <w:t>篇</w:t>
      </w:r>
      <w:r>
        <w:rPr>
          <w:rFonts w:hint="default" w:ascii="Times New Roman" w:hAnsi="Times New Roman" w:eastAsia="黑体" w:cs="Times New Roman"/>
          <w:color w:val="auto"/>
          <w:sz w:val="32"/>
          <w:szCs w:val="32"/>
          <w:highlight w:val="none"/>
          <w14:ligatures w14:val="standardContextual"/>
        </w:rPr>
        <w:t xml:space="preserve"> </w:t>
      </w:r>
      <w:r>
        <w:rPr>
          <w:rFonts w:hint="default" w:ascii="Times New Roman" w:hAnsi="Times New Roman" w:eastAsia="黑体" w:cs="Times New Roman"/>
          <w:color w:val="auto"/>
          <w:sz w:val="32"/>
          <w:szCs w:val="32"/>
          <w:highlight w:val="none"/>
          <w:lang w:val="en-US" w:eastAsia="zh-CN"/>
          <w14:ligatures w14:val="standardContextual"/>
        </w:rPr>
        <w:t>城乡协同联动</w:t>
      </w:r>
      <w:r>
        <w:rPr>
          <w:rFonts w:hint="default" w:ascii="Times New Roman" w:hAnsi="Times New Roman" w:eastAsia="黑体" w:cs="Times New Roman"/>
          <w:color w:val="auto"/>
          <w:sz w:val="32"/>
          <w:szCs w:val="32"/>
          <w:highlight w:val="none"/>
          <w14:ligatures w14:val="standardContextual"/>
        </w:rPr>
        <w:t>发展  加快建设秀美</w:t>
      </w:r>
      <w:r>
        <w:rPr>
          <w:rFonts w:hint="default" w:ascii="Times New Roman" w:hAnsi="Times New Roman" w:eastAsia="黑体" w:cs="Times New Roman"/>
          <w:color w:val="auto"/>
          <w:sz w:val="32"/>
          <w:szCs w:val="32"/>
          <w:highlight w:val="none"/>
          <w:lang w:eastAsia="zh"/>
          <w14:ligatures w14:val="standardContextual"/>
        </w:rPr>
        <w:t>通达</w:t>
      </w:r>
      <w:r>
        <w:rPr>
          <w:rFonts w:hint="default" w:ascii="Times New Roman" w:hAnsi="Times New Roman" w:eastAsia="黑体" w:cs="Times New Roman"/>
          <w:color w:val="auto"/>
          <w:sz w:val="32"/>
          <w:szCs w:val="32"/>
          <w:highlight w:val="none"/>
          <w14:ligatures w14:val="standardContextual"/>
        </w:rPr>
        <w:t>宜居之城</w:t>
      </w:r>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p>
    <w:p w14:paraId="5525743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建设创新、宜居、美丽、韧性、文明、智慧的“秀美”新城区，立体谋划“通达”综合交通网络，全面打造“宜居”城乡融合共同体，构建“一主三带”的国土空间开发格局，实施“两个联动”的空间优化策略，加快建设区域协调城乡融合的美丽宜居新城区。</w:t>
      </w:r>
    </w:p>
    <w:p w14:paraId="4C3F985B">
      <w:pPr>
        <w:pStyle w:val="3"/>
        <w:pageBreakBefore w:val="0"/>
        <w:widowControl w:val="0"/>
        <w:numPr>
          <w:ilvl w:val="-1"/>
          <w:numId w:val="0"/>
        </w:numPr>
        <w:kinsoku/>
        <w:wordWrap/>
        <w:overflowPunct/>
        <w:topLinePunct w:val="0"/>
        <w:autoSpaceDE/>
        <w:autoSpaceDN/>
        <w:bidi w:val="0"/>
        <w:adjustRightInd/>
        <w:spacing w:before="0" w:after="0" w:line="560" w:lineRule="exact"/>
        <w:ind w:firstLine="0" w:firstLineChars="0"/>
        <w:jc w:val="center"/>
        <w:textAlignment w:val="auto"/>
        <w:rPr>
          <w:rFonts w:hint="default" w:ascii="Times New Roman" w:hAnsi="Times New Roman" w:eastAsia="楷体" w:cs="Times New Roman"/>
          <w:b w:val="0"/>
          <w:bCs/>
          <w:color w:val="auto"/>
          <w:sz w:val="32"/>
          <w:szCs w:val="32"/>
          <w:highlight w:val="none"/>
        </w:rPr>
      </w:pPr>
      <w:bookmarkStart w:id="1179" w:name="_Toc19068"/>
      <w:bookmarkStart w:id="1180" w:name="_Toc4931"/>
      <w:bookmarkStart w:id="1181" w:name="_Toc19501"/>
      <w:bookmarkStart w:id="1182" w:name="_Toc19274"/>
      <w:bookmarkStart w:id="1183" w:name="_Toc22891"/>
      <w:bookmarkStart w:id="1184" w:name="_Toc3291"/>
      <w:bookmarkStart w:id="1185" w:name="_Toc7599"/>
      <w:bookmarkStart w:id="1186" w:name="_Toc15377"/>
      <w:bookmarkStart w:id="1187" w:name="_Toc3761"/>
      <w:bookmarkStart w:id="1188" w:name="_Toc16412"/>
      <w:bookmarkStart w:id="1189" w:name="_Toc18005"/>
      <w:bookmarkStart w:id="1190" w:name="_Toc4984"/>
      <w:bookmarkStart w:id="1191" w:name="_Toc1390188797"/>
      <w:bookmarkStart w:id="1192" w:name="_Toc949205548"/>
      <w:r>
        <w:rPr>
          <w:rFonts w:hint="default" w:ascii="Times New Roman" w:hAnsi="Times New Roman" w:eastAsia="楷体" w:cs="Times New Roman"/>
          <w:b w:val="0"/>
          <w:bCs/>
          <w:color w:val="auto"/>
          <w:sz w:val="32"/>
          <w:szCs w:val="32"/>
          <w:highlight w:val="none"/>
        </w:rPr>
        <w:t>第</w:t>
      </w:r>
      <w:r>
        <w:rPr>
          <w:rFonts w:hint="default" w:ascii="Times New Roman" w:hAnsi="Times New Roman" w:eastAsia="楷体" w:cs="Times New Roman"/>
          <w:b w:val="0"/>
          <w:bCs/>
          <w:color w:val="auto"/>
          <w:sz w:val="32"/>
          <w:szCs w:val="32"/>
          <w:highlight w:val="none"/>
          <w:lang w:eastAsia="zh"/>
        </w:rPr>
        <w:t>一</w:t>
      </w:r>
      <w:r>
        <w:rPr>
          <w:rFonts w:hint="default" w:ascii="Times New Roman" w:hAnsi="Times New Roman" w:eastAsia="楷体" w:cs="Times New Roman"/>
          <w:b w:val="0"/>
          <w:bCs/>
          <w:color w:val="auto"/>
          <w:sz w:val="32"/>
          <w:szCs w:val="32"/>
          <w:highlight w:val="none"/>
          <w:lang w:eastAsia="zh"/>
          <w:woUserID w:val="0"/>
        </w:rPr>
        <w:t>章</w:t>
      </w:r>
      <w:r>
        <w:rPr>
          <w:rFonts w:hint="default" w:ascii="Times New Roman" w:hAnsi="Times New Roman" w:eastAsia="楷体" w:cs="Times New Roman"/>
          <w:b w:val="0"/>
          <w:bCs/>
          <w:color w:val="auto"/>
          <w:sz w:val="32"/>
          <w:szCs w:val="32"/>
          <w:highlight w:val="none"/>
          <w:lang w:eastAsia="zh"/>
        </w:rPr>
        <w:t xml:space="preserve"> </w:t>
      </w:r>
      <w:r>
        <w:rPr>
          <w:rFonts w:hint="default" w:ascii="Times New Roman" w:hAnsi="Times New Roman" w:eastAsia="楷体" w:cs="Times New Roman"/>
          <w:b w:val="0"/>
          <w:bCs/>
          <w:color w:val="auto"/>
          <w:sz w:val="32"/>
          <w:szCs w:val="32"/>
          <w:highlight w:val="none"/>
        </w:rPr>
        <w:t>扎实推进“秀美”新城区建设</w:t>
      </w:r>
      <w:bookmarkEnd w:id="1179"/>
      <w:bookmarkEnd w:id="1180"/>
      <w:bookmarkEnd w:id="1181"/>
      <w:bookmarkEnd w:id="1182"/>
      <w:bookmarkEnd w:id="1183"/>
      <w:bookmarkEnd w:id="1184"/>
      <w:bookmarkEnd w:id="1185"/>
      <w:bookmarkEnd w:id="1186"/>
      <w:bookmarkEnd w:id="1187"/>
      <w:bookmarkEnd w:id="1188"/>
      <w:bookmarkEnd w:id="1189"/>
      <w:bookmarkEnd w:id="1190"/>
    </w:p>
    <w:p w14:paraId="3962C5D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cs="Times New Roman"/>
          <w:lang w:eastAsia="zh"/>
        </w:rPr>
      </w:pPr>
      <w:r>
        <w:rPr>
          <w:rFonts w:hint="default" w:ascii="Times New Roman" w:hAnsi="Times New Roman" w:eastAsia="仿宋_GB2312" w:cs="Times New Roman"/>
          <w:color w:val="auto"/>
          <w:sz w:val="32"/>
          <w:szCs w:val="32"/>
          <w:highlight w:val="none"/>
          <w:lang w:eastAsia="zh"/>
        </w:rPr>
        <w:t>深入践行人民城市理念，针对群众反映强烈的难点、堵点、痛点问题，以“四好”建设为标准，以绣花功夫推进“四好三城”建设，系统开展好房子、好小区、好社区、好城区建设，聚力打造秀美城、通达城、宜居城，整体推动城市结构优化、功能完善、品质提升</w:t>
      </w:r>
      <w:r>
        <w:rPr>
          <w:rFonts w:hint="eastAsia" w:eastAsia="仿宋_GB2312" w:cs="Times New Roman"/>
          <w:color w:val="auto"/>
          <w:sz w:val="32"/>
          <w:szCs w:val="32"/>
          <w:highlight w:val="none"/>
          <w:lang w:eastAsia="zh-CN"/>
        </w:rPr>
        <w:t>。</w:t>
      </w:r>
    </w:p>
    <w:p w14:paraId="10C17E18">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193" w:name="_Toc28140"/>
      <w:bookmarkStart w:id="1194" w:name="_Toc19653"/>
      <w:bookmarkStart w:id="1195" w:name="_Toc18586"/>
      <w:bookmarkStart w:id="1196" w:name="_Toc10859"/>
      <w:bookmarkStart w:id="1197" w:name="_Toc7526"/>
      <w:bookmarkStart w:id="1198" w:name="_Toc849"/>
      <w:bookmarkStart w:id="1199" w:name="_Toc31696"/>
      <w:bookmarkStart w:id="1200" w:name="_Toc25874"/>
      <w:bookmarkStart w:id="1201" w:name="_Toc1775"/>
      <w:r>
        <w:rPr>
          <w:rFonts w:hint="default" w:ascii="Times New Roman" w:hAnsi="Times New Roman" w:eastAsia="仿宋_GB2312" w:cs="Times New Roman"/>
          <w:b w:val="0"/>
          <w:bCs w:val="0"/>
          <w:color w:val="auto"/>
          <w:sz w:val="32"/>
          <w:szCs w:val="32"/>
          <w:highlight w:val="none"/>
          <w:u w:val="none"/>
          <w:lang w:eastAsia="zh" w:bidi="ar"/>
          <w:woUserID w:val="0"/>
        </w:rPr>
        <w:t>第一节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扎实推进城市更新行动</w:t>
      </w:r>
      <w:bookmarkEnd w:id="1193"/>
      <w:bookmarkEnd w:id="1194"/>
      <w:bookmarkEnd w:id="1195"/>
      <w:bookmarkEnd w:id="1196"/>
      <w:bookmarkEnd w:id="1197"/>
      <w:bookmarkEnd w:id="1198"/>
      <w:bookmarkEnd w:id="1199"/>
      <w:bookmarkEnd w:id="1200"/>
      <w:bookmarkEnd w:id="1201"/>
    </w:p>
    <w:p w14:paraId="727D120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坚持目标导向与问题导向，以民生关切为引领</w:t>
      </w:r>
      <w:r>
        <w:rPr>
          <w:rFonts w:hint="default" w:ascii="Times New Roman" w:hAnsi="Times New Roman" w:eastAsia="仿宋_GB2312" w:cs="Times New Roman"/>
          <w:color w:val="auto"/>
          <w:sz w:val="32"/>
          <w:szCs w:val="32"/>
          <w:highlight w:val="none"/>
          <w:lang w:eastAsia="zh-CN"/>
        </w:rPr>
        <w:t>、以</w:t>
      </w:r>
      <w:r>
        <w:rPr>
          <w:rFonts w:hint="default" w:ascii="Times New Roman" w:hAnsi="Times New Roman" w:eastAsia="仿宋_GB2312" w:cs="Times New Roman"/>
          <w:color w:val="auto"/>
          <w:sz w:val="32"/>
          <w:szCs w:val="32"/>
          <w:highlight w:val="none"/>
          <w:lang w:eastAsia="zh"/>
        </w:rPr>
        <w:t>城市韧性提升为重点，抢抓国家“两重”“两新”政策机遇，着力构建宜居宜业、智慧韧性的现代化城市空间。以“四好”建设为标准，构建房地产发展新模式；通过“向上争、政府投、居民筹”多渠道发力，组建专班申报专项资金，探索“政府引导+社会参与+居民共建”多元化融资模式，确保城市更新行动落地见效。深化老旧小区改造，补齐2000年前建成老旧小区漏报的屋面保温防水、各类管线等基础设施短板；推进小区内燃气、雨污分流、绿化、消防等改造及社区综合服务、适老化等便民设施建设；完善道路、通信等配套基础设施。优化提升“五横五纵”城区路网品质，改造悦来大街等重点道路及巷路人行道，2030年实现城区道路黑色路面、亮化覆盖率双100%；推进排水雨污分流、污水管网新建改造等项目。建设城市口袋公园完善“五园九花海”格局，整治“城市十乱”，推进城市管理科学化、精细化、智能化。建立历史建筑数字化档案、修复传统村落风貌，新建城市书房和文化综合体，实现乡（镇）文化站全覆盖。</w:t>
      </w:r>
    </w:p>
    <w:tbl>
      <w:tblPr>
        <w:tblStyle w:val="25"/>
        <w:tblW w:w="0" w:type="auto"/>
        <w:jc w:val="center"/>
        <w:tblLayout w:type="autofit"/>
        <w:tblCellMar>
          <w:top w:w="0" w:type="dxa"/>
          <w:left w:w="108" w:type="dxa"/>
          <w:bottom w:w="0" w:type="dxa"/>
          <w:right w:w="108" w:type="dxa"/>
        </w:tblCellMar>
      </w:tblPr>
      <w:tblGrid>
        <w:gridCol w:w="8296"/>
      </w:tblGrid>
      <w:tr w14:paraId="251CFBF4">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64D04612">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专栏6-</w:t>
            </w:r>
            <w:r>
              <w:rPr>
                <w:rFonts w:hint="default" w:ascii="Times New Roman" w:hAnsi="Times New Roman" w:eastAsia="楷体_GB2312" w:cs="Times New Roman"/>
                <w:b w:val="0"/>
                <w:bCs w:val="0"/>
                <w:color w:val="auto"/>
                <w:sz w:val="24"/>
                <w:highlight w:val="none"/>
                <w:lang w:eastAsia="zh"/>
                <w14:ligatures w14:val="standardContextual"/>
              </w:rPr>
              <w:t>1</w:t>
            </w:r>
            <w:r>
              <w:rPr>
                <w:rFonts w:hint="default" w:ascii="Times New Roman" w:hAnsi="Times New Roman" w:eastAsia="楷体_GB2312" w:cs="Times New Roman"/>
                <w:b w:val="0"/>
                <w:bCs w:val="0"/>
                <w:color w:val="auto"/>
                <w:sz w:val="24"/>
                <w:highlight w:val="none"/>
                <w14:ligatures w14:val="standardContextual"/>
              </w:rPr>
              <w:t xml:space="preserve"> 城市更新改造专项行动</w:t>
            </w:r>
          </w:p>
        </w:tc>
      </w:tr>
      <w:tr w14:paraId="406079D7">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63FA8A31">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ascii="Times New Roman" w:hAnsi="Times New Roman" w:eastAsia="仿宋_GB2312" w:cs="Times New Roman"/>
                <w:b w:val="0"/>
                <w:bCs w:val="0"/>
                <w:color w:val="auto"/>
                <w:sz w:val="21"/>
                <w:szCs w:val="21"/>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道路升级改造专项行动。实施城区17条道路升级改造工程，进行黑色路面铺装，并推动路灯照明系统全面升级；对全县安装10年以上988基的路灯进行安全鉴定，对存在安全隐患的进行更换，新增景观照明灯悦来大街246基，中兴路70基、冷云大街134基、敬夫街116基，力争到2030年节能灯具普及率提升至100%。</w:t>
            </w:r>
          </w:p>
          <w:p w14:paraId="1D946FBE">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ascii="Times New Roman" w:hAnsi="Times New Roman" w:eastAsia="仿宋_GB2312" w:cs="Times New Roman"/>
                <w:b w:val="0"/>
                <w:bCs w:val="0"/>
                <w:color w:val="auto"/>
                <w:sz w:val="21"/>
                <w:szCs w:val="21"/>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城市公园绿地改造专项行动</w:t>
            </w:r>
            <w:r>
              <w:rPr>
                <w:rFonts w:hint="default" w:ascii="Times New Roman" w:hAnsi="Times New Roman" w:eastAsia="仿宋_GB2312" w:cs="Times New Roman"/>
                <w:b w:val="0"/>
                <w:bCs w:val="0"/>
                <w:color w:val="auto"/>
                <w:sz w:val="21"/>
                <w:szCs w:val="21"/>
                <w:highlight w:val="none"/>
                <w:lang w:eastAsia="zh-CN"/>
                <w14:ligatures w14:val="standardContextual"/>
              </w:rPr>
              <w:t>。</w:t>
            </w:r>
            <w:r>
              <w:rPr>
                <w:rFonts w:hint="default" w:ascii="Times New Roman" w:hAnsi="Times New Roman" w:eastAsia="仿宋_GB2312" w:cs="Times New Roman"/>
                <w:b w:val="0"/>
                <w:bCs w:val="0"/>
                <w:color w:val="auto"/>
                <w:sz w:val="21"/>
                <w:szCs w:val="21"/>
                <w:highlight w:val="none"/>
                <w14:ligatures w14:val="standardContextual"/>
              </w:rPr>
              <w:t>提前谋划、主动作为，确立“新建+改造+提升”三维推进模式，系统性构建“点线面”有机融合的城市绿化体系。以“300米见绿、500米见园”为目标，将通过新建一批社区绿地、街头游园，改造老旧城区绿化空间，提升主干道绿廊、滨水景观带品质，推动绿化资源均衡布局。</w:t>
            </w:r>
          </w:p>
          <w:p w14:paraId="628F7BC0">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ascii="Times New Roman" w:hAnsi="Times New Roman" w:eastAsia="仿宋_GB2312" w:cs="Times New Roman"/>
                <w:b w:val="0"/>
                <w:bCs w:val="0"/>
                <w:color w:val="auto"/>
                <w:sz w:val="21"/>
                <w:szCs w:val="21"/>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老旧小区改造专项行动</w:t>
            </w:r>
            <w:r>
              <w:rPr>
                <w:rFonts w:hint="default" w:ascii="Times New Roman" w:hAnsi="Times New Roman" w:eastAsia="仿宋_GB2312" w:cs="Times New Roman"/>
                <w:b w:val="0"/>
                <w:bCs w:val="0"/>
                <w:color w:val="auto"/>
                <w:sz w:val="21"/>
                <w:szCs w:val="21"/>
                <w:highlight w:val="none"/>
                <w:lang w:eastAsia="zh-CN"/>
                <w14:ligatures w14:val="standardContextual"/>
              </w:rPr>
              <w:t>。</w:t>
            </w:r>
            <w:r>
              <w:rPr>
                <w:rFonts w:hint="default" w:ascii="Times New Roman" w:hAnsi="Times New Roman" w:eastAsia="仿宋_GB2312" w:cs="Times New Roman"/>
                <w:b w:val="0"/>
                <w:bCs w:val="0"/>
                <w:color w:val="auto"/>
                <w:sz w:val="21"/>
                <w:szCs w:val="21"/>
                <w:highlight w:val="none"/>
                <w14:ligatures w14:val="standardContextual"/>
              </w:rPr>
              <w:t>对县城（城关镇）内及江川、宝山所在地的2000年底前建成（按省市要求适当可以将老旧小区建成年限延至2005年），失养失修失管、市政配套设施不完善、社区服务设施不健全、居民改造意愿强烈的住宅小区（含单栋住宅楼），分阶段5年内完成城市更新老旧小区改造79个（补充项目）以及周边市政设施改造。</w:t>
            </w:r>
          </w:p>
          <w:p w14:paraId="358B69A4">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default" w:ascii="Times New Roman" w:hAnsi="Times New Roman" w:eastAsia="楷体_GB2312" w:cs="Times New Roman"/>
                <w:b w:val="0"/>
                <w:bCs w:val="0"/>
                <w:color w:val="auto"/>
                <w:sz w:val="24"/>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城市垃圾处理提升专项行动</w:t>
            </w:r>
            <w:r>
              <w:rPr>
                <w:rFonts w:hint="default" w:ascii="Times New Roman" w:hAnsi="Times New Roman" w:eastAsia="仿宋_GB2312" w:cs="Times New Roman"/>
                <w:b w:val="0"/>
                <w:bCs w:val="0"/>
                <w:color w:val="auto"/>
                <w:sz w:val="21"/>
                <w:szCs w:val="21"/>
                <w:highlight w:val="none"/>
                <w:lang w:eastAsia="zh-CN"/>
                <w14:ligatures w14:val="standardContextual"/>
              </w:rPr>
              <w:t>。</w:t>
            </w:r>
            <w:r>
              <w:rPr>
                <w:rFonts w:hint="default" w:ascii="Times New Roman" w:hAnsi="Times New Roman" w:eastAsia="仿宋_GB2312" w:cs="Times New Roman"/>
                <w:b w:val="0"/>
                <w:bCs w:val="0"/>
                <w:color w:val="auto"/>
                <w:sz w:val="21"/>
                <w:szCs w:val="21"/>
                <w:highlight w:val="none"/>
                <w14:ligatures w14:val="standardContextual"/>
              </w:rPr>
              <w:t>施建筑消纳场建设项目，全面落实建设单位依法编制建筑垃圾处理方案并备案，加强建筑垃圾运输车辆管理，落实运输车辆办理核准制度。对桦川县城镇生活垃圾无害化处理场实施封场项目，加大对垃圾渗滤液处理力度。对94台环卫保洁车辆和设施设备进行更新改造，提高环卫保洁效率</w:t>
            </w:r>
            <w:r>
              <w:rPr>
                <w:rFonts w:hint="default" w:ascii="Times New Roman" w:hAnsi="Times New Roman" w:eastAsia="仿宋" w:cs="Times New Roman"/>
                <w:b w:val="0"/>
                <w:bCs w:val="0"/>
                <w:color w:val="auto"/>
                <w:sz w:val="21"/>
                <w:szCs w:val="21"/>
                <w:highlight w:val="none"/>
                <w14:ligatures w14:val="standardContextual"/>
              </w:rPr>
              <w:t>。</w:t>
            </w:r>
          </w:p>
        </w:tc>
      </w:tr>
      <w:tr w14:paraId="67E127B0">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1BE2D3B9">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专栏6-2 推进城市更新行动重大工程项目</w:t>
            </w:r>
          </w:p>
        </w:tc>
      </w:tr>
      <w:tr w14:paraId="25C97A0A">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6F66C464">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加强既有建筑改造利用专项</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桦川县江川社区管委会2026年现有楼体改造等。</w:t>
            </w:r>
          </w:p>
          <w:p w14:paraId="4A4DFD80">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推进城镇老旧小区整治改造专项</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桦川县2026年城市更新建设项目、桦川县2027年城市更新建设项目、桦川县2028年城市更新建设项目、桦川县2029年城市更新建设项目、桦川县2030年城市更新建设项目。</w:t>
            </w:r>
          </w:p>
          <w:p w14:paraId="10776AA9">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完善城市功能专项</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变电所出的高压外围线路改造项目等。</w:t>
            </w:r>
          </w:p>
          <w:p w14:paraId="0EF20C8B">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加强城市基础设施建设改造专项</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更换全县10年以上988基路灯项目、悦来大街中兴路冷云大街敬夫街安装景观灯项目、悦来大街中兴路两侧单位住宅楼楼体亮化及改造沿江路路灯沿江公园景观灯县内9座桥梁亮化项目等。</w:t>
            </w:r>
          </w:p>
          <w:p w14:paraId="0C356FA7">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保护传承城市历史文化专项</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中兴路、冷云大街、南环路绿化改造项目等。</w:t>
            </w:r>
          </w:p>
          <w:p w14:paraId="1A29235E">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市政道路及配套专项</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桦川县城区路网改造建设项目、桦川县城区路网更新建设项目、桦川县人行道板维修改造项目、桦川县城市智能公共停车场、桦川县植物园配套智能停车场建设项目。</w:t>
            </w:r>
          </w:p>
          <w:p w14:paraId="73B96E3D">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城市公园及配套专项</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桦川城区公园建设项目、桦川县城区公厕新改建项目等。</w:t>
            </w:r>
          </w:p>
          <w:p w14:paraId="788E2AA6">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智慧城市管理系统专项</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桦川县城市管理数字化平台及窨井盖智慧传感更新改造项目、数字大厦项目。</w:t>
            </w:r>
          </w:p>
          <w:p w14:paraId="1D216918">
            <w:pPr>
              <w:spacing w:line="360" w:lineRule="exact"/>
              <w:ind w:firstLine="420" w:firstLineChars="200"/>
              <w:rPr>
                <w:rFonts w:hint="default" w:ascii="Times New Roman" w:hAnsi="Times New Roman" w:eastAsia="仿宋"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垃圾处理设施专项</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桦川县垃圾分类设施项目、星火乡垃圾分类设施项目、桦川县生活垃圾填埋场封场项目、桦川县环卫设施设备更新改造项目、再生资源回收利用中心建设项目。</w:t>
            </w:r>
          </w:p>
        </w:tc>
      </w:tr>
    </w:tbl>
    <w:p w14:paraId="6E815912">
      <w:pPr>
        <w:keepNext w:val="0"/>
        <w:keepLines w:val="0"/>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202" w:name="_Toc16827"/>
      <w:bookmarkStart w:id="1203" w:name="_Toc5621"/>
      <w:bookmarkStart w:id="1204" w:name="_Toc13772"/>
      <w:bookmarkStart w:id="1205" w:name="_Toc11787"/>
      <w:bookmarkStart w:id="1206" w:name="_Toc6323"/>
      <w:bookmarkStart w:id="1207" w:name="_Toc27352"/>
      <w:bookmarkStart w:id="1208" w:name="_Toc8400"/>
      <w:bookmarkStart w:id="1209" w:name="_Toc31260"/>
      <w:bookmarkStart w:id="1210" w:name="_Toc32575"/>
      <w:r>
        <w:rPr>
          <w:rFonts w:hint="default" w:ascii="Times New Roman" w:hAnsi="Times New Roman" w:eastAsia="仿宋_GB2312" w:cs="Times New Roman"/>
          <w:b w:val="0"/>
          <w:bCs w:val="0"/>
          <w:color w:val="auto"/>
          <w:sz w:val="32"/>
          <w:szCs w:val="32"/>
          <w:highlight w:val="none"/>
          <w:u w:val="none"/>
          <w:lang w:eastAsia="zh" w:bidi="ar"/>
          <w:woUserID w:val="0"/>
        </w:rPr>
        <w:t>第二节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加快推进城市地下管网建设改造</w:t>
      </w:r>
      <w:bookmarkEnd w:id="1202"/>
      <w:bookmarkEnd w:id="1203"/>
      <w:bookmarkEnd w:id="1204"/>
      <w:bookmarkEnd w:id="1205"/>
      <w:bookmarkEnd w:id="1206"/>
      <w:bookmarkEnd w:id="1207"/>
      <w:bookmarkEnd w:id="1208"/>
      <w:bookmarkEnd w:id="1209"/>
      <w:bookmarkEnd w:id="1210"/>
    </w:p>
    <w:p w14:paraId="39BAFC2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推进城市地下管网更新改造行动，推进水热气路网等功能性基础设施不断升级，谋划一批中央预算内投资、超长期特别国债和专项债项目。供热管网更新改造专项行动。逐年对使用年限已达到或超过15年时间的供热管线进行改造，并谋划实施智慧供热示范项目，提高城镇供热管理水平，提升冬季供热质量。推进供水管网更新改造专项行动，推进供水管网改造和供水管网更新配比，完成超期水表轮换改造，有效改善居民用水情况，将供水管网漏损率控制在国家限定的9%以内。推进排水管网更新改造专项行动，完成城区雨污分流建设，进一步消除污水收集空白区、提升防洪排涝能力，将原有雨污分流比例71%提高至98%，污水收集率达到环保要求的60%以上，并对污水处理厂老化设施进行改造。推进燃气管网更新改造专项行动，改造更换燃气用户室内设施，实施燃气“瓶改管”工程，提升城市管网承载能力，争取“十五五”期间燃气普及率达到92%以上。</w:t>
      </w:r>
    </w:p>
    <w:tbl>
      <w:tblPr>
        <w:tblStyle w:val="25"/>
        <w:tblW w:w="0" w:type="auto"/>
        <w:jc w:val="center"/>
        <w:tblLayout w:type="autofit"/>
        <w:tblCellMar>
          <w:top w:w="0" w:type="dxa"/>
          <w:left w:w="108" w:type="dxa"/>
          <w:bottom w:w="0" w:type="dxa"/>
          <w:right w:w="108" w:type="dxa"/>
        </w:tblCellMar>
      </w:tblPr>
      <w:tblGrid>
        <w:gridCol w:w="8296"/>
      </w:tblGrid>
      <w:tr w14:paraId="590DA636">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3F2A6912">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专栏6-3 推进地下管网更新改造重大工程项目</w:t>
            </w:r>
          </w:p>
        </w:tc>
      </w:tr>
      <w:tr w14:paraId="3CDFBDBF">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4CBBB8B7">
            <w:pPr>
              <w:spacing w:line="360" w:lineRule="exact"/>
              <w:ind w:firstLine="420" w:firstLineChars="200"/>
              <w:rPr>
                <w:rFonts w:hint="default" w:ascii="Times New Roman" w:hAnsi="Times New Roman" w:eastAsia="仿宋" w:cs="Times New Roman"/>
                <w:b w:val="0"/>
                <w:bCs w:val="0"/>
                <w:color w:val="auto"/>
                <w:szCs w:val="21"/>
                <w:highlight w:val="none"/>
              </w:rPr>
            </w:pPr>
            <w:r>
              <w:rPr>
                <w:rFonts w:hint="default" w:ascii="Times New Roman" w:hAnsi="Times New Roman" w:eastAsia="仿宋" w:cs="Times New Roman"/>
                <w:b w:val="0"/>
                <w:bCs w:val="0"/>
                <w:color w:val="auto"/>
                <w:szCs w:val="21"/>
                <w:highlight w:val="none"/>
              </w:rPr>
              <w:t>供水管网及设施专项</w:t>
            </w:r>
            <w:r>
              <w:rPr>
                <w:rFonts w:hint="eastAsia" w:eastAsia="仿宋" w:cs="Times New Roman"/>
                <w:b w:val="0"/>
                <w:bCs w:val="0"/>
                <w:color w:val="auto"/>
                <w:szCs w:val="21"/>
                <w:highlight w:val="none"/>
                <w:lang w:eastAsia="zh-CN"/>
              </w:rPr>
              <w:t>。</w:t>
            </w:r>
            <w:r>
              <w:rPr>
                <w:rFonts w:hint="default" w:ascii="Times New Roman" w:hAnsi="Times New Roman" w:eastAsia="仿宋" w:cs="Times New Roman"/>
                <w:b w:val="0"/>
                <w:bCs w:val="0"/>
                <w:color w:val="auto"/>
                <w:szCs w:val="21"/>
                <w:highlight w:val="none"/>
              </w:rPr>
              <w:t>二水源净水厂备用电源备用输水管线及供水设备更新改造项目、桦川县城市供水管网新建改造及配套设施建设项目、桦川县二水源水源地保护工程建设项目、桦川县城区二次供水改造项目等。</w:t>
            </w:r>
          </w:p>
          <w:p w14:paraId="56F01A07">
            <w:pPr>
              <w:spacing w:line="360" w:lineRule="exact"/>
              <w:ind w:firstLine="420" w:firstLineChars="200"/>
              <w:rPr>
                <w:rFonts w:hint="default" w:ascii="Times New Roman" w:hAnsi="Times New Roman" w:eastAsia="仿宋" w:cs="Times New Roman"/>
                <w:b w:val="0"/>
                <w:bCs w:val="0"/>
                <w:color w:val="auto"/>
                <w:szCs w:val="21"/>
                <w:highlight w:val="none"/>
              </w:rPr>
            </w:pPr>
            <w:r>
              <w:rPr>
                <w:rFonts w:hint="default" w:ascii="Times New Roman" w:hAnsi="Times New Roman" w:eastAsia="仿宋" w:cs="Times New Roman"/>
                <w:b w:val="0"/>
                <w:bCs w:val="0"/>
                <w:color w:val="auto"/>
                <w:szCs w:val="21"/>
                <w:highlight w:val="none"/>
              </w:rPr>
              <w:t>排水管网及设施专项</w:t>
            </w:r>
            <w:r>
              <w:rPr>
                <w:rFonts w:hint="eastAsia" w:eastAsia="仿宋" w:cs="Times New Roman"/>
                <w:b w:val="0"/>
                <w:bCs w:val="0"/>
                <w:color w:val="auto"/>
                <w:szCs w:val="21"/>
                <w:highlight w:val="none"/>
                <w:lang w:eastAsia="zh-CN"/>
              </w:rPr>
              <w:t>。</w:t>
            </w:r>
            <w:r>
              <w:rPr>
                <w:rFonts w:hint="default" w:ascii="Times New Roman" w:hAnsi="Times New Roman" w:eastAsia="仿宋" w:cs="Times New Roman"/>
                <w:b w:val="0"/>
                <w:bCs w:val="0"/>
                <w:color w:val="auto"/>
                <w:szCs w:val="21"/>
                <w:highlight w:val="none"/>
              </w:rPr>
              <w:t>黑龙江省佳木斯市桦川县城区排水雨污分流建设项目二期工程、桦川县星火乡星火村排水管线改造项目等。</w:t>
            </w:r>
          </w:p>
          <w:p w14:paraId="19D70E8A">
            <w:pPr>
              <w:spacing w:line="360" w:lineRule="exact"/>
              <w:ind w:firstLine="420" w:firstLineChars="200"/>
              <w:rPr>
                <w:rFonts w:hint="default" w:ascii="Times New Roman" w:hAnsi="Times New Roman" w:eastAsia="仿宋" w:cs="Times New Roman"/>
                <w:b w:val="0"/>
                <w:bCs w:val="0"/>
                <w:color w:val="auto"/>
                <w:szCs w:val="21"/>
                <w:highlight w:val="none"/>
              </w:rPr>
            </w:pPr>
            <w:r>
              <w:rPr>
                <w:rFonts w:hint="default" w:ascii="Times New Roman" w:hAnsi="Times New Roman" w:eastAsia="仿宋" w:cs="Times New Roman"/>
                <w:b w:val="0"/>
                <w:bCs w:val="0"/>
                <w:color w:val="auto"/>
                <w:szCs w:val="21"/>
                <w:highlight w:val="none"/>
              </w:rPr>
              <w:t>供热管网及设施专项</w:t>
            </w:r>
            <w:r>
              <w:rPr>
                <w:rFonts w:hint="eastAsia" w:eastAsia="仿宋" w:cs="Times New Roman"/>
                <w:b w:val="0"/>
                <w:bCs w:val="0"/>
                <w:color w:val="auto"/>
                <w:szCs w:val="21"/>
                <w:highlight w:val="none"/>
                <w:lang w:eastAsia="zh-CN"/>
              </w:rPr>
              <w:t>。</w:t>
            </w:r>
            <w:r>
              <w:rPr>
                <w:rFonts w:hint="default" w:ascii="Times New Roman" w:hAnsi="Times New Roman" w:eastAsia="仿宋" w:cs="Times New Roman"/>
                <w:b w:val="0"/>
                <w:bCs w:val="0"/>
                <w:color w:val="auto"/>
                <w:szCs w:val="21"/>
                <w:highlight w:val="none"/>
              </w:rPr>
              <w:t>桦川县2026年供热老旧管网改造项目、桦川县智慧供热示范项目等。</w:t>
            </w:r>
          </w:p>
          <w:p w14:paraId="798FD50D">
            <w:pPr>
              <w:spacing w:line="360" w:lineRule="exact"/>
              <w:ind w:firstLine="420" w:firstLineChars="200"/>
              <w:rPr>
                <w:rFonts w:hint="default" w:ascii="Times New Roman" w:hAnsi="Times New Roman" w:eastAsia="仿宋" w:cs="Times New Roman"/>
                <w:b w:val="0"/>
                <w:bCs w:val="0"/>
                <w:color w:val="auto"/>
                <w:szCs w:val="21"/>
                <w:highlight w:val="none"/>
              </w:rPr>
            </w:pPr>
            <w:r>
              <w:rPr>
                <w:rFonts w:hint="default" w:ascii="Times New Roman" w:hAnsi="Times New Roman" w:eastAsia="仿宋" w:cs="Times New Roman"/>
                <w:b w:val="0"/>
                <w:bCs w:val="0"/>
                <w:color w:val="auto"/>
                <w:szCs w:val="21"/>
                <w:highlight w:val="none"/>
              </w:rPr>
              <w:t>污水管网及设施专项</w:t>
            </w:r>
            <w:r>
              <w:rPr>
                <w:rFonts w:hint="eastAsia" w:eastAsia="仿宋" w:cs="Times New Roman"/>
                <w:b w:val="0"/>
                <w:bCs w:val="0"/>
                <w:color w:val="auto"/>
                <w:szCs w:val="21"/>
                <w:highlight w:val="none"/>
                <w:lang w:eastAsia="zh-CN"/>
              </w:rPr>
              <w:t>。</w:t>
            </w:r>
            <w:r>
              <w:rPr>
                <w:rFonts w:hint="default" w:ascii="Times New Roman" w:hAnsi="Times New Roman" w:eastAsia="仿宋" w:cs="Times New Roman"/>
                <w:b w:val="0"/>
                <w:bCs w:val="0"/>
                <w:color w:val="auto"/>
                <w:szCs w:val="21"/>
                <w:highlight w:val="none"/>
              </w:rPr>
              <w:t>污水管线新建改造建设项目等。</w:t>
            </w:r>
          </w:p>
          <w:p w14:paraId="6AB8569D">
            <w:pPr>
              <w:spacing w:line="360" w:lineRule="exact"/>
              <w:ind w:firstLine="420" w:firstLineChars="200"/>
              <w:rPr>
                <w:rFonts w:hint="default" w:ascii="Times New Roman" w:hAnsi="Times New Roman" w:eastAsia="仿宋" w:cs="Times New Roman"/>
                <w:b w:val="0"/>
                <w:bCs w:val="0"/>
                <w:color w:val="auto"/>
                <w:szCs w:val="21"/>
                <w:highlight w:val="none"/>
              </w:rPr>
            </w:pPr>
            <w:r>
              <w:rPr>
                <w:rFonts w:hint="default" w:ascii="Times New Roman" w:hAnsi="Times New Roman" w:eastAsia="仿宋" w:cs="Times New Roman"/>
                <w:b w:val="0"/>
                <w:bCs w:val="0"/>
                <w:color w:val="auto"/>
                <w:szCs w:val="21"/>
                <w:highlight w:val="none"/>
              </w:rPr>
              <w:t>天然气管网及设施专项</w:t>
            </w:r>
            <w:r>
              <w:rPr>
                <w:rFonts w:hint="eastAsia" w:eastAsia="仿宋" w:cs="Times New Roman"/>
                <w:b w:val="0"/>
                <w:bCs w:val="0"/>
                <w:color w:val="auto"/>
                <w:szCs w:val="21"/>
                <w:highlight w:val="none"/>
                <w:lang w:eastAsia="zh-CN"/>
              </w:rPr>
              <w:t>。</w:t>
            </w:r>
            <w:r>
              <w:rPr>
                <w:rFonts w:hint="default" w:ascii="Times New Roman" w:hAnsi="Times New Roman" w:eastAsia="仿宋" w:cs="Times New Roman"/>
                <w:b w:val="0"/>
                <w:bCs w:val="0"/>
                <w:color w:val="auto"/>
                <w:szCs w:val="21"/>
                <w:highlight w:val="none"/>
              </w:rPr>
              <w:t>城市燃气管道等老化更新改造项目等。</w:t>
            </w:r>
          </w:p>
        </w:tc>
      </w:tr>
    </w:tbl>
    <w:p w14:paraId="062D59AD">
      <w:pPr>
        <w:keepNext w:val="0"/>
        <w:keepLines w:val="0"/>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211" w:name="_Toc12352"/>
      <w:bookmarkStart w:id="1212" w:name="_Toc31935"/>
      <w:bookmarkStart w:id="1213" w:name="_Toc27598"/>
      <w:bookmarkStart w:id="1214" w:name="_Toc30679"/>
      <w:bookmarkStart w:id="1215" w:name="_Toc16153"/>
      <w:bookmarkStart w:id="1216" w:name="_Toc13076"/>
      <w:bookmarkStart w:id="1217" w:name="_Toc16879"/>
      <w:bookmarkStart w:id="1218" w:name="_Toc25095"/>
      <w:bookmarkStart w:id="1219" w:name="_Toc3181"/>
      <w:r>
        <w:rPr>
          <w:rFonts w:hint="default" w:ascii="Times New Roman" w:hAnsi="Times New Roman" w:eastAsia="仿宋_GB2312" w:cs="Times New Roman"/>
          <w:b w:val="0"/>
          <w:bCs w:val="0"/>
          <w:color w:val="auto"/>
          <w:sz w:val="32"/>
          <w:szCs w:val="32"/>
          <w:highlight w:val="none"/>
          <w:u w:val="none"/>
          <w:lang w:eastAsia="zh" w:bidi="ar"/>
          <w:woUserID w:val="0"/>
        </w:rPr>
        <w:t>第三节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加强城区绿色生态空间建设</w:t>
      </w:r>
      <w:bookmarkEnd w:id="1211"/>
      <w:bookmarkEnd w:id="1212"/>
      <w:bookmarkEnd w:id="1213"/>
      <w:bookmarkEnd w:id="1214"/>
      <w:bookmarkEnd w:id="1215"/>
      <w:bookmarkEnd w:id="1216"/>
      <w:bookmarkEnd w:id="1217"/>
      <w:bookmarkEnd w:id="1218"/>
      <w:bookmarkEnd w:id="1219"/>
    </w:p>
    <w:p w14:paraId="20F5A6F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优化城市公园绿地布局，打造“一街一景、一园一特色”的宜居环境，持续推进城市公园建设、植物园建设、小微绿地建设和城市花海建设，完善城区“15分钟休息圈”，全面提升城市生态宜居水平，让绿色成为城市高质量发展的鲜明底色。实施建筑消纳场建设项目，全面落实建设单位依法编制建筑垃圾处理方案并备案，加强建筑垃圾运输车辆管理，落实运输车辆办理核准制度。推进“绿满桦川”工程，实施悦来大街绿化环境品质提升工程，推进口袋公园和花海建设，开展桦栖公园北侧平安路道路绿化，推进悦来公园局部基础设施提档升级。精致实施城市绿化和美化工程，推进“新建+改造+提升”三维推进模式，构建“点线面”结合的城市绿化体系，打造“300米见绿、500米见园”的生态宜居城市。持续常态化开展整治城市“十乱”行动，对违规问题立行整治。积极与省委、市委宣传部进行沟通对接，根据争创全国文明城市最新要求，推进国家级文明城市创建，力争早日跻身全国文明城市提名城市行列。</w:t>
      </w:r>
    </w:p>
    <w:p w14:paraId="128C49BF">
      <w:pPr>
        <w:keepNext w:val="0"/>
        <w:keepLines w:val="0"/>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220" w:name="_Toc14492"/>
      <w:bookmarkStart w:id="1221" w:name="_Toc107"/>
      <w:bookmarkStart w:id="1222" w:name="_Toc28575"/>
      <w:bookmarkStart w:id="1223" w:name="_Toc8447"/>
      <w:bookmarkStart w:id="1224" w:name="_Toc11494"/>
      <w:bookmarkStart w:id="1225" w:name="_Toc12643"/>
      <w:bookmarkStart w:id="1226" w:name="_Toc15172"/>
      <w:bookmarkStart w:id="1227" w:name="_Toc11829"/>
      <w:bookmarkStart w:id="1228" w:name="_Toc6211"/>
      <w:r>
        <w:rPr>
          <w:rFonts w:hint="default" w:ascii="Times New Roman" w:hAnsi="Times New Roman" w:eastAsia="仿宋_GB2312" w:cs="Times New Roman"/>
          <w:b w:val="0"/>
          <w:bCs w:val="0"/>
          <w:color w:val="auto"/>
          <w:sz w:val="32"/>
          <w:szCs w:val="32"/>
          <w:highlight w:val="none"/>
          <w:u w:val="none"/>
          <w:lang w:eastAsia="zh" w:bidi="ar"/>
          <w:woUserID w:val="0"/>
        </w:rPr>
        <w:t>第四节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构建县域现代水网体系</w:t>
      </w:r>
      <w:bookmarkEnd w:id="1220"/>
      <w:bookmarkEnd w:id="1221"/>
      <w:bookmarkEnd w:id="1222"/>
      <w:bookmarkEnd w:id="1223"/>
      <w:bookmarkEnd w:id="1224"/>
      <w:bookmarkEnd w:id="1225"/>
      <w:bookmarkEnd w:id="1226"/>
      <w:bookmarkEnd w:id="1227"/>
      <w:bookmarkEnd w:id="1228"/>
    </w:p>
    <w:p w14:paraId="483F11D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完善流域和区域防洪减灾体系，推进松花江干流提升工程建设、中小河流治理工程建设。加强山洪灾害防治，做好山洪灾害自动监测预警系统和山洪沟治理工程建设，提升安邦河涝区排干行洪能力，构建山洪灾害防御体系。推进农村供水保障工程建设，推进全县农村供水工程“建大撤小”行动，采取新建、并网、改造升级等方式，进一步提高农村供水规模化、信息化水平。加强水利基础设施建设，统筹推进灌区工程建设及节水改造升级，同步配套完善灌区数字孪生基础设施。严格规范用水定额管控，坚决遏制企业超定额取水行为，常态化开展违规取水专项整治，严守用水总量和用水强度双控底线，稳步落实</w:t>
      </w:r>
      <w:r>
        <w:rPr>
          <w:rFonts w:hint="eastAsia" w:eastAsia="仿宋_GB2312" w:cs="Times New Roman"/>
          <w:b w:val="0"/>
          <w:bCs w:val="0"/>
          <w:color w:val="auto"/>
          <w:sz w:val="32"/>
          <w:szCs w:val="32"/>
          <w:highlight w:val="none"/>
          <w:lang w:eastAsia="zh-CN"/>
        </w:rPr>
        <w:t>“十五五”</w:t>
      </w:r>
      <w:r>
        <w:rPr>
          <w:rFonts w:hint="default" w:ascii="Times New Roman" w:hAnsi="Times New Roman" w:eastAsia="仿宋_GB2312" w:cs="Times New Roman"/>
          <w:b w:val="0"/>
          <w:bCs w:val="0"/>
          <w:color w:val="auto"/>
          <w:sz w:val="32"/>
          <w:szCs w:val="32"/>
          <w:highlight w:val="none"/>
          <w:lang w:eastAsia="zh"/>
        </w:rPr>
        <w:t>地下水压减各项目标任务，实现水资源科学开发、高效利用、系统保护。建立健全乡镇和村级饮用水水源地监测、监督和评估机制。坚持综合治理与生态修复相结合，完善水土保持监测体系。加大水土保持监督执法力度，做好开发建设项目水土保持监督管理。推动幸福河湖项目建设，努力建设“河湖安澜、生态健康、环境优美、文明彰显、人水和谐”的幸福河湖。</w:t>
      </w:r>
    </w:p>
    <w:tbl>
      <w:tblPr>
        <w:tblStyle w:val="25"/>
        <w:tblW w:w="0" w:type="auto"/>
        <w:jc w:val="center"/>
        <w:tblLayout w:type="autofit"/>
        <w:tblCellMar>
          <w:top w:w="0" w:type="dxa"/>
          <w:left w:w="108" w:type="dxa"/>
          <w:bottom w:w="0" w:type="dxa"/>
          <w:right w:w="108" w:type="dxa"/>
        </w:tblCellMar>
      </w:tblPr>
      <w:tblGrid>
        <w:gridCol w:w="8296"/>
      </w:tblGrid>
      <w:tr w14:paraId="2ADE8232">
        <w:trPr>
          <w:jc w:val="center"/>
        </w:trPr>
        <w:tc>
          <w:tcPr>
            <w:tcW w:w="8296" w:type="dxa"/>
            <w:tcBorders>
              <w:top w:val="single" w:color="auto" w:sz="4" w:space="0"/>
              <w:left w:val="single" w:color="auto" w:sz="4" w:space="0"/>
              <w:bottom w:val="single" w:color="auto" w:sz="4" w:space="0"/>
              <w:right w:val="single" w:color="auto" w:sz="4" w:space="0"/>
            </w:tcBorders>
          </w:tcPr>
          <w:p w14:paraId="493FAD0C">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专栏6-4 现代水网建设重大工程项目</w:t>
            </w:r>
          </w:p>
        </w:tc>
      </w:tr>
      <w:tr w14:paraId="066A1E42">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2B3B3F2E">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中小河流治理专项</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桦川县幸福总干治理项目、桦川县铃铛麦河高新区段右岸防洪治理项目、中小河流疏浚项目等。</w:t>
            </w:r>
          </w:p>
          <w:p w14:paraId="24F11B25">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大江大河治理专项</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桦川县松花江沿岸生态修复工程项目、黑龙江省松花江干流桦川县城区段河道整治项目、黑龙江省松花江干流桦川东河、新城段堤防治理项目等。</w:t>
            </w:r>
          </w:p>
          <w:p w14:paraId="35FFC3A3">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水生态治理专项</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桦川县水环境综合治理项目、堤防工程信息化建设项目。</w:t>
            </w:r>
          </w:p>
          <w:p w14:paraId="17A3EA8F">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灌区升级改造专项</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桦川县星火灌区改造工程、桦川县星火灌区现代化改造项目、桦川县新城灌区现代化改造项目、桦川县新河宫灌区现代化改造项目、桦川县悦来灌区现代化改造项目、黑龙江省灌溉工程一期（桦川县）项目、桦川县悦来灌区辅助泵站项目、桦川县新河宫灌区机电改造项目等。</w:t>
            </w:r>
          </w:p>
          <w:p w14:paraId="45D825B1">
            <w:pPr>
              <w:spacing w:line="360" w:lineRule="exact"/>
              <w:ind w:firstLine="420" w:firstLineChars="200"/>
              <w:rPr>
                <w:rFonts w:hint="default" w:ascii="Times New Roman" w:hAnsi="Times New Roman" w:eastAsia="仿宋"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lang w:val="en-US" w:eastAsia="zh-CN"/>
              </w:rPr>
              <w:t>农村供水保障专项。桦川县农村供水保障工程，悦来镇苏家店镇联合规模化水厂项目、横头山镇四马架镇联合规模化水厂项目、新城镇集中供水并网及水厂改造升级工程等。</w:t>
            </w:r>
          </w:p>
        </w:tc>
      </w:tr>
    </w:tbl>
    <w:p w14:paraId="3D96E60F">
      <w:pPr>
        <w:pStyle w:val="3"/>
        <w:pageBreakBefore w:val="0"/>
        <w:widowControl w:val="0"/>
        <w:numPr>
          <w:ilvl w:val="-1"/>
          <w:numId w:val="0"/>
        </w:numPr>
        <w:kinsoku/>
        <w:wordWrap/>
        <w:overflowPunct/>
        <w:topLinePunct w:val="0"/>
        <w:autoSpaceDE/>
        <w:autoSpaceDN/>
        <w:bidi w:val="0"/>
        <w:adjustRightInd/>
        <w:spacing w:before="0" w:after="0" w:line="560" w:lineRule="exact"/>
        <w:ind w:firstLine="0" w:firstLineChars="0"/>
        <w:jc w:val="center"/>
        <w:textAlignment w:val="auto"/>
        <w:rPr>
          <w:rFonts w:hint="default" w:ascii="Times New Roman" w:hAnsi="Times New Roman" w:eastAsia="楷体" w:cs="Times New Roman"/>
          <w:b w:val="0"/>
          <w:bCs/>
          <w:color w:val="auto"/>
          <w:sz w:val="32"/>
          <w:szCs w:val="32"/>
          <w:highlight w:val="none"/>
        </w:rPr>
      </w:pPr>
      <w:bookmarkStart w:id="1229" w:name="_Toc20693"/>
      <w:bookmarkStart w:id="1230" w:name="_Toc4912"/>
      <w:bookmarkStart w:id="1231" w:name="_Toc4614"/>
      <w:bookmarkStart w:id="1232" w:name="_Toc6463"/>
      <w:bookmarkStart w:id="1233" w:name="_Toc25534"/>
      <w:bookmarkStart w:id="1234" w:name="_Toc10642"/>
      <w:bookmarkStart w:id="1235" w:name="_Toc9613"/>
      <w:bookmarkStart w:id="1236" w:name="_Toc27214"/>
      <w:bookmarkStart w:id="1237" w:name="_Toc14905"/>
      <w:bookmarkStart w:id="1238" w:name="_Toc9682"/>
      <w:bookmarkStart w:id="1239" w:name="_Toc18487"/>
      <w:bookmarkStart w:id="1240" w:name="_Toc18783"/>
      <w:r>
        <w:rPr>
          <w:rFonts w:hint="default" w:ascii="Times New Roman" w:hAnsi="Times New Roman" w:eastAsia="楷体" w:cs="Times New Roman"/>
          <w:b w:val="0"/>
          <w:bCs/>
          <w:color w:val="auto"/>
          <w:sz w:val="32"/>
          <w:szCs w:val="32"/>
          <w:highlight w:val="none"/>
        </w:rPr>
        <w:t>第</w:t>
      </w:r>
      <w:r>
        <w:rPr>
          <w:rFonts w:hint="default" w:ascii="Times New Roman" w:hAnsi="Times New Roman" w:eastAsia="楷体" w:cs="Times New Roman"/>
          <w:b w:val="0"/>
          <w:bCs/>
          <w:color w:val="auto"/>
          <w:sz w:val="32"/>
          <w:szCs w:val="32"/>
          <w:highlight w:val="none"/>
          <w:lang w:eastAsia="zh"/>
        </w:rPr>
        <w:t>二</w:t>
      </w:r>
      <w:r>
        <w:rPr>
          <w:rFonts w:hint="default" w:ascii="Times New Roman" w:hAnsi="Times New Roman" w:eastAsia="楷体" w:cs="Times New Roman"/>
          <w:b w:val="0"/>
          <w:bCs/>
          <w:color w:val="auto"/>
          <w:sz w:val="32"/>
          <w:szCs w:val="32"/>
          <w:highlight w:val="none"/>
          <w:lang w:eastAsia="zh"/>
          <w:woUserID w:val="0"/>
        </w:rPr>
        <w:t>章</w:t>
      </w:r>
      <w:r>
        <w:rPr>
          <w:rFonts w:hint="default" w:ascii="Times New Roman" w:hAnsi="Times New Roman" w:eastAsia="楷体" w:cs="Times New Roman"/>
          <w:b w:val="0"/>
          <w:bCs/>
          <w:color w:val="auto"/>
          <w:sz w:val="32"/>
          <w:szCs w:val="32"/>
          <w:highlight w:val="none"/>
          <w:lang w:eastAsia="zh"/>
        </w:rPr>
        <w:t xml:space="preserve"> </w:t>
      </w:r>
      <w:r>
        <w:rPr>
          <w:rFonts w:hint="default" w:ascii="Times New Roman" w:hAnsi="Times New Roman" w:eastAsia="楷体" w:cs="Times New Roman"/>
          <w:b w:val="0"/>
          <w:bCs/>
          <w:color w:val="auto"/>
          <w:sz w:val="32"/>
          <w:szCs w:val="32"/>
          <w:highlight w:val="none"/>
        </w:rPr>
        <w:t>立体打造“通达”综合交通网络</w:t>
      </w:r>
      <w:bookmarkEnd w:id="1229"/>
      <w:bookmarkEnd w:id="1230"/>
      <w:bookmarkEnd w:id="1231"/>
      <w:bookmarkEnd w:id="1232"/>
      <w:bookmarkEnd w:id="1233"/>
      <w:bookmarkEnd w:id="1234"/>
      <w:bookmarkEnd w:id="1235"/>
      <w:bookmarkEnd w:id="1236"/>
      <w:bookmarkEnd w:id="1237"/>
      <w:bookmarkEnd w:id="1238"/>
      <w:bookmarkEnd w:id="1239"/>
      <w:bookmarkEnd w:id="1240"/>
    </w:p>
    <w:p w14:paraId="3DA631F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构建“立体互联、多式协同、智慧赋能”的现代化综合交通网为抓手，统筹推进铁路、公路、航运一体化交通网络建设，打造“三通三有”</w:t>
      </w:r>
      <w:r>
        <w:rPr>
          <w:rFonts w:hint="default" w:ascii="Times New Roman" w:hAnsi="Times New Roman" w:eastAsia="仿宋_GB2312" w:cs="Times New Roman"/>
          <w:color w:val="auto"/>
          <w:sz w:val="32"/>
          <w:szCs w:val="32"/>
          <w:highlight w:val="none"/>
          <w:vertAlign w:val="superscript"/>
          <w:lang w:eastAsia="zh"/>
        </w:rPr>
        <w:footnoteReference w:id="0"/>
      </w:r>
      <w:r>
        <w:rPr>
          <w:rFonts w:hint="default" w:ascii="Times New Roman" w:hAnsi="Times New Roman" w:eastAsia="仿宋_GB2312" w:cs="Times New Roman"/>
          <w:color w:val="auto"/>
          <w:sz w:val="32"/>
          <w:szCs w:val="32"/>
          <w:highlight w:val="none"/>
          <w:lang w:eastAsia="zh"/>
        </w:rPr>
        <w:t>交通体系，实现三十分钟上高速，成为佳木斯市“一小时经济圈”及东部沿边开放带的重要节点。</w:t>
      </w:r>
    </w:p>
    <w:p w14:paraId="080DC4E3">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241" w:name="_Toc17931"/>
      <w:bookmarkStart w:id="1242" w:name="_Toc11601"/>
      <w:bookmarkStart w:id="1243" w:name="_Toc9205"/>
      <w:bookmarkStart w:id="1244" w:name="_Toc23342"/>
      <w:bookmarkStart w:id="1245" w:name="_Toc2605"/>
      <w:bookmarkStart w:id="1246" w:name="_Toc31269"/>
      <w:bookmarkStart w:id="1247" w:name="_Toc17965"/>
      <w:bookmarkStart w:id="1248" w:name="_Toc11305"/>
      <w:bookmarkStart w:id="1249" w:name="_Toc17697"/>
      <w:r>
        <w:rPr>
          <w:rFonts w:hint="default" w:ascii="Times New Roman" w:hAnsi="Times New Roman" w:eastAsia="仿宋_GB2312" w:cs="Times New Roman"/>
          <w:b w:val="0"/>
          <w:bCs w:val="0"/>
          <w:color w:val="auto"/>
          <w:sz w:val="32"/>
          <w:szCs w:val="32"/>
          <w:highlight w:val="none"/>
          <w:u w:val="none"/>
          <w:lang w:eastAsia="zh" w:bidi="ar"/>
          <w:woUserID w:val="0"/>
        </w:rPr>
        <w:t>第一节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建强公路交通网络</w:t>
      </w:r>
      <w:bookmarkEnd w:id="1241"/>
      <w:bookmarkEnd w:id="1242"/>
      <w:bookmarkEnd w:id="1243"/>
      <w:bookmarkEnd w:id="1244"/>
      <w:bookmarkEnd w:id="1245"/>
      <w:bookmarkEnd w:id="1246"/>
      <w:bookmarkEnd w:id="1247"/>
      <w:bookmarkEnd w:id="1248"/>
      <w:bookmarkEnd w:id="1249"/>
    </w:p>
    <w:p w14:paraId="101CD34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打造桦川内通外联、干支结合的公路网络。通过精准定位“路网提质、旅游配套、高速互通”三大需求，创建全国沿边县域交通振兴示范县，成为佳木斯市“一小时经济圈”及东部沿边开放带的重要节点，实现三十分钟上高速，为全社会物流成本明显降低提供基础设施支撑。按照“资源共享、客货兼顾、运邮结合、融合发展”的原则，以“城乡融合+低碳出行”为核心，统筹推进县、乡、村三级农村物流网络节点建设，构建全域覆盖、无缝衔接的公共交通服务网络，打通快递服务“最后一公里”，打造桦川县全域公交一体化综合网络。争取开通佳木斯至森林公园旅游专线与城际公交。以路网提质增效为目标，加快推进高等级公路建设，深化农村公路网升级改造，构建“主干畅通、支线联通、农村覆盖”的公路网络体系。</w:t>
      </w:r>
    </w:p>
    <w:tbl>
      <w:tblPr>
        <w:tblStyle w:val="25"/>
        <w:tblW w:w="0" w:type="auto"/>
        <w:jc w:val="center"/>
        <w:tblLayout w:type="autofit"/>
        <w:tblCellMar>
          <w:top w:w="0" w:type="dxa"/>
          <w:left w:w="108" w:type="dxa"/>
          <w:bottom w:w="0" w:type="dxa"/>
          <w:right w:w="108" w:type="dxa"/>
        </w:tblCellMar>
      </w:tblPr>
      <w:tblGrid>
        <w:gridCol w:w="8296"/>
      </w:tblGrid>
      <w:tr w14:paraId="6845DCDF">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5FCD26BD">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专栏6-</w:t>
            </w:r>
            <w:r>
              <w:rPr>
                <w:rFonts w:hint="default" w:ascii="Times New Roman" w:hAnsi="Times New Roman" w:eastAsia="楷体_GB2312" w:cs="Times New Roman"/>
                <w:b w:val="0"/>
                <w:bCs w:val="0"/>
                <w:color w:val="auto"/>
                <w:sz w:val="24"/>
                <w:highlight w:val="none"/>
                <w:lang w:eastAsia="zh"/>
                <w14:ligatures w14:val="standardContextual"/>
              </w:rPr>
              <w:t>5</w:t>
            </w:r>
            <w:r>
              <w:rPr>
                <w:rFonts w:hint="default" w:ascii="Times New Roman" w:hAnsi="Times New Roman" w:eastAsia="楷体_GB2312" w:cs="Times New Roman"/>
                <w:b w:val="0"/>
                <w:bCs w:val="0"/>
                <w:color w:val="auto"/>
                <w:sz w:val="24"/>
                <w:highlight w:val="none"/>
                <w14:ligatures w14:val="standardContextual"/>
              </w:rPr>
              <w:t xml:space="preserve"> 交通网完善提升重大工程项目</w:t>
            </w:r>
          </w:p>
        </w:tc>
      </w:tr>
      <w:tr w14:paraId="30232CBB">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07789E11">
            <w:pPr>
              <w:spacing w:line="360" w:lineRule="exact"/>
              <w:ind w:firstLine="420" w:firstLineChars="200"/>
              <w:rPr>
                <w:rFonts w:hint="default" w:ascii="Times New Roman" w:hAnsi="Times New Roman" w:eastAsia="仿宋_GB2312" w:cs="Times New Roman"/>
                <w:b w:val="0"/>
                <w:bCs w:val="0"/>
                <w:color w:val="auto"/>
                <w:sz w:val="21"/>
                <w:szCs w:val="21"/>
                <w:highlight w:val="none"/>
                <w14:ligatures w14:val="standardContextual"/>
              </w:rPr>
            </w:pPr>
            <w:commentRangeStart w:id="13"/>
            <w:commentRangeStart w:id="14"/>
            <w:r>
              <w:rPr>
                <w:rFonts w:hint="default" w:ascii="Times New Roman" w:hAnsi="Times New Roman" w:eastAsia="仿宋_GB2312" w:cs="Times New Roman"/>
                <w:b w:val="0"/>
                <w:bCs w:val="0"/>
                <w:color w:val="auto"/>
                <w:sz w:val="21"/>
                <w:szCs w:val="21"/>
                <w:highlight w:val="none"/>
                <w14:ligatures w14:val="standardContextual"/>
              </w:rPr>
              <w:t>完善干线交通网项目</w:t>
            </w:r>
            <w:r>
              <w:rPr>
                <w:rFonts w:hint="default" w:ascii="Times New Roman" w:hAnsi="Times New Roman" w:eastAsia="仿宋_GB2312" w:cs="Times New Roman"/>
                <w:b w:val="0"/>
                <w:bCs w:val="0"/>
                <w:color w:val="auto"/>
                <w:sz w:val="21"/>
                <w:szCs w:val="21"/>
                <w:highlight w:val="none"/>
                <w:lang w:eastAsia="zh-CN"/>
                <w14:ligatures w14:val="standardContextual"/>
              </w:rPr>
              <w:t>。</w:t>
            </w:r>
            <w:r>
              <w:rPr>
                <w:rFonts w:hint="default" w:ascii="Times New Roman" w:hAnsi="Times New Roman" w:eastAsia="仿宋_GB2312" w:cs="Times New Roman"/>
                <w:b w:val="0"/>
                <w:bCs w:val="0"/>
                <w:color w:val="auto"/>
                <w:sz w:val="21"/>
                <w:szCs w:val="21"/>
                <w:highlight w:val="none"/>
                <w14:ligatures w14:val="standardContextual"/>
              </w:rPr>
              <w:t>谋划建设</w:t>
            </w:r>
            <w:r>
              <w:rPr>
                <w:rFonts w:hint="default" w:ascii="Times New Roman" w:hAnsi="Times New Roman" w:eastAsia="仿宋_GB2312" w:cs="Times New Roman"/>
                <w:b w:val="0"/>
                <w:bCs w:val="0"/>
                <w:color w:val="auto"/>
                <w:sz w:val="21"/>
                <w:szCs w:val="21"/>
                <w:highlight w:val="none"/>
                <w:lang w:eastAsia="zh"/>
                <w14:ligatures w14:val="standardContextual"/>
              </w:rPr>
              <w:t>三</w:t>
            </w:r>
            <w:r>
              <w:rPr>
                <w:rFonts w:hint="default" w:ascii="Times New Roman" w:hAnsi="Times New Roman" w:eastAsia="仿宋_GB2312" w:cs="Times New Roman"/>
                <w:b w:val="0"/>
                <w:bCs w:val="0"/>
                <w:color w:val="auto"/>
                <w:sz w:val="21"/>
                <w:szCs w:val="21"/>
                <w:highlight w:val="none"/>
                <w14:ligatures w14:val="standardContextual"/>
              </w:rPr>
              <w:t>条一级公路（G221桦川至集贤、</w:t>
            </w:r>
            <w:r>
              <w:rPr>
                <w:rFonts w:hint="default" w:ascii="Times New Roman" w:hAnsi="Times New Roman" w:eastAsia="仿宋_GB2312" w:cs="Times New Roman"/>
                <w:b w:val="0"/>
                <w:bCs w:val="0"/>
                <w:color w:val="auto"/>
                <w:sz w:val="21"/>
                <w:szCs w:val="21"/>
                <w:highlight w:val="none"/>
                <w:lang w:eastAsia="zh"/>
                <w14:ligatures w14:val="standardContextual"/>
              </w:rPr>
              <w:t>G102桦川至富锦、</w:t>
            </w:r>
            <w:r>
              <w:rPr>
                <w:rFonts w:hint="default" w:ascii="Times New Roman" w:hAnsi="Times New Roman" w:eastAsia="仿宋_GB2312" w:cs="Times New Roman"/>
                <w:b w:val="0"/>
                <w:bCs w:val="0"/>
                <w:color w:val="auto"/>
                <w:sz w:val="21"/>
                <w:szCs w:val="21"/>
                <w:highlight w:val="none"/>
                <w14:ligatures w14:val="standardContextual"/>
              </w:rPr>
              <w:t>苏家店至双合路），改扩建桦川至集贤由二级公路升级一级公路16.9公里，</w:t>
            </w:r>
            <w:r>
              <w:rPr>
                <w:rFonts w:hint="default" w:ascii="Times New Roman" w:hAnsi="Times New Roman" w:eastAsia="仿宋_GB2312" w:cs="Times New Roman"/>
                <w:b w:val="0"/>
                <w:bCs w:val="0"/>
                <w:color w:val="auto"/>
                <w:sz w:val="21"/>
                <w:szCs w:val="21"/>
                <w:highlight w:val="none"/>
                <w:lang w:eastAsia="zh"/>
                <w14:ligatures w14:val="standardContextual"/>
              </w:rPr>
              <w:t>改扩建桦川至富锦由二级公路</w:t>
            </w:r>
            <w:r>
              <w:rPr>
                <w:rFonts w:hint="eastAsia" w:eastAsia="仿宋_GB2312" w:cs="Times New Roman"/>
                <w:b w:val="0"/>
                <w:bCs w:val="0"/>
                <w:color w:val="auto"/>
                <w:sz w:val="21"/>
                <w:szCs w:val="21"/>
                <w:highlight w:val="none"/>
                <w:lang w:eastAsia="zh-CN"/>
                <w14:ligatures w14:val="standardContextual"/>
              </w:rPr>
              <w:t>升级</w:t>
            </w:r>
            <w:r>
              <w:rPr>
                <w:rFonts w:hint="default" w:ascii="Times New Roman" w:hAnsi="Times New Roman" w:eastAsia="仿宋_GB2312" w:cs="Times New Roman"/>
                <w:b w:val="0"/>
                <w:bCs w:val="0"/>
                <w:color w:val="auto"/>
                <w:sz w:val="21"/>
                <w:szCs w:val="21"/>
                <w:highlight w:val="none"/>
                <w:lang w:eastAsia="zh"/>
                <w14:ligatures w14:val="standardContextual"/>
              </w:rPr>
              <w:t>一级公路，</w:t>
            </w:r>
            <w:r>
              <w:rPr>
                <w:rFonts w:hint="default" w:ascii="Times New Roman" w:hAnsi="Times New Roman" w:eastAsia="仿宋_GB2312" w:cs="Times New Roman"/>
                <w:b w:val="0"/>
                <w:bCs w:val="0"/>
                <w:color w:val="auto"/>
                <w:sz w:val="21"/>
                <w:szCs w:val="21"/>
                <w:highlight w:val="none"/>
                <w14:ligatures w14:val="standardContextual"/>
              </w:rPr>
              <w:t>新建一级公路苏家店至双合路19.1公里。项目建成后，桦川形成两横两纵公路干线，解决桦川无法30分钟上高速的</w:t>
            </w:r>
            <w:r>
              <w:rPr>
                <w:rFonts w:hint="default" w:ascii="Times New Roman" w:hAnsi="Times New Roman" w:eastAsia="仿宋_GB2312" w:cs="Times New Roman"/>
                <w:b w:val="0"/>
                <w:bCs w:val="0"/>
                <w:color w:val="auto"/>
                <w:sz w:val="21"/>
                <w:szCs w:val="21"/>
                <w:highlight w:val="none"/>
                <w:lang w:eastAsia="zh-CN"/>
                <w14:ligatures w14:val="standardContextual"/>
              </w:rPr>
              <w:t>问题</w:t>
            </w:r>
            <w:r>
              <w:rPr>
                <w:rFonts w:hint="default" w:ascii="Times New Roman" w:hAnsi="Times New Roman" w:eastAsia="仿宋_GB2312" w:cs="Times New Roman"/>
                <w:b w:val="0"/>
                <w:bCs w:val="0"/>
                <w:color w:val="auto"/>
                <w:sz w:val="21"/>
                <w:szCs w:val="21"/>
                <w:highlight w:val="none"/>
                <w14:ligatures w14:val="standardContextual"/>
              </w:rPr>
              <w:t>。</w:t>
            </w:r>
          </w:p>
          <w:p w14:paraId="07B2827C">
            <w:pPr>
              <w:spacing w:line="360" w:lineRule="exact"/>
              <w:ind w:firstLine="420" w:firstLineChars="200"/>
              <w:rPr>
                <w:rFonts w:hint="default" w:ascii="Times New Roman" w:hAnsi="Times New Roman" w:eastAsia="仿宋_GB2312" w:cs="Times New Roman"/>
                <w:b w:val="0"/>
                <w:bCs w:val="0"/>
                <w:color w:val="auto"/>
                <w:sz w:val="21"/>
                <w:szCs w:val="21"/>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完善细支交通网项目</w:t>
            </w:r>
            <w:r>
              <w:rPr>
                <w:rFonts w:hint="default" w:ascii="Times New Roman" w:hAnsi="Times New Roman" w:eastAsia="仿宋_GB2312" w:cs="Times New Roman"/>
                <w:b w:val="0"/>
                <w:bCs w:val="0"/>
                <w:color w:val="auto"/>
                <w:sz w:val="21"/>
                <w:szCs w:val="21"/>
                <w:highlight w:val="none"/>
                <w:lang w:eastAsia="zh-CN"/>
                <w14:ligatures w14:val="standardContextual"/>
              </w:rPr>
              <w:t>。</w:t>
            </w:r>
            <w:r>
              <w:rPr>
                <w:rFonts w:hint="default" w:ascii="Times New Roman" w:hAnsi="Times New Roman" w:eastAsia="仿宋_GB2312" w:cs="Times New Roman"/>
                <w:b w:val="0"/>
                <w:bCs w:val="0"/>
                <w:color w:val="auto"/>
                <w:sz w:val="21"/>
                <w:szCs w:val="21"/>
                <w:highlight w:val="none"/>
                <w14:ligatures w14:val="standardContextual"/>
              </w:rPr>
              <w:t>谋划建设一批农村公路，通过对农村公路提质改造，形成与骨架干线相连接的农村路网，有效提升公路网络通达性。改扩建农村公路29条，建设总里程143.448公里。</w:t>
            </w:r>
          </w:p>
          <w:p w14:paraId="011EAE7D">
            <w:pPr>
              <w:spacing w:line="360" w:lineRule="exact"/>
              <w:ind w:firstLine="420" w:firstLineChars="200"/>
              <w:rPr>
                <w:rFonts w:hint="default" w:ascii="Times New Roman" w:hAnsi="Times New Roman" w:eastAsia="仿宋_GB2312" w:cs="Times New Roman"/>
                <w:b w:val="0"/>
                <w:bCs w:val="0"/>
                <w:color w:val="auto"/>
                <w:sz w:val="21"/>
                <w:szCs w:val="21"/>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完善旅游配套交通网项目</w:t>
            </w:r>
            <w:r>
              <w:rPr>
                <w:rFonts w:hint="default" w:ascii="Times New Roman" w:hAnsi="Times New Roman" w:eastAsia="仿宋_GB2312" w:cs="Times New Roman"/>
                <w:b w:val="0"/>
                <w:bCs w:val="0"/>
                <w:color w:val="auto"/>
                <w:sz w:val="21"/>
                <w:szCs w:val="21"/>
                <w:highlight w:val="none"/>
                <w:lang w:eastAsia="zh-CN"/>
                <w14:ligatures w14:val="standardContextual"/>
              </w:rPr>
              <w:t>。</w:t>
            </w:r>
            <w:r>
              <w:rPr>
                <w:rFonts w:hint="default" w:ascii="Times New Roman" w:hAnsi="Times New Roman" w:eastAsia="仿宋_GB2312" w:cs="Times New Roman"/>
                <w:b w:val="0"/>
                <w:bCs w:val="0"/>
                <w:color w:val="auto"/>
                <w:sz w:val="21"/>
                <w:szCs w:val="21"/>
                <w:highlight w:val="none"/>
                <w14:ligatures w14:val="standardContextual"/>
              </w:rPr>
              <w:t>建设S513横头至桦南省道，为桦川森林公园景区做好配套工作。</w:t>
            </w:r>
            <w:commentRangeEnd w:id="13"/>
            <w:r>
              <w:rPr>
                <w:rFonts w:hint="default" w:ascii="Times New Roman" w:hAnsi="Times New Roman" w:eastAsia="仿宋_GB2312" w:cs="Times New Roman"/>
                <w:b w:val="0"/>
                <w:bCs w:val="0"/>
                <w:color w:val="auto"/>
                <w:szCs w:val="21"/>
                <w:highlight w:val="none"/>
              </w:rPr>
              <w:commentReference w:id="13"/>
            </w:r>
            <w:commentRangeEnd w:id="14"/>
            <w:r>
              <w:rPr>
                <w:rStyle w:val="30"/>
                <w:rFonts w:hint="default" w:ascii="Times New Roman" w:hAnsi="Times New Roman" w:eastAsia="仿宋_GB2312" w:cs="Times New Roman"/>
                <w:b w:val="0"/>
                <w:bCs w:val="0"/>
                <w:color w:val="auto"/>
                <w:highlight w:val="none"/>
              </w:rPr>
              <w:commentReference w:id="14"/>
            </w:r>
          </w:p>
          <w:p w14:paraId="0A6AD03D">
            <w:pPr>
              <w:spacing w:line="360" w:lineRule="exact"/>
              <w:ind w:firstLine="420" w:firstLineChars="200"/>
              <w:rPr>
                <w:rFonts w:hint="default" w:ascii="Times New Roman" w:hAnsi="Times New Roman" w:eastAsia="仿宋_GB2312" w:cs="Times New Roman"/>
                <w:b w:val="0"/>
                <w:bCs w:val="0"/>
                <w:color w:val="auto"/>
                <w:sz w:val="21"/>
                <w:szCs w:val="21"/>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农村客运班车公交化改造项目</w:t>
            </w:r>
            <w:r>
              <w:rPr>
                <w:rFonts w:hint="default" w:ascii="Times New Roman" w:hAnsi="Times New Roman" w:eastAsia="仿宋_GB2312" w:cs="Times New Roman"/>
                <w:b w:val="0"/>
                <w:bCs w:val="0"/>
                <w:color w:val="auto"/>
                <w:sz w:val="21"/>
                <w:szCs w:val="21"/>
                <w:highlight w:val="none"/>
                <w:lang w:eastAsia="zh-CN"/>
                <w14:ligatures w14:val="standardContextual"/>
              </w:rPr>
              <w:t>。</w:t>
            </w:r>
            <w:r>
              <w:rPr>
                <w:rFonts w:hint="default" w:ascii="Times New Roman" w:hAnsi="Times New Roman" w:eastAsia="仿宋_GB2312" w:cs="Times New Roman"/>
                <w:b w:val="0"/>
                <w:bCs w:val="0"/>
                <w:color w:val="auto"/>
                <w:sz w:val="21"/>
                <w:szCs w:val="21"/>
                <w:highlight w:val="none"/>
                <w14:ligatures w14:val="standardContextual"/>
              </w:rPr>
              <w:t>逐步推进我县剩余</w:t>
            </w:r>
            <w:r>
              <w:rPr>
                <w:rFonts w:hint="default" w:ascii="Times New Roman" w:hAnsi="Times New Roman" w:eastAsia="仿宋_GB2312" w:cs="Times New Roman"/>
                <w:b w:val="0"/>
                <w:bCs w:val="0"/>
                <w:color w:val="auto"/>
                <w:sz w:val="21"/>
                <w:szCs w:val="21"/>
                <w:highlight w:val="none"/>
                <w:lang w:val="en-US" w:eastAsia="zh-CN"/>
                <w14:ligatures w14:val="standardContextual"/>
              </w:rPr>
              <w:t>14</w:t>
            </w:r>
            <w:r>
              <w:rPr>
                <w:rFonts w:hint="default" w:ascii="Times New Roman" w:hAnsi="Times New Roman" w:eastAsia="仿宋_GB2312" w:cs="Times New Roman"/>
                <w:b w:val="0"/>
                <w:bCs w:val="0"/>
                <w:color w:val="auto"/>
                <w:sz w:val="21"/>
                <w:szCs w:val="21"/>
                <w:highlight w:val="none"/>
                <w14:ligatures w14:val="standardContextual"/>
              </w:rPr>
              <w:t>台农村客运班车进行公交化改造，形成全域一体化公交体系。</w:t>
            </w:r>
          </w:p>
          <w:p w14:paraId="73A11C0C">
            <w:pPr>
              <w:spacing w:line="360" w:lineRule="exact"/>
              <w:ind w:firstLine="420" w:firstLineChars="200"/>
              <w:rPr>
                <w:rFonts w:hint="default" w:ascii="Times New Roman" w:hAnsi="Times New Roman" w:eastAsia="楷体_GB2312" w:cs="Times New Roman"/>
                <w:b w:val="0"/>
                <w:bCs w:val="0"/>
                <w:color w:val="auto"/>
                <w:sz w:val="24"/>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城际公交化改造项目</w:t>
            </w:r>
            <w:r>
              <w:rPr>
                <w:rFonts w:hint="default" w:ascii="Times New Roman" w:hAnsi="Times New Roman" w:eastAsia="仿宋_GB2312" w:cs="Times New Roman"/>
                <w:b w:val="0"/>
                <w:bCs w:val="0"/>
                <w:color w:val="auto"/>
                <w:sz w:val="21"/>
                <w:szCs w:val="21"/>
                <w:highlight w:val="none"/>
                <w:lang w:eastAsia="zh-CN"/>
                <w14:ligatures w14:val="standardContextual"/>
              </w:rPr>
              <w:t>。</w:t>
            </w:r>
            <w:r>
              <w:rPr>
                <w:rFonts w:hint="default" w:ascii="Times New Roman" w:hAnsi="Times New Roman" w:eastAsia="仿宋_GB2312" w:cs="Times New Roman"/>
                <w:b w:val="0"/>
                <w:bCs w:val="0"/>
                <w:color w:val="auto"/>
                <w:sz w:val="21"/>
                <w:szCs w:val="21"/>
                <w:highlight w:val="none"/>
                <w14:ligatures w14:val="standardContextual"/>
              </w:rPr>
              <w:t>推进佳木斯至桦川城际客运班车公交化改造，建设停车场</w:t>
            </w:r>
            <w:r>
              <w:rPr>
                <w:rFonts w:hint="eastAsia" w:eastAsia="仿宋_GB2312" w:cs="Times New Roman"/>
                <w:b w:val="0"/>
                <w:bCs w:val="0"/>
                <w:color w:val="auto"/>
                <w:sz w:val="21"/>
                <w:szCs w:val="21"/>
                <w:highlight w:val="none"/>
                <w:lang w:eastAsia="zh-CN"/>
                <w14:ligatures w14:val="standardContextual"/>
              </w:rPr>
              <w:t>、车</w:t>
            </w:r>
            <w:r>
              <w:rPr>
                <w:rFonts w:hint="default" w:ascii="Times New Roman" w:hAnsi="Times New Roman" w:eastAsia="仿宋_GB2312" w:cs="Times New Roman"/>
                <w:b w:val="0"/>
                <w:bCs w:val="0"/>
                <w:color w:val="auto"/>
                <w:sz w:val="21"/>
                <w:szCs w:val="21"/>
                <w:highlight w:val="none"/>
                <w14:ligatures w14:val="standardContextual"/>
              </w:rPr>
              <w:t>库及配套设施包含900平停车库，防雨棚、充电桩等配套设施，沿线建设14个公交站点。</w:t>
            </w:r>
          </w:p>
        </w:tc>
      </w:tr>
    </w:tbl>
    <w:p w14:paraId="426EE8BC">
      <w:pPr>
        <w:keepNext w:val="0"/>
        <w:keepLines w:val="0"/>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250" w:name="_Toc22593"/>
      <w:bookmarkStart w:id="1251" w:name="_Toc21851"/>
      <w:bookmarkStart w:id="1252" w:name="_Toc8138"/>
      <w:bookmarkStart w:id="1253" w:name="_Toc4371"/>
      <w:bookmarkStart w:id="1254" w:name="_Toc12281"/>
      <w:bookmarkStart w:id="1255" w:name="_Toc2477"/>
      <w:bookmarkStart w:id="1256" w:name="_Toc2531"/>
      <w:bookmarkStart w:id="1257" w:name="_Toc25996"/>
      <w:bookmarkStart w:id="1258" w:name="_Toc28427"/>
      <w:r>
        <w:rPr>
          <w:rFonts w:hint="default" w:ascii="Times New Roman" w:hAnsi="Times New Roman" w:eastAsia="仿宋_GB2312" w:cs="Times New Roman"/>
          <w:b w:val="0"/>
          <w:bCs w:val="0"/>
          <w:color w:val="auto"/>
          <w:sz w:val="32"/>
          <w:szCs w:val="32"/>
          <w:highlight w:val="none"/>
          <w:u w:val="none"/>
          <w:lang w:eastAsia="zh" w:bidi="ar"/>
          <w:woUserID w:val="0"/>
        </w:rPr>
        <w:t>第二节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畅通铁路轨道与内河水运交通网</w:t>
      </w:r>
      <w:bookmarkEnd w:id="1250"/>
      <w:bookmarkEnd w:id="1251"/>
      <w:bookmarkEnd w:id="1252"/>
      <w:bookmarkEnd w:id="1253"/>
      <w:bookmarkEnd w:id="1254"/>
      <w:bookmarkEnd w:id="1255"/>
      <w:bookmarkEnd w:id="1256"/>
      <w:bookmarkEnd w:id="1257"/>
      <w:bookmarkEnd w:id="1258"/>
    </w:p>
    <w:p w14:paraId="713BD3F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聚焦铁路物流网络，全力推进桦川县铁路建设，系统谋划铁路线路布局，构建“公转铁”联运体系，持续完善区域铁路网络，优化物流运输结构，切实降低物流成本，使桦川实现铁路物流零的突破。结合佳木斯打造陆港型国家物流枢纽优势，开展桦川港口货运、客运码头建设，发展桦川松花江客运及旅游观光服务，实现大宗货物运输“公转水”“江海联运”等高效联运方式，构建桦川综合立体交通网络，带动临港、临铁产业聚集和发展，有效降低大宗货物运输成本。</w:t>
      </w:r>
    </w:p>
    <w:tbl>
      <w:tblPr>
        <w:tblStyle w:val="25"/>
        <w:tblW w:w="0" w:type="auto"/>
        <w:jc w:val="center"/>
        <w:tblLayout w:type="autofit"/>
        <w:tblCellMar>
          <w:top w:w="0" w:type="dxa"/>
          <w:left w:w="108" w:type="dxa"/>
          <w:bottom w:w="0" w:type="dxa"/>
          <w:right w:w="108" w:type="dxa"/>
        </w:tblCellMar>
      </w:tblPr>
      <w:tblGrid>
        <w:gridCol w:w="8296"/>
      </w:tblGrid>
      <w:tr w14:paraId="47C53D54">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4B65D658">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专栏6-</w:t>
            </w:r>
            <w:r>
              <w:rPr>
                <w:rFonts w:hint="default" w:ascii="Times New Roman" w:hAnsi="Times New Roman" w:eastAsia="楷体_GB2312" w:cs="Times New Roman"/>
                <w:b w:val="0"/>
                <w:bCs w:val="0"/>
                <w:color w:val="auto"/>
                <w:sz w:val="24"/>
                <w:highlight w:val="none"/>
                <w:lang w:eastAsia="zh"/>
                <w14:ligatures w14:val="standardContextual"/>
              </w:rPr>
              <w:t>6</w:t>
            </w:r>
            <w:r>
              <w:rPr>
                <w:rFonts w:hint="default" w:ascii="Times New Roman" w:hAnsi="Times New Roman" w:eastAsia="楷体_GB2312" w:cs="Times New Roman"/>
                <w:b w:val="0"/>
                <w:bCs w:val="0"/>
                <w:color w:val="auto"/>
                <w:sz w:val="24"/>
                <w:highlight w:val="none"/>
                <w14:ligatures w14:val="standardContextual"/>
              </w:rPr>
              <w:t xml:space="preserve"> “铁水”立体运输网络完善提升专项行动</w:t>
            </w:r>
          </w:p>
        </w:tc>
      </w:tr>
      <w:tr w14:paraId="74B6F029">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731CEDAE">
            <w:pPr>
              <w:spacing w:line="360" w:lineRule="exact"/>
              <w:ind w:firstLine="420" w:firstLineChars="200"/>
              <w:rPr>
                <w:rFonts w:hint="default" w:ascii="Times New Roman" w:hAnsi="Times New Roman" w:eastAsia="仿宋_GB2312" w:cs="Times New Roman"/>
                <w:b w:val="0"/>
                <w:bCs w:val="0"/>
                <w:color w:val="auto"/>
                <w:sz w:val="21"/>
                <w:szCs w:val="21"/>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谋划</w:t>
            </w:r>
            <w:r>
              <w:rPr>
                <w:rFonts w:hint="default" w:ascii="Times New Roman" w:hAnsi="Times New Roman" w:eastAsia="仿宋_GB2312" w:cs="Times New Roman"/>
                <w:b w:val="0"/>
                <w:bCs w:val="0"/>
                <w:color w:val="auto"/>
                <w:sz w:val="21"/>
                <w:szCs w:val="21"/>
                <w:highlight w:val="none"/>
                <w:lang w:val="en-US" w:eastAsia="zh-CN"/>
                <w14:ligatures w14:val="standardContextual"/>
              </w:rPr>
              <w:t>建设</w:t>
            </w:r>
            <w:r>
              <w:rPr>
                <w:rFonts w:hint="default" w:ascii="Times New Roman" w:hAnsi="Times New Roman" w:eastAsia="仿宋_GB2312" w:cs="Times New Roman"/>
                <w:b w:val="0"/>
                <w:bCs w:val="0"/>
                <w:color w:val="auto"/>
                <w:sz w:val="21"/>
                <w:szCs w:val="21"/>
                <w:highlight w:val="none"/>
                <w:lang w:eastAsia="zh"/>
                <w14:ligatures w14:val="standardContextual"/>
              </w:rPr>
              <w:t>佳木斯市桦川港区</w:t>
            </w:r>
            <w:r>
              <w:rPr>
                <w:rFonts w:hint="default" w:ascii="Times New Roman" w:hAnsi="Times New Roman" w:eastAsia="仿宋_GB2312" w:cs="Times New Roman"/>
                <w:b w:val="0"/>
                <w:bCs w:val="0"/>
                <w:color w:val="auto"/>
                <w:sz w:val="21"/>
                <w:szCs w:val="21"/>
                <w:highlight w:val="none"/>
                <w14:ligatures w14:val="standardContextual"/>
              </w:rPr>
              <w:t>。</w:t>
            </w:r>
            <w:r>
              <w:rPr>
                <w:rFonts w:hint="default" w:ascii="Times New Roman" w:hAnsi="Times New Roman" w:eastAsia="仿宋_GB2312" w:cs="Times New Roman"/>
                <w:b w:val="0"/>
                <w:bCs w:val="0"/>
                <w:color w:val="auto"/>
                <w:sz w:val="21"/>
                <w:szCs w:val="21"/>
                <w:highlight w:val="none"/>
                <w:lang w:eastAsia="zh-CN"/>
                <w14:ligatures w14:val="standardContextual"/>
              </w:rPr>
              <w:t>（</w:t>
            </w:r>
            <w:r>
              <w:rPr>
                <w:rFonts w:hint="default" w:ascii="Times New Roman" w:hAnsi="Times New Roman" w:eastAsia="仿宋_GB2312" w:cs="Times New Roman"/>
                <w:b w:val="0"/>
                <w:bCs w:val="0"/>
                <w:color w:val="auto"/>
                <w:sz w:val="21"/>
                <w:szCs w:val="21"/>
                <w:highlight w:val="none"/>
                <w:lang w:val="en-US" w:eastAsia="zh-CN"/>
                <w14:ligatures w14:val="standardContextual"/>
              </w:rPr>
              <w:t>包含：佳木斯市桦川港区建设项目、桦川县悦来客运码头及场站项目</w:t>
            </w:r>
            <w:r>
              <w:rPr>
                <w:rFonts w:hint="default" w:ascii="Times New Roman" w:hAnsi="Times New Roman" w:eastAsia="仿宋_GB2312" w:cs="Times New Roman"/>
                <w:b w:val="0"/>
                <w:bCs w:val="0"/>
                <w:color w:val="auto"/>
                <w:sz w:val="21"/>
                <w:szCs w:val="21"/>
                <w:highlight w:val="none"/>
                <w:lang w:eastAsia="zh-CN"/>
                <w14:ligatures w14:val="standardContextual"/>
              </w:rPr>
              <w:t>）</w:t>
            </w:r>
            <w:r>
              <w:rPr>
                <w:rFonts w:hint="default" w:ascii="Times New Roman" w:hAnsi="Times New Roman" w:eastAsia="仿宋_GB2312" w:cs="Times New Roman"/>
                <w:b w:val="0"/>
                <w:bCs w:val="0"/>
                <w:color w:val="auto"/>
                <w:sz w:val="21"/>
                <w:szCs w:val="21"/>
                <w:highlight w:val="none"/>
                <w14:ligatures w14:val="standardContextual"/>
              </w:rPr>
              <w:t>依托省交通运输厅投资8.5亿元建设松花江下游80公里重点航道浅滩整治工程，在我县规划岸线建设客、货码头各一处，通过内河航运枢纽改造，补齐我县水路运输短板，解决大宗贸易水路运输堵点卡点，填补水路旅游缺项。</w:t>
            </w:r>
          </w:p>
          <w:p w14:paraId="1DB5C64A">
            <w:pPr>
              <w:spacing w:line="360" w:lineRule="exact"/>
              <w:ind w:firstLine="420" w:firstLineChars="200"/>
              <w:rPr>
                <w:rFonts w:hint="default" w:ascii="Times New Roman" w:hAnsi="Times New Roman" w:eastAsia="楷体_GB2312" w:cs="Times New Roman"/>
                <w:b w:val="0"/>
                <w:bCs w:val="0"/>
                <w:color w:val="auto"/>
                <w:sz w:val="24"/>
                <w:highlight w:val="none"/>
                <w14:ligatures w14:val="standardContextual"/>
              </w:rPr>
            </w:pPr>
            <w:commentRangeStart w:id="15"/>
            <w:r>
              <w:rPr>
                <w:rFonts w:hint="default" w:ascii="Times New Roman" w:hAnsi="Times New Roman" w:eastAsia="仿宋_GB2312" w:cs="Times New Roman"/>
                <w:b w:val="0"/>
                <w:bCs w:val="0"/>
                <w:color w:val="auto"/>
                <w:sz w:val="21"/>
                <w:szCs w:val="21"/>
                <w:highlight w:val="none"/>
                <w14:ligatures w14:val="standardContextual"/>
              </w:rPr>
              <w:t>谋划建设铁路专线。</w:t>
            </w:r>
            <w:commentRangeEnd w:id="15"/>
            <w:r>
              <w:rPr>
                <w:rFonts w:hint="default" w:ascii="Times New Roman" w:hAnsi="Times New Roman" w:eastAsia="仿宋_GB2312" w:cs="Times New Roman"/>
                <w:b w:val="0"/>
                <w:bCs w:val="0"/>
                <w:szCs w:val="21"/>
                <w:woUserID w:val="7"/>
              </w:rPr>
              <w:commentReference w:id="15"/>
            </w:r>
            <w:r>
              <w:rPr>
                <w:rFonts w:hint="default" w:ascii="Times New Roman" w:hAnsi="Times New Roman" w:eastAsia="仿宋_GB2312" w:cs="Times New Roman"/>
                <w:b w:val="0"/>
                <w:bCs w:val="0"/>
                <w:color w:val="auto"/>
                <w:sz w:val="21"/>
                <w:szCs w:val="21"/>
                <w:highlight w:val="none"/>
                <w14:ligatures w14:val="standardContextual"/>
              </w:rPr>
              <w:t>积极谋划建设铁路项目，补齐区域铁路网短板，服务粮食外运和民生出行，促进县域经济发展。</w:t>
            </w:r>
          </w:p>
        </w:tc>
      </w:tr>
    </w:tbl>
    <w:p w14:paraId="0E80A2F4">
      <w:pPr>
        <w:keepNext w:val="0"/>
        <w:keepLines w:val="0"/>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259" w:name="_Toc20065"/>
      <w:bookmarkStart w:id="1260" w:name="_Toc3345"/>
      <w:bookmarkStart w:id="1261" w:name="_Toc800"/>
      <w:bookmarkStart w:id="1262" w:name="_Toc14722"/>
      <w:bookmarkStart w:id="1263" w:name="_Toc26449"/>
      <w:bookmarkStart w:id="1264" w:name="_Toc23392"/>
      <w:bookmarkStart w:id="1265" w:name="_Toc63"/>
      <w:bookmarkStart w:id="1266" w:name="_Toc26447"/>
      <w:bookmarkStart w:id="1267" w:name="_Toc13107"/>
      <w:r>
        <w:rPr>
          <w:rFonts w:hint="default" w:ascii="Times New Roman" w:hAnsi="Times New Roman" w:eastAsia="仿宋_GB2312" w:cs="Times New Roman"/>
          <w:b w:val="0"/>
          <w:bCs w:val="0"/>
          <w:color w:val="auto"/>
          <w:sz w:val="32"/>
          <w:szCs w:val="32"/>
          <w:highlight w:val="none"/>
          <w:u w:val="none"/>
          <w:lang w:eastAsia="zh" w:bidi="ar"/>
          <w:woUserID w:val="0"/>
        </w:rPr>
        <w:t>第三节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强化航空枢纽高效衔接</w:t>
      </w:r>
      <w:bookmarkEnd w:id="1259"/>
      <w:bookmarkEnd w:id="1260"/>
      <w:bookmarkEnd w:id="1261"/>
      <w:bookmarkEnd w:id="1262"/>
      <w:bookmarkEnd w:id="1263"/>
      <w:bookmarkEnd w:id="1264"/>
      <w:bookmarkEnd w:id="1265"/>
      <w:bookmarkEnd w:id="1266"/>
      <w:bookmarkEnd w:id="1267"/>
    </w:p>
    <w:p w14:paraId="6994793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探索建立以佳木斯机场为中心，构建内通外联、集约高效的通用航空短途运输服务体系。依托佳木斯东郊机场、建三江湿地机场和抚远东极机场及三合屯通用机场等通用机场设施，配合推进佳木斯东郊机场改扩建工程，提升机场设施服务水平和航空运输能力。积极引入航空运营企业，开发低空旅游、飞行培训等低空项目，培育航空旅游新亮点，为通用航空短途运输服务体系提供应用场景。为佳木斯市打造低空经济发展示范区贡献桦川力量。</w:t>
      </w:r>
      <w:commentRangeStart w:id="16"/>
      <w:commentRangeStart w:id="17"/>
      <w:r>
        <w:rPr>
          <w:rFonts w:hint="default" w:ascii="Times New Roman" w:hAnsi="Times New Roman" w:eastAsia="仿宋_GB2312" w:cs="Times New Roman"/>
          <w:color w:val="auto"/>
          <w:sz w:val="32"/>
          <w:szCs w:val="32"/>
          <w:highlight w:val="none"/>
          <w:lang w:eastAsia="zh"/>
        </w:rPr>
        <w:commentReference w:id="16"/>
      </w:r>
      <w:commentRangeEnd w:id="16"/>
      <w:commentRangeEnd w:id="17"/>
      <w:r>
        <w:rPr>
          <w:rFonts w:hint="default" w:ascii="Times New Roman" w:hAnsi="Times New Roman" w:eastAsia="仿宋_GB2312" w:cs="Times New Roman"/>
          <w:color w:val="auto"/>
          <w:sz w:val="32"/>
          <w:szCs w:val="32"/>
          <w:highlight w:val="none"/>
          <w:lang w:eastAsia="zh"/>
        </w:rPr>
        <w:commentReference w:id="17"/>
      </w:r>
    </w:p>
    <w:p w14:paraId="5BCCFFA9">
      <w:pPr>
        <w:keepNext w:val="0"/>
        <w:keepLines w:val="0"/>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268" w:name="_Toc3354"/>
      <w:bookmarkStart w:id="1269" w:name="_Toc23916"/>
      <w:bookmarkStart w:id="1270" w:name="_Toc2200"/>
      <w:bookmarkStart w:id="1271" w:name="_Toc28668"/>
      <w:bookmarkStart w:id="1272" w:name="_Toc17541"/>
      <w:bookmarkStart w:id="1273" w:name="_Toc29308"/>
      <w:bookmarkStart w:id="1274" w:name="_Toc32493"/>
      <w:bookmarkStart w:id="1275" w:name="_Toc10403"/>
      <w:bookmarkStart w:id="1276" w:name="_Toc9590"/>
      <w:r>
        <w:rPr>
          <w:rFonts w:hint="default" w:ascii="Times New Roman" w:hAnsi="Times New Roman" w:eastAsia="仿宋_GB2312" w:cs="Times New Roman"/>
          <w:b w:val="0"/>
          <w:bCs w:val="0"/>
          <w:color w:val="auto"/>
          <w:sz w:val="32"/>
          <w:szCs w:val="32"/>
          <w:highlight w:val="none"/>
          <w:u w:val="none"/>
          <w:lang w:eastAsia="zh" w:bidi="ar"/>
          <w:woUserID w:val="0"/>
        </w:rPr>
        <w:t>第四节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完善智慧交通基础设施</w:t>
      </w:r>
      <w:bookmarkEnd w:id="1268"/>
      <w:bookmarkEnd w:id="1269"/>
      <w:bookmarkEnd w:id="1270"/>
      <w:bookmarkEnd w:id="1271"/>
      <w:bookmarkEnd w:id="1272"/>
      <w:bookmarkEnd w:id="1273"/>
      <w:bookmarkEnd w:id="1274"/>
      <w:bookmarkEnd w:id="1275"/>
      <w:bookmarkEnd w:id="1276"/>
    </w:p>
    <w:p w14:paraId="664BD6C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通过集成物联网、大数据、人工智能、5G等新一代信息技术，对交通系统进行智能化改造，对县域内客运车辆、出租车、公交车、客运班车及货运车辆提供大数据支撑，提升客运、货运效率，降本增效，对国省干线进行全时段路网监控，</w:t>
      </w:r>
      <w:r>
        <w:rPr>
          <w:rFonts w:hint="default" w:ascii="Times New Roman" w:hAnsi="Times New Roman" w:eastAsia="仿宋_GB2312" w:cs="Times New Roman"/>
          <w:color w:val="auto"/>
          <w:sz w:val="32"/>
          <w:szCs w:val="32"/>
          <w:highlight w:val="none"/>
          <w:lang w:val="en-US" w:eastAsia="zh-CN"/>
        </w:rPr>
        <w:t>为</w:t>
      </w:r>
      <w:r>
        <w:rPr>
          <w:rFonts w:hint="default" w:ascii="Times New Roman" w:hAnsi="Times New Roman" w:eastAsia="仿宋_GB2312" w:cs="Times New Roman"/>
          <w:color w:val="auto"/>
          <w:sz w:val="32"/>
          <w:szCs w:val="32"/>
          <w:highlight w:val="none"/>
          <w:lang w:eastAsia="zh"/>
        </w:rPr>
        <w:t>城市发展提供有效数据支撑，保障交通安全、减少能源消耗，以智慧交通助力桦川完善综合立体交通网络。深化“智慧+交通”技术在综合领域的应用，建立智能化物流管理体系，促进物流资源高效整合，推动我县智慧物流交通高质量发展。以路网监控、科技治超为核心，全方位打造我县大数据交通领域AI场景应用，实现道路风险排查、急险陡坡预警，道路科技养护，科技治超等多场景应用。深化“智慧+交通”技术在综合领域的应用，建立智能化物流管理体系。</w:t>
      </w:r>
    </w:p>
    <w:tbl>
      <w:tblPr>
        <w:tblStyle w:val="25"/>
        <w:tblW w:w="0" w:type="auto"/>
        <w:jc w:val="center"/>
        <w:tblLayout w:type="autofit"/>
        <w:tblCellMar>
          <w:top w:w="0" w:type="dxa"/>
          <w:left w:w="108" w:type="dxa"/>
          <w:bottom w:w="0" w:type="dxa"/>
          <w:right w:w="108" w:type="dxa"/>
        </w:tblCellMar>
      </w:tblPr>
      <w:tblGrid>
        <w:gridCol w:w="8296"/>
      </w:tblGrid>
      <w:tr w14:paraId="6D56754E">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78491ABC">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专栏6-</w:t>
            </w:r>
            <w:r>
              <w:rPr>
                <w:rFonts w:hint="default" w:ascii="Times New Roman" w:hAnsi="Times New Roman" w:eastAsia="楷体_GB2312" w:cs="Times New Roman"/>
                <w:b w:val="0"/>
                <w:bCs w:val="0"/>
                <w:color w:val="auto"/>
                <w:sz w:val="24"/>
                <w:highlight w:val="none"/>
                <w:lang w:eastAsia="zh"/>
                <w14:ligatures w14:val="standardContextual"/>
              </w:rPr>
              <w:t>7</w:t>
            </w:r>
            <w:r>
              <w:rPr>
                <w:rFonts w:hint="eastAsia" w:eastAsia="楷体_GB2312" w:cs="Times New Roman"/>
                <w:b w:val="0"/>
                <w:bCs w:val="0"/>
                <w:color w:val="auto"/>
                <w:sz w:val="24"/>
                <w:highlight w:val="none"/>
                <w:lang w:val="en-US" w:eastAsia="zh-CN"/>
                <w14:ligatures w14:val="standardContextual"/>
              </w:rPr>
              <w:t xml:space="preserve"> </w:t>
            </w:r>
            <w:r>
              <w:rPr>
                <w:rFonts w:hint="default" w:ascii="Times New Roman" w:hAnsi="Times New Roman" w:eastAsia="楷体_GB2312" w:cs="Times New Roman"/>
                <w:b w:val="0"/>
                <w:bCs w:val="0"/>
                <w:color w:val="auto"/>
                <w:sz w:val="24"/>
                <w:highlight w:val="none"/>
                <w14:ligatures w14:val="standardContextual"/>
              </w:rPr>
              <w:t>“十五五”时期桦川县智慧交通重点工程</w:t>
            </w:r>
          </w:p>
        </w:tc>
      </w:tr>
      <w:tr w14:paraId="0EA15898">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0C5929BF">
            <w:pPr>
              <w:spacing w:line="360" w:lineRule="exact"/>
              <w:ind w:firstLine="420" w:firstLineChars="200"/>
              <w:rPr>
                <w:rFonts w:hint="default" w:ascii="Times New Roman" w:hAnsi="Times New Roman" w:eastAsia="楷体_GB2312" w:cs="Times New Roman"/>
                <w:b w:val="0"/>
                <w:bCs w:val="0"/>
                <w:color w:val="auto"/>
                <w:sz w:val="24"/>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建设智慧交通运输服务。建设全方位、全天候智慧交通服务体系，对全县交通运输体系实现智慧化管理，通过监控系统建设，实现突发情况及时预警、及时处理；通过主要路口感应电子秤及视频监控建设，实现科技治超；通过公路养护设备改造，实现公路科技养护。构建“互联网+物流”“一单制”等新型物流体系，通过域外物流网络对接，降低车辆空驶率、提升货运效率，实现实时追踪、路径优化，小微企业能进行运力共享。</w:t>
            </w:r>
          </w:p>
        </w:tc>
      </w:tr>
      <w:tr w14:paraId="59C93E87">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0A2F75DC">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专栏6-</w:t>
            </w:r>
            <w:r>
              <w:rPr>
                <w:rFonts w:hint="default" w:ascii="Times New Roman" w:hAnsi="Times New Roman" w:eastAsia="楷体_GB2312" w:cs="Times New Roman"/>
                <w:b w:val="0"/>
                <w:bCs w:val="0"/>
                <w:color w:val="auto"/>
                <w:sz w:val="24"/>
                <w:highlight w:val="none"/>
                <w:lang w:eastAsia="zh"/>
                <w14:ligatures w14:val="standardContextual"/>
                <w:woUserID w:val="3"/>
              </w:rPr>
              <w:t>8</w:t>
            </w:r>
            <w:r>
              <w:rPr>
                <w:rFonts w:hint="default" w:ascii="Times New Roman" w:hAnsi="Times New Roman" w:eastAsia="楷体_GB2312" w:cs="Times New Roman"/>
                <w:b w:val="0"/>
                <w:bCs w:val="0"/>
                <w:color w:val="auto"/>
                <w:sz w:val="24"/>
                <w:highlight w:val="none"/>
                <w14:ligatures w14:val="standardContextual"/>
              </w:rPr>
              <w:t xml:space="preserve"> 综合交通网络重大工程项目</w:t>
            </w:r>
          </w:p>
        </w:tc>
      </w:tr>
      <w:tr w14:paraId="40009AAA">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66AD583D">
            <w:pPr>
              <w:spacing w:line="360" w:lineRule="exact"/>
              <w:ind w:firstLine="420" w:firstLineChars="200"/>
              <w:rPr>
                <w:rFonts w:hint="default" w:ascii="Times New Roman" w:hAnsi="Times New Roman" w:eastAsia="仿宋_GB2312" w:cs="Times New Roman"/>
                <w:b w:val="0"/>
                <w:bCs w:val="0"/>
                <w:color w:val="auto"/>
                <w:sz w:val="21"/>
                <w:szCs w:val="21"/>
                <w:highlight w:val="none"/>
                <w14:ligatures w14:val="standardContextual"/>
              </w:rPr>
            </w:pPr>
            <w:commentRangeStart w:id="18"/>
            <w:r>
              <w:rPr>
                <w:rFonts w:hint="default" w:ascii="Times New Roman" w:hAnsi="Times New Roman" w:eastAsia="仿宋_GB2312" w:cs="Times New Roman"/>
                <w:b w:val="0"/>
                <w:bCs w:val="0"/>
                <w:color w:val="auto"/>
                <w:sz w:val="21"/>
                <w:szCs w:val="21"/>
                <w:highlight w:val="none"/>
                <w14:ligatures w14:val="standardContextual"/>
              </w:rPr>
              <w:t>国省道路建设专项</w:t>
            </w:r>
            <w:r>
              <w:rPr>
                <w:rFonts w:hint="eastAsia" w:ascii="Times New Roman" w:hAnsi="Times New Roman" w:eastAsia="仿宋_GB2312" w:cs="Times New Roman"/>
                <w:b w:val="0"/>
                <w:bCs w:val="0"/>
                <w:color w:val="auto"/>
                <w:sz w:val="21"/>
                <w:szCs w:val="21"/>
                <w:highlight w:val="none"/>
                <w:lang w:eastAsia="zh-CN"/>
                <w14:ligatures w14:val="standardContextual"/>
              </w:rPr>
              <w:t>。</w:t>
            </w:r>
            <w:r>
              <w:rPr>
                <w:rFonts w:hint="default" w:ascii="Times New Roman" w:hAnsi="Times New Roman" w:eastAsia="仿宋_GB2312" w:cs="Times New Roman"/>
                <w:b w:val="0"/>
                <w:bCs w:val="0"/>
                <w:color w:val="auto"/>
                <w:sz w:val="21"/>
                <w:szCs w:val="21"/>
                <w:highlight w:val="none"/>
                <w14:ligatures w14:val="standardContextual"/>
              </w:rPr>
              <w:t>G221桦川集贤界至桦川段更新提质工程、国道京抚公路（G102）桦川到桦川富锦界段改扩建工程、苏家店至双合路工程项目、省道</w:t>
            </w:r>
            <w:r>
              <w:rPr>
                <w:rFonts w:hint="default" w:ascii="Times New Roman" w:hAnsi="Times New Roman" w:eastAsia="仿宋_GB2312" w:cs="Times New Roman"/>
                <w:b w:val="0"/>
                <w:bCs w:val="0"/>
                <w:color w:val="auto"/>
                <w:sz w:val="21"/>
                <w:szCs w:val="21"/>
                <w:highlight w:val="none"/>
                <w:lang w:eastAsia="zh"/>
                <w14:ligatures w14:val="standardContextual"/>
              </w:rPr>
              <w:t>S513</w:t>
            </w:r>
            <w:r>
              <w:rPr>
                <w:rFonts w:hint="default" w:ascii="Times New Roman" w:hAnsi="Times New Roman" w:eastAsia="仿宋_GB2312" w:cs="Times New Roman"/>
                <w:b w:val="0"/>
                <w:bCs w:val="0"/>
                <w:color w:val="auto"/>
                <w:sz w:val="21"/>
                <w:szCs w:val="21"/>
                <w:highlight w:val="none"/>
                <w14:ligatures w14:val="standardContextual"/>
              </w:rPr>
              <w:t>佳木斯至桦南公路横头山镇至桦川桦南界改扩建工程、桦川县智慧交通运输服务项目、桦川县交通公路低空</w:t>
            </w:r>
            <w:r>
              <w:rPr>
                <w:rFonts w:hint="eastAsia" w:ascii="Times New Roman" w:hAnsi="Times New Roman" w:eastAsia="仿宋_GB2312" w:cs="Times New Roman"/>
                <w:b w:val="0"/>
                <w:bCs w:val="0"/>
                <w:color w:val="auto"/>
                <w:sz w:val="21"/>
                <w:szCs w:val="21"/>
                <w:highlight w:val="none"/>
                <w:lang w:val="en-US" w:eastAsia="zh-CN"/>
                <w14:ligatures w14:val="standardContextual"/>
              </w:rPr>
              <w:t>物流</w:t>
            </w:r>
            <w:r>
              <w:rPr>
                <w:rFonts w:hint="default" w:ascii="Times New Roman" w:hAnsi="Times New Roman" w:eastAsia="仿宋_GB2312" w:cs="Times New Roman"/>
                <w:b w:val="0"/>
                <w:bCs w:val="0"/>
                <w:color w:val="auto"/>
                <w:sz w:val="21"/>
                <w:szCs w:val="21"/>
                <w:highlight w:val="none"/>
                <w14:ligatures w14:val="standardContextual"/>
              </w:rPr>
              <w:t>巡检项目。</w:t>
            </w:r>
            <w:commentRangeEnd w:id="18"/>
            <w:r>
              <w:rPr>
                <w:rFonts w:hint="default" w:ascii="Times New Roman" w:hAnsi="Times New Roman" w:eastAsia="仿宋_GB2312" w:cs="Times New Roman"/>
                <w:b w:val="0"/>
                <w:bCs w:val="0"/>
                <w:color w:val="auto"/>
                <w:sz w:val="21"/>
                <w:szCs w:val="21"/>
                <w:highlight w:val="none"/>
                <w14:ligatures w14:val="standardContextual"/>
              </w:rPr>
              <w:commentReference w:id="18"/>
            </w:r>
          </w:p>
          <w:p w14:paraId="18CEFA3C">
            <w:pPr>
              <w:spacing w:line="360" w:lineRule="exact"/>
              <w:ind w:firstLine="420" w:firstLineChars="200"/>
              <w:rPr>
                <w:rFonts w:hint="default" w:ascii="Times New Roman" w:hAnsi="Times New Roman" w:eastAsia="仿宋_GB2312" w:cs="Times New Roman"/>
                <w:b w:val="0"/>
                <w:bCs w:val="0"/>
                <w:color w:val="auto"/>
                <w:sz w:val="21"/>
                <w:szCs w:val="21"/>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农村公路升级改造专项</w:t>
            </w:r>
            <w:r>
              <w:rPr>
                <w:rFonts w:hint="eastAsia" w:ascii="Times New Roman" w:hAnsi="Times New Roman" w:eastAsia="仿宋_GB2312" w:cs="Times New Roman"/>
                <w:b w:val="0"/>
                <w:bCs w:val="0"/>
                <w:color w:val="auto"/>
                <w:sz w:val="21"/>
                <w:szCs w:val="21"/>
                <w:highlight w:val="none"/>
                <w:lang w:eastAsia="zh-CN"/>
                <w14:ligatures w14:val="standardContextual"/>
              </w:rPr>
              <w:t>。</w:t>
            </w:r>
            <w:r>
              <w:rPr>
                <w:rFonts w:hint="default" w:ascii="Times New Roman" w:hAnsi="Times New Roman" w:eastAsia="仿宋_GB2312" w:cs="Times New Roman"/>
                <w:b w:val="0"/>
                <w:bCs w:val="0"/>
                <w:color w:val="auto"/>
                <w:sz w:val="21"/>
                <w:szCs w:val="21"/>
                <w:highlight w:val="none"/>
                <w:lang w:eastAsia="zh"/>
                <w14:ligatures w14:val="standardContextual"/>
              </w:rPr>
              <w:t>桦川县</w:t>
            </w:r>
            <w:commentRangeStart w:id="19"/>
            <w:r>
              <w:rPr>
                <w:rFonts w:hint="default" w:ascii="Times New Roman" w:hAnsi="Times New Roman" w:eastAsia="仿宋_GB2312" w:cs="Times New Roman"/>
                <w:b w:val="0"/>
                <w:bCs w:val="0"/>
                <w:color w:val="auto"/>
                <w:sz w:val="21"/>
                <w:szCs w:val="21"/>
                <w:highlight w:val="none"/>
                <w14:ligatures w14:val="standardContextual"/>
              </w:rPr>
              <w:t>农村公路提质改造项目、</w:t>
            </w:r>
            <w:r>
              <w:rPr>
                <w:rFonts w:hint="default" w:ascii="Times New Roman" w:hAnsi="Times New Roman" w:eastAsia="仿宋_GB2312" w:cs="Times New Roman"/>
                <w:b w:val="0"/>
                <w:bCs w:val="0"/>
                <w:color w:val="auto"/>
                <w:sz w:val="21"/>
                <w:szCs w:val="21"/>
                <w:highlight w:val="none"/>
                <w:lang w:eastAsia="zh"/>
                <w14:ligatures w14:val="standardContextual"/>
              </w:rPr>
              <w:t>桦川县农村公路养护工区项目、</w:t>
            </w:r>
            <w:r>
              <w:rPr>
                <w:rFonts w:hint="default" w:ascii="Times New Roman" w:hAnsi="Times New Roman" w:eastAsia="仿宋_GB2312" w:cs="Times New Roman"/>
                <w:b w:val="0"/>
                <w:bCs w:val="0"/>
                <w:color w:val="auto"/>
                <w:sz w:val="21"/>
                <w:szCs w:val="21"/>
                <w:highlight w:val="none"/>
                <w14:ligatures w14:val="standardContextual"/>
              </w:rPr>
              <w:t>桦川县星火乡星光村主路新建项目</w:t>
            </w:r>
            <w:commentRangeEnd w:id="19"/>
            <w:r>
              <w:rPr>
                <w:rFonts w:hint="default" w:ascii="Times New Roman" w:hAnsi="Times New Roman" w:eastAsia="仿宋_GB2312" w:cs="Times New Roman"/>
                <w:b w:val="0"/>
                <w:bCs w:val="0"/>
                <w:color w:val="auto"/>
                <w:sz w:val="21"/>
                <w:szCs w:val="21"/>
                <w:highlight w:val="none"/>
                <w14:ligatures w14:val="standardContextual"/>
              </w:rPr>
              <w:commentReference w:id="19"/>
            </w:r>
            <w:r>
              <w:rPr>
                <w:rFonts w:hint="default" w:ascii="Times New Roman" w:hAnsi="Times New Roman" w:eastAsia="仿宋_GB2312" w:cs="Times New Roman"/>
                <w:b w:val="0"/>
                <w:bCs w:val="0"/>
                <w:color w:val="auto"/>
                <w:sz w:val="21"/>
                <w:szCs w:val="21"/>
                <w:highlight w:val="none"/>
                <w:lang w:eastAsia="zh"/>
                <w14:ligatures w14:val="standardContextual"/>
              </w:rPr>
              <w:t>、沿江公路</w:t>
            </w:r>
            <w:r>
              <w:rPr>
                <w:rFonts w:hint="eastAsia" w:ascii="Times New Roman" w:hAnsi="Times New Roman" w:eastAsia="仿宋_GB2312" w:cs="Times New Roman"/>
                <w:b w:val="0"/>
                <w:bCs w:val="0"/>
                <w:color w:val="auto"/>
                <w:sz w:val="21"/>
                <w:szCs w:val="21"/>
                <w:highlight w:val="none"/>
                <w:lang w:eastAsia="zh-CN"/>
                <w14:ligatures w14:val="standardContextual"/>
              </w:rPr>
              <w:t>—</w:t>
            </w:r>
            <w:r>
              <w:rPr>
                <w:rFonts w:hint="default" w:ascii="Times New Roman" w:hAnsi="Times New Roman" w:eastAsia="仿宋_GB2312" w:cs="Times New Roman"/>
                <w:b w:val="0"/>
                <w:bCs w:val="0"/>
                <w:color w:val="auto"/>
                <w:sz w:val="21"/>
                <w:szCs w:val="21"/>
                <w:highlight w:val="none"/>
                <w:lang w:eastAsia="zh"/>
                <w14:ligatures w14:val="standardContextual"/>
              </w:rPr>
              <w:t>万里河村旅游公路</w:t>
            </w:r>
            <w:r>
              <w:rPr>
                <w:rFonts w:hint="default" w:ascii="Times New Roman" w:hAnsi="Times New Roman" w:eastAsia="仿宋_GB2312" w:cs="Times New Roman"/>
                <w:b w:val="0"/>
                <w:bCs w:val="0"/>
                <w:color w:val="auto"/>
                <w:sz w:val="21"/>
                <w:szCs w:val="21"/>
                <w:highlight w:val="none"/>
                <w14:ligatures w14:val="standardContextual"/>
              </w:rPr>
              <w:t>等。</w:t>
            </w:r>
          </w:p>
          <w:p w14:paraId="27CFD1EF">
            <w:pPr>
              <w:spacing w:line="360" w:lineRule="exact"/>
              <w:ind w:firstLine="420" w:firstLineChars="200"/>
              <w:rPr>
                <w:rFonts w:hint="default" w:ascii="Times New Roman" w:hAnsi="Times New Roman" w:eastAsia="仿宋_GB2312" w:cs="Times New Roman"/>
                <w:b w:val="0"/>
                <w:bCs w:val="0"/>
                <w:color w:val="auto"/>
                <w:sz w:val="21"/>
                <w:szCs w:val="21"/>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铁路建设专项</w:t>
            </w:r>
            <w:r>
              <w:rPr>
                <w:rFonts w:hint="eastAsia" w:ascii="Times New Roman" w:hAnsi="Times New Roman" w:eastAsia="仿宋_GB2312" w:cs="Times New Roman"/>
                <w:b w:val="0"/>
                <w:bCs w:val="0"/>
                <w:color w:val="auto"/>
                <w:sz w:val="21"/>
                <w:szCs w:val="21"/>
                <w:highlight w:val="none"/>
                <w:lang w:eastAsia="zh-CN"/>
                <w14:ligatures w14:val="standardContextual"/>
              </w:rPr>
              <w:t>。</w:t>
            </w:r>
            <w:commentRangeStart w:id="20"/>
            <w:r>
              <w:rPr>
                <w:rFonts w:hint="default" w:ascii="Times New Roman" w:hAnsi="Times New Roman" w:eastAsia="仿宋_GB2312" w:cs="Times New Roman"/>
                <w:b w:val="0"/>
                <w:bCs w:val="0"/>
                <w:color w:val="auto"/>
                <w:sz w:val="21"/>
                <w:szCs w:val="21"/>
                <w:highlight w:val="none"/>
                <w14:ligatures w14:val="standardContextual"/>
              </w:rPr>
              <w:t>四马架</w:t>
            </w:r>
            <w:r>
              <w:rPr>
                <w:rFonts w:hint="eastAsia" w:ascii="Times New Roman" w:hAnsi="Times New Roman" w:eastAsia="仿宋_GB2312" w:cs="Times New Roman"/>
                <w:b w:val="0"/>
                <w:bCs w:val="0"/>
                <w:color w:val="auto"/>
                <w:sz w:val="21"/>
                <w:szCs w:val="21"/>
                <w:highlight w:val="none"/>
                <w:lang w:eastAsia="zh-CN"/>
                <w14:ligatures w14:val="standardContextual"/>
              </w:rPr>
              <w:t>—</w:t>
            </w:r>
            <w:r>
              <w:rPr>
                <w:rFonts w:hint="default" w:ascii="Times New Roman" w:hAnsi="Times New Roman" w:eastAsia="仿宋_GB2312" w:cs="Times New Roman"/>
                <w:b w:val="0"/>
                <w:bCs w:val="0"/>
                <w:color w:val="auto"/>
                <w:sz w:val="21"/>
                <w:szCs w:val="21"/>
                <w:highlight w:val="none"/>
                <w14:ligatures w14:val="standardContextual"/>
              </w:rPr>
              <w:t>悦来铁路专线项目</w:t>
            </w:r>
            <w:commentRangeEnd w:id="20"/>
            <w:r>
              <w:rPr>
                <w:rFonts w:hint="default" w:ascii="Times New Roman" w:hAnsi="Times New Roman" w:eastAsia="仿宋_GB2312" w:cs="Times New Roman"/>
                <w:b w:val="0"/>
                <w:bCs w:val="0"/>
                <w:color w:val="auto"/>
                <w:sz w:val="21"/>
                <w:szCs w:val="21"/>
                <w:highlight w:val="none"/>
                <w14:ligatures w14:val="standardContextual"/>
              </w:rPr>
              <w:commentReference w:id="20"/>
            </w:r>
            <w:r>
              <w:rPr>
                <w:rFonts w:hint="default" w:ascii="Times New Roman" w:hAnsi="Times New Roman" w:eastAsia="仿宋_GB2312" w:cs="Times New Roman"/>
                <w:b w:val="0"/>
                <w:bCs w:val="0"/>
                <w:color w:val="auto"/>
                <w:sz w:val="21"/>
                <w:szCs w:val="21"/>
                <w:highlight w:val="none"/>
                <w14:ligatures w14:val="standardContextual"/>
              </w:rPr>
              <w:t>等。</w:t>
            </w:r>
          </w:p>
          <w:p w14:paraId="34E28106">
            <w:pPr>
              <w:spacing w:line="360" w:lineRule="exact"/>
              <w:ind w:firstLine="420" w:firstLineChars="200"/>
              <w:rPr>
                <w:rFonts w:hint="default" w:ascii="Times New Roman" w:hAnsi="Times New Roman" w:eastAsia="仿宋" w:cs="Times New Roman"/>
                <w:b w:val="0"/>
                <w:bCs w:val="0"/>
                <w:color w:val="auto"/>
                <w:szCs w:val="21"/>
                <w:highlight w:val="none"/>
              </w:rPr>
            </w:pPr>
            <w:r>
              <w:rPr>
                <w:rFonts w:hint="default" w:ascii="Times New Roman" w:hAnsi="Times New Roman" w:eastAsia="仿宋_GB2312" w:cs="Times New Roman"/>
                <w:b w:val="0"/>
                <w:bCs w:val="0"/>
                <w:color w:val="auto"/>
                <w:sz w:val="21"/>
                <w:szCs w:val="21"/>
                <w:highlight w:val="none"/>
                <w:lang w:eastAsia="zh"/>
                <w14:ligatures w14:val="standardContextual"/>
              </w:rPr>
              <w:t>港口码头</w:t>
            </w:r>
            <w:commentRangeStart w:id="21"/>
            <w:r>
              <w:rPr>
                <w:rFonts w:hint="default" w:ascii="Times New Roman" w:hAnsi="Times New Roman" w:eastAsia="仿宋_GB2312" w:cs="Times New Roman"/>
                <w:b w:val="0"/>
                <w:bCs w:val="0"/>
                <w:color w:val="auto"/>
                <w:sz w:val="21"/>
                <w:szCs w:val="21"/>
                <w:highlight w:val="none"/>
                <w14:ligatures w14:val="standardContextual"/>
              </w:rPr>
              <w:t>建设专项</w:t>
            </w:r>
            <w:r>
              <w:rPr>
                <w:rFonts w:hint="eastAsia" w:ascii="Times New Roman" w:hAnsi="Times New Roman" w:eastAsia="仿宋_GB2312" w:cs="Times New Roman"/>
                <w:b w:val="0"/>
                <w:bCs w:val="0"/>
                <w:color w:val="auto"/>
                <w:sz w:val="21"/>
                <w:szCs w:val="21"/>
                <w:highlight w:val="none"/>
                <w:lang w:eastAsia="zh-CN"/>
                <w14:ligatures w14:val="standardContextual"/>
              </w:rPr>
              <w:t>。</w:t>
            </w:r>
            <w:r>
              <w:rPr>
                <w:rFonts w:hint="default" w:ascii="Times New Roman" w:hAnsi="Times New Roman" w:eastAsia="仿宋_GB2312" w:cs="Times New Roman"/>
                <w:b w:val="0"/>
                <w:bCs w:val="0"/>
                <w:color w:val="auto"/>
                <w:sz w:val="21"/>
                <w:szCs w:val="21"/>
                <w:highlight w:val="none"/>
                <w:lang w:eastAsia="zh"/>
                <w14:ligatures w14:val="standardContextual"/>
              </w:rPr>
              <w:t>佳木斯市桦川港区建设项目、桦川县悦来客运码头及客运场站项目</w:t>
            </w:r>
            <w:r>
              <w:rPr>
                <w:rFonts w:hint="default" w:ascii="Times New Roman" w:hAnsi="Times New Roman" w:eastAsia="仿宋_GB2312" w:cs="Times New Roman"/>
                <w:b w:val="0"/>
                <w:bCs w:val="0"/>
                <w:color w:val="auto"/>
                <w:sz w:val="21"/>
                <w:szCs w:val="21"/>
                <w:highlight w:val="none"/>
                <w14:ligatures w14:val="standardContextual"/>
              </w:rPr>
              <w:t>。</w:t>
            </w:r>
            <w:commentRangeEnd w:id="21"/>
            <w:r>
              <w:rPr>
                <w:rFonts w:hint="default" w:ascii="Times New Roman" w:hAnsi="Times New Roman" w:eastAsia="仿宋_GB2312" w:cs="Times New Roman"/>
                <w:b w:val="0"/>
                <w:bCs w:val="0"/>
                <w:color w:val="auto"/>
                <w:sz w:val="21"/>
                <w:szCs w:val="21"/>
                <w:highlight w:val="none"/>
                <w14:ligatures w14:val="standardContextual"/>
              </w:rPr>
              <w:commentReference w:id="21"/>
            </w:r>
          </w:p>
        </w:tc>
      </w:tr>
    </w:tbl>
    <w:p w14:paraId="5A3F8D4D">
      <w:pPr>
        <w:pStyle w:val="3"/>
        <w:pageBreakBefore w:val="0"/>
        <w:kinsoku/>
        <w:wordWrap/>
        <w:overflowPunct/>
        <w:topLinePunct w:val="0"/>
        <w:autoSpaceDN/>
        <w:bidi w:val="0"/>
        <w:adjustRightInd/>
        <w:spacing w:before="0" w:after="0" w:line="560" w:lineRule="exact"/>
        <w:jc w:val="center"/>
        <w:textAlignment w:val="auto"/>
        <w:rPr>
          <w:rFonts w:hint="default" w:ascii="Times New Roman" w:hAnsi="Times New Roman" w:eastAsia="楷体" w:cs="Times New Roman"/>
          <w:b w:val="0"/>
          <w:bCs/>
          <w:color w:val="auto"/>
          <w:sz w:val="32"/>
          <w:szCs w:val="32"/>
          <w:highlight w:val="none"/>
        </w:rPr>
      </w:pPr>
      <w:bookmarkStart w:id="1277" w:name="_Toc22368"/>
      <w:bookmarkStart w:id="1278" w:name="_Toc15019"/>
      <w:bookmarkStart w:id="1279" w:name="_Toc17398"/>
      <w:bookmarkStart w:id="1280" w:name="_Toc3820"/>
      <w:bookmarkStart w:id="1281" w:name="_Toc27097"/>
      <w:bookmarkStart w:id="1282" w:name="_Toc29432"/>
      <w:bookmarkStart w:id="1283" w:name="_Toc1291"/>
      <w:bookmarkStart w:id="1284" w:name="_Toc3171"/>
      <w:bookmarkStart w:id="1285" w:name="_Toc28900"/>
      <w:bookmarkStart w:id="1286" w:name="_Toc21864"/>
      <w:bookmarkStart w:id="1287" w:name="_Toc30026"/>
      <w:bookmarkStart w:id="1288" w:name="_Toc5177"/>
      <w:r>
        <w:rPr>
          <w:rFonts w:hint="default" w:ascii="Times New Roman" w:hAnsi="Times New Roman" w:eastAsia="楷体" w:cs="Times New Roman"/>
          <w:b w:val="0"/>
          <w:bCs/>
          <w:color w:val="auto"/>
          <w:sz w:val="32"/>
          <w:szCs w:val="32"/>
          <w:highlight w:val="none"/>
        </w:rPr>
        <w:t>第</w:t>
      </w:r>
      <w:r>
        <w:rPr>
          <w:rFonts w:hint="default" w:ascii="Times New Roman" w:hAnsi="Times New Roman" w:eastAsia="楷体" w:cs="Times New Roman"/>
          <w:b w:val="0"/>
          <w:bCs/>
          <w:color w:val="auto"/>
          <w:sz w:val="32"/>
          <w:szCs w:val="32"/>
          <w:highlight w:val="none"/>
          <w:lang w:eastAsia="zh"/>
        </w:rPr>
        <w:t>三</w:t>
      </w:r>
      <w:r>
        <w:rPr>
          <w:rFonts w:hint="default" w:ascii="Times New Roman" w:hAnsi="Times New Roman" w:eastAsia="楷体" w:cs="Times New Roman"/>
          <w:b w:val="0"/>
          <w:bCs/>
          <w:color w:val="auto"/>
          <w:sz w:val="32"/>
          <w:szCs w:val="32"/>
          <w:highlight w:val="none"/>
          <w:lang w:eastAsia="zh"/>
          <w:woUserID w:val="0"/>
        </w:rPr>
        <w:t>章</w:t>
      </w:r>
      <w:r>
        <w:rPr>
          <w:rFonts w:hint="default" w:ascii="Times New Roman" w:hAnsi="Times New Roman" w:eastAsia="楷体" w:cs="Times New Roman"/>
          <w:b w:val="0"/>
          <w:bCs/>
          <w:color w:val="auto"/>
          <w:sz w:val="32"/>
          <w:szCs w:val="32"/>
          <w:highlight w:val="none"/>
        </w:rPr>
        <w:t xml:space="preserve"> 全面打造“宜居”城乡融合共同体</w:t>
      </w:r>
      <w:bookmarkEnd w:id="1277"/>
      <w:bookmarkEnd w:id="1278"/>
      <w:bookmarkEnd w:id="1279"/>
      <w:bookmarkEnd w:id="1280"/>
      <w:bookmarkEnd w:id="1281"/>
      <w:bookmarkEnd w:id="1282"/>
      <w:bookmarkEnd w:id="1283"/>
      <w:bookmarkEnd w:id="1284"/>
      <w:bookmarkEnd w:id="1285"/>
      <w:bookmarkEnd w:id="1286"/>
      <w:bookmarkEnd w:id="1287"/>
      <w:bookmarkEnd w:id="1288"/>
    </w:p>
    <w:p w14:paraId="16581EB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以城乡基础设施互联互通、城乡产业协同发展、城乡公共服务共建共享为重要抓手，加快协调城乡融合发展新样板，全面打造“宜居”城乡融合共同体。</w:t>
      </w:r>
    </w:p>
    <w:p w14:paraId="0CC67630">
      <w:pPr>
        <w:pageBreakBefore w:val="0"/>
        <w:kinsoku/>
        <w:wordWrap/>
        <w:overflowPunct/>
        <w:topLinePunct w:val="0"/>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1289" w:name="_Toc31635"/>
      <w:bookmarkStart w:id="1290" w:name="_Toc5109"/>
      <w:bookmarkStart w:id="1291" w:name="_Toc31255"/>
      <w:bookmarkStart w:id="1292" w:name="_Toc15163"/>
      <w:bookmarkStart w:id="1293" w:name="_Toc24444"/>
      <w:bookmarkStart w:id="1294" w:name="_Toc2076"/>
      <w:bookmarkStart w:id="1295" w:name="_Toc7131"/>
      <w:bookmarkStart w:id="1296" w:name="_Toc29222"/>
      <w:bookmarkStart w:id="1297" w:name="_Toc13896"/>
      <w:r>
        <w:rPr>
          <w:rFonts w:hint="default" w:ascii="Times New Roman" w:hAnsi="Times New Roman" w:eastAsia="仿宋_GB2312" w:cs="Times New Roman"/>
          <w:b w:val="0"/>
          <w:bCs/>
          <w:color w:val="auto"/>
          <w:sz w:val="32"/>
          <w:szCs w:val="32"/>
          <w:highlight w:val="none"/>
          <w:u w:val="none"/>
          <w:lang w:eastAsia="zh" w:bidi="ar"/>
          <w:woUserID w:val="0"/>
        </w:rPr>
        <w:t>第一节</w:t>
      </w:r>
      <w:r>
        <w:rPr>
          <w:rFonts w:hint="default" w:ascii="Times New Roman" w:hAnsi="Times New Roman" w:eastAsia="仿宋_GB2312" w:cs="Times New Roman"/>
          <w:b w:val="0"/>
          <w:bCs/>
          <w:color w:val="auto"/>
          <w:sz w:val="32"/>
          <w:szCs w:val="32"/>
          <w:highlight w:val="none"/>
          <w:u w:val="none"/>
          <w:lang w:eastAsia="zh-CN" w:bidi="ar"/>
          <w:woUserID w:val="0"/>
        </w:rPr>
        <w:t xml:space="preserve"> </w:t>
      </w:r>
      <w:r>
        <w:rPr>
          <w:rFonts w:hint="default" w:ascii="Times New Roman" w:hAnsi="Times New Roman" w:eastAsia="仿宋_GB2312" w:cs="Times New Roman"/>
          <w:b w:val="0"/>
          <w:bCs/>
          <w:color w:val="auto"/>
          <w:sz w:val="32"/>
          <w:szCs w:val="32"/>
          <w:highlight w:val="none"/>
          <w:u w:val="none"/>
          <w:lang w:eastAsia="zh" w:bidi="ar"/>
          <w:woUserID w:val="0"/>
        </w:rPr>
        <w:t>促进城乡基础设施互联互通</w:t>
      </w:r>
      <w:bookmarkEnd w:id="1289"/>
      <w:bookmarkEnd w:id="1290"/>
      <w:bookmarkEnd w:id="1291"/>
      <w:bookmarkEnd w:id="1292"/>
      <w:bookmarkEnd w:id="1293"/>
      <w:bookmarkEnd w:id="1294"/>
      <w:bookmarkEnd w:id="1295"/>
      <w:bookmarkEnd w:id="1296"/>
      <w:bookmarkEnd w:id="1297"/>
    </w:p>
    <w:p w14:paraId="27F8B81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健全有利于城乡基础设施一体化发展的体制机制，把公共基础设施建设重点放在乡村，坚持先建机制、后建工程，推动农村基础设施提档升级，实现城乡基础设施统一规划、统一建设、统一管护。健全城乡基础设施一体化规划机制，以</w:t>
      </w:r>
      <w:r>
        <w:rPr>
          <w:rFonts w:hint="default" w:ascii="Times New Roman" w:hAnsi="Times New Roman" w:eastAsia="仿宋_GB2312" w:cs="Times New Roman"/>
          <w:b w:val="0"/>
          <w:bCs/>
          <w:color w:val="auto"/>
          <w:sz w:val="32"/>
          <w:szCs w:val="32"/>
          <w:highlight w:val="none"/>
          <w:lang w:val="en-US" w:eastAsia="zh-CN"/>
        </w:rPr>
        <w:t>县</w:t>
      </w:r>
      <w:r>
        <w:rPr>
          <w:rFonts w:hint="default" w:ascii="Times New Roman" w:hAnsi="Times New Roman" w:eastAsia="仿宋_GB2312" w:cs="Times New Roman"/>
          <w:b w:val="0"/>
          <w:bCs/>
          <w:color w:val="auto"/>
          <w:sz w:val="32"/>
          <w:szCs w:val="32"/>
          <w:highlight w:val="none"/>
          <w:lang w:eastAsia="zh"/>
        </w:rPr>
        <w:t>域为整体，统筹规划城乡基础设施，统筹布局道路、供水、供电、供热、排水、信息、广播电视、防洪和垃圾污水处理等设施。完善城乡基础设施一体化建设机制，实行分级分类投入，加大政府对乡村道路、水利等公益性强、经济性差的设施建设投入，积极引导社会资本参与乡村供水、垃圾污水处理、农贸市场、物流设施等建设。规划建设重要市政公用设施，推动向城市郊区乡村、工矿附近乡村和规模较大中心镇延伸。建设改造一批新能源充电桩和农电线路，布局冷链仓储节点，打造15分钟城乡服务圈。加大对乡镇和农村地区体育设施建设投入力度，实现公共体育设施均衡布局与全面覆盖。加快城镇基础设施向周边农村地区延伸覆盖，完善水源地保护设施与输水管网，深化城乡交通运输、供排水一体化发展。升级改造农村电网，推进城乡道路互联互通，硬化通村通组公路，建设产业路与旅游路，全面改善交通基础设施条件。</w:t>
      </w:r>
    </w:p>
    <w:p w14:paraId="07B9648E">
      <w:pPr>
        <w:pageBreakBefore w:val="0"/>
        <w:kinsoku/>
        <w:wordWrap/>
        <w:overflowPunct/>
        <w:topLinePunct w:val="0"/>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1298" w:name="_Toc2903"/>
      <w:bookmarkStart w:id="1299" w:name="_Toc2014"/>
      <w:bookmarkStart w:id="1300" w:name="_Toc1448"/>
      <w:bookmarkStart w:id="1301" w:name="_Toc18255"/>
      <w:bookmarkStart w:id="1302" w:name="_Toc12653"/>
      <w:bookmarkStart w:id="1303" w:name="_Toc12555"/>
      <w:bookmarkStart w:id="1304" w:name="_Toc10614"/>
      <w:bookmarkStart w:id="1305" w:name="_Toc10184"/>
      <w:bookmarkStart w:id="1306" w:name="_Toc21034"/>
      <w:r>
        <w:rPr>
          <w:rFonts w:hint="default" w:ascii="Times New Roman" w:hAnsi="Times New Roman" w:eastAsia="仿宋_GB2312" w:cs="Times New Roman"/>
          <w:b w:val="0"/>
          <w:bCs/>
          <w:color w:val="auto"/>
          <w:sz w:val="32"/>
          <w:szCs w:val="32"/>
          <w:highlight w:val="none"/>
          <w:u w:val="none"/>
          <w:lang w:eastAsia="zh" w:bidi="ar"/>
          <w:woUserID w:val="0"/>
        </w:rPr>
        <w:t>第二节</w:t>
      </w:r>
      <w:r>
        <w:rPr>
          <w:rFonts w:hint="default" w:ascii="Times New Roman" w:hAnsi="Times New Roman" w:eastAsia="仿宋_GB2312" w:cs="Times New Roman"/>
          <w:b w:val="0"/>
          <w:bCs/>
          <w:color w:val="auto"/>
          <w:sz w:val="32"/>
          <w:szCs w:val="32"/>
          <w:highlight w:val="none"/>
          <w:u w:val="none"/>
          <w:lang w:eastAsia="zh-CN" w:bidi="ar"/>
          <w:woUserID w:val="0"/>
        </w:rPr>
        <w:t xml:space="preserve"> </w:t>
      </w:r>
      <w:r>
        <w:rPr>
          <w:rFonts w:hint="default" w:ascii="Times New Roman" w:hAnsi="Times New Roman" w:eastAsia="仿宋_GB2312" w:cs="Times New Roman"/>
          <w:b w:val="0"/>
          <w:bCs/>
          <w:color w:val="auto"/>
          <w:sz w:val="32"/>
          <w:szCs w:val="32"/>
          <w:highlight w:val="none"/>
          <w:u w:val="none"/>
          <w:lang w:eastAsia="zh" w:bidi="ar"/>
          <w:woUserID w:val="0"/>
        </w:rPr>
        <w:t>构建城乡产业协同发展体系</w:t>
      </w:r>
      <w:bookmarkEnd w:id="1298"/>
      <w:bookmarkEnd w:id="1299"/>
      <w:bookmarkEnd w:id="1300"/>
      <w:bookmarkEnd w:id="1301"/>
      <w:bookmarkEnd w:id="1302"/>
      <w:bookmarkEnd w:id="1303"/>
      <w:bookmarkEnd w:id="1304"/>
      <w:bookmarkEnd w:id="1305"/>
      <w:bookmarkEnd w:id="1306"/>
    </w:p>
    <w:p w14:paraId="42FA1828">
      <w:pPr>
        <w:pageBreakBefore w:val="0"/>
        <w:widowControl/>
        <w:kinsoku/>
        <w:wordWrap/>
        <w:overflowPunct/>
        <w:topLinePunct w:val="0"/>
        <w:autoSpaceDE w:val="0"/>
        <w:autoSpaceDN/>
        <w:bidi w:val="0"/>
        <w:adjustRightInd/>
        <w:spacing w:line="560" w:lineRule="exact"/>
        <w:ind w:firstLine="640" w:firstLineChars="200"/>
        <w:textAlignment w:val="auto"/>
        <w:outlineLvl w:val="9"/>
        <w:rPr>
          <w:rFonts w:hint="default" w:ascii="Times New Roman" w:hAnsi="Times New Roman" w:eastAsia="仿宋" w:cs="Times New Roman"/>
          <w:b w:val="0"/>
          <w:bCs/>
          <w:color w:val="auto"/>
          <w:sz w:val="32"/>
          <w:szCs w:val="32"/>
          <w:highlight w:val="none"/>
          <w:lang w:bidi="ar"/>
        </w:rPr>
      </w:pPr>
      <w:r>
        <w:rPr>
          <w:rFonts w:hint="default" w:ascii="Times New Roman" w:hAnsi="Times New Roman" w:eastAsia="仿宋_GB2312" w:cs="Times New Roman"/>
          <w:b w:val="0"/>
          <w:bCs/>
          <w:color w:val="auto"/>
          <w:sz w:val="32"/>
          <w:szCs w:val="32"/>
          <w:highlight w:val="none"/>
          <w:lang w:eastAsia="zh"/>
        </w:rPr>
        <w:t>推动公共服务精准匹配产业需求，在“一区两园”等区域嵌入研发孵化、人才公寓、商业综合体等基础设施。打破“工业孤岛”困境，布局连接产业区与居住区等绿道、公交廊道等基础设施。控制工业用地低效扩张，加强建设用地保障，允许“研发+生产+配套”复合开发。支持龙头企业搭建人才供需平台，开展“平台+个人”新型人才共享模式。加强农村二三产业人才培养，组织开展订单式、定向定岗式农村电商技能培训，培育壮大农村电商市场主体。组织评选乡村振兴人才。积极培育壮大劳务品牌，加强劳务品牌技能带头人培养。发展县域乡村富民产业，完善产业联农带农机制，让农民更多分享产业增值收益。落实农民工稳岗就业政策，加快推进以工代赈工程项目，促进农民就地就业增收，确保农村居民人均可支配收入增速高于城镇增速，城乡居民收入比逐步缩小</w:t>
      </w:r>
      <w:r>
        <w:rPr>
          <w:rFonts w:hint="default" w:ascii="Times New Roman" w:hAnsi="Times New Roman" w:eastAsia="仿宋_GB2312" w:cs="Times New Roman"/>
          <w:b w:val="0"/>
          <w:bCs/>
          <w:color w:val="auto"/>
          <w:sz w:val="32"/>
          <w:szCs w:val="32"/>
          <w:highlight w:val="none"/>
          <w:lang w:eastAsia="zh-CN"/>
        </w:rPr>
        <w:t>。</w:t>
      </w:r>
    </w:p>
    <w:p w14:paraId="0800E4C2">
      <w:pPr>
        <w:pageBreakBefore w:val="0"/>
        <w:kinsoku/>
        <w:wordWrap/>
        <w:overflowPunct/>
        <w:topLinePunct w:val="0"/>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1307" w:name="_Toc17259"/>
      <w:bookmarkStart w:id="1308" w:name="_Toc22799"/>
      <w:bookmarkStart w:id="1309" w:name="_Toc2457"/>
      <w:bookmarkStart w:id="1310" w:name="_Toc19028"/>
      <w:bookmarkStart w:id="1311" w:name="_Toc15681"/>
      <w:bookmarkStart w:id="1312" w:name="_Toc20644"/>
      <w:bookmarkStart w:id="1313" w:name="_Toc11468"/>
      <w:bookmarkStart w:id="1314" w:name="_Toc26094"/>
      <w:bookmarkStart w:id="1315" w:name="_Toc7334"/>
      <w:r>
        <w:rPr>
          <w:rFonts w:hint="default" w:ascii="Times New Roman" w:hAnsi="Times New Roman" w:eastAsia="仿宋_GB2312" w:cs="Times New Roman"/>
          <w:b w:val="0"/>
          <w:bCs/>
          <w:color w:val="auto"/>
          <w:sz w:val="32"/>
          <w:szCs w:val="32"/>
          <w:highlight w:val="none"/>
          <w:u w:val="none"/>
          <w:lang w:eastAsia="zh" w:bidi="ar"/>
          <w:woUserID w:val="0"/>
        </w:rPr>
        <w:t>第三节</w:t>
      </w:r>
      <w:r>
        <w:rPr>
          <w:rFonts w:hint="default" w:ascii="Times New Roman" w:hAnsi="Times New Roman" w:eastAsia="仿宋_GB2312" w:cs="Times New Roman"/>
          <w:b w:val="0"/>
          <w:bCs/>
          <w:color w:val="auto"/>
          <w:sz w:val="32"/>
          <w:szCs w:val="32"/>
          <w:highlight w:val="none"/>
          <w:u w:val="none"/>
          <w:lang w:eastAsia="zh-CN" w:bidi="ar"/>
          <w:woUserID w:val="0"/>
        </w:rPr>
        <w:t xml:space="preserve"> </w:t>
      </w:r>
      <w:r>
        <w:rPr>
          <w:rFonts w:hint="default" w:ascii="Times New Roman" w:hAnsi="Times New Roman" w:eastAsia="仿宋_GB2312" w:cs="Times New Roman"/>
          <w:b w:val="0"/>
          <w:bCs/>
          <w:color w:val="auto"/>
          <w:sz w:val="32"/>
          <w:szCs w:val="32"/>
          <w:highlight w:val="none"/>
          <w:u w:val="none"/>
          <w:lang w:eastAsia="zh" w:bidi="ar"/>
          <w:woUserID w:val="0"/>
        </w:rPr>
        <w:t>推进城乡公共服务共建共享</w:t>
      </w:r>
      <w:bookmarkEnd w:id="1307"/>
      <w:bookmarkEnd w:id="1308"/>
      <w:bookmarkEnd w:id="1309"/>
      <w:bookmarkEnd w:id="1310"/>
      <w:bookmarkEnd w:id="1311"/>
      <w:bookmarkEnd w:id="1312"/>
      <w:bookmarkEnd w:id="1313"/>
      <w:bookmarkEnd w:id="1314"/>
      <w:bookmarkEnd w:id="1315"/>
    </w:p>
    <w:p w14:paraId="55D9741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建立健全有利于城乡基本公共服务普惠共享的体制机制，推动公共服务向农村延伸、社会事业向农村覆盖，健全全民覆盖、普惠共享、城乡一体的基本公共服务体系，逐步推进城乡基本公共服务标准统一、制度并轨。建立城乡教育资源均衡配置机制，优先发展农村教育事业，深化县域内城乡义务教育一体化改革，落实城乡义务教育经费保障机制，推进县域内义务教育优质均衡发展。健全乡村医疗卫生服务体系，全面建立分级诊疗制度，鼓励县医院与乡镇卫生院建立医共体，实现城乡基本公共卫生服务均等化。健全城乡公共文化服务体系，统筹城乡公共文化设施布局、服务提供、队伍建设，推动文化资源重点向乡村倾斜，提高服务的覆盖面和适用性。健全农村社会保障制度，完善城乡居民基本养老保险制度，落实基本养老保险待遇确定和基础养老金标准正常调整机制。统筹城乡社会救助体系，完善最低生活保障制度，做好城乡社会救助兜底工作。</w:t>
      </w:r>
    </w:p>
    <w:p w14:paraId="43855406">
      <w:pPr>
        <w:pStyle w:val="3"/>
        <w:keepNext/>
        <w:keepLines/>
        <w:pageBreakBefore w:val="0"/>
        <w:kinsoku/>
        <w:wordWrap/>
        <w:overflowPunct/>
        <w:topLinePunct w:val="0"/>
        <w:autoSpaceDN/>
        <w:bidi w:val="0"/>
        <w:adjustRightInd/>
        <w:spacing w:before="0" w:after="0" w:line="560" w:lineRule="exact"/>
        <w:ind w:firstLine="0" w:firstLineChars="0"/>
        <w:jc w:val="center"/>
        <w:textAlignment w:val="auto"/>
        <w:outlineLvl w:val="1"/>
        <w:rPr>
          <w:rFonts w:hint="default" w:ascii="Times New Roman" w:hAnsi="Times New Roman" w:eastAsia="楷体" w:cs="Times New Roman"/>
          <w:b w:val="0"/>
          <w:bCs/>
          <w:color w:val="auto"/>
          <w:sz w:val="32"/>
          <w:szCs w:val="32"/>
          <w:highlight w:val="none"/>
          <w14:ligatures w14:val="standardContextual"/>
        </w:rPr>
      </w:pPr>
      <w:bookmarkStart w:id="1316" w:name="_Toc5992"/>
      <w:bookmarkStart w:id="1317" w:name="_Toc2114"/>
      <w:bookmarkStart w:id="1318" w:name="_Toc12645"/>
      <w:bookmarkStart w:id="1319" w:name="_Toc1683"/>
      <w:bookmarkStart w:id="1320" w:name="_Toc31388"/>
      <w:bookmarkStart w:id="1321" w:name="_Toc12742"/>
      <w:bookmarkStart w:id="1322" w:name="_Toc15380"/>
      <w:bookmarkStart w:id="1323" w:name="_Toc7928"/>
      <w:bookmarkStart w:id="1324" w:name="_Toc11753"/>
      <w:bookmarkStart w:id="1325" w:name="_Toc12583"/>
      <w:bookmarkStart w:id="1326" w:name="_Toc5058"/>
      <w:bookmarkStart w:id="1327" w:name="_Toc19336"/>
      <w:r>
        <w:rPr>
          <w:rFonts w:hint="default" w:ascii="Times New Roman" w:hAnsi="Times New Roman" w:eastAsia="楷体" w:cs="Times New Roman"/>
          <w:b w:val="0"/>
          <w:bCs/>
          <w:color w:val="auto"/>
          <w:sz w:val="32"/>
          <w:szCs w:val="32"/>
          <w:highlight w:val="none"/>
          <w14:ligatures w14:val="standardContextual"/>
        </w:rPr>
        <w:t>第</w:t>
      </w:r>
      <w:r>
        <w:rPr>
          <w:rFonts w:hint="default" w:ascii="Times New Roman" w:hAnsi="Times New Roman" w:eastAsia="楷体" w:cs="Times New Roman"/>
          <w:b w:val="0"/>
          <w:bCs/>
          <w:color w:val="auto"/>
          <w:sz w:val="32"/>
          <w:szCs w:val="32"/>
          <w:highlight w:val="none"/>
          <w:lang w:eastAsia="zh-CN"/>
          <w14:ligatures w14:val="standardContextual"/>
        </w:rPr>
        <w:t>四</w:t>
      </w:r>
      <w:r>
        <w:rPr>
          <w:rFonts w:hint="default" w:ascii="Times New Roman" w:hAnsi="Times New Roman" w:eastAsia="楷体" w:cs="Times New Roman"/>
          <w:b w:val="0"/>
          <w:bCs/>
          <w:color w:val="auto"/>
          <w:sz w:val="32"/>
          <w:szCs w:val="32"/>
          <w:highlight w:val="none"/>
          <w:lang w:eastAsia="zh"/>
          <w14:ligatures w14:val="standardContextual"/>
          <w:woUserID w:val="0"/>
        </w:rPr>
        <w:t>章</w:t>
      </w:r>
      <w:r>
        <w:rPr>
          <w:rFonts w:hint="default" w:ascii="Times New Roman" w:hAnsi="Times New Roman" w:eastAsia="楷体" w:cs="Times New Roman"/>
          <w:b w:val="0"/>
          <w:bCs/>
          <w:color w:val="auto"/>
          <w:sz w:val="32"/>
          <w:szCs w:val="32"/>
          <w:highlight w:val="none"/>
          <w14:ligatures w14:val="standardContextual"/>
        </w:rPr>
        <w:t xml:space="preserve"> 构建“一主三带”的国土空间开发格局</w:t>
      </w:r>
      <w:bookmarkEnd w:id="1191"/>
      <w:bookmarkEnd w:id="1192"/>
      <w:bookmarkEnd w:id="1316"/>
      <w:bookmarkEnd w:id="1317"/>
      <w:bookmarkEnd w:id="1318"/>
      <w:bookmarkEnd w:id="1319"/>
      <w:bookmarkEnd w:id="1320"/>
      <w:bookmarkEnd w:id="1321"/>
      <w:bookmarkEnd w:id="1322"/>
      <w:bookmarkEnd w:id="1323"/>
      <w:bookmarkEnd w:id="1324"/>
      <w:bookmarkEnd w:id="1325"/>
      <w:bookmarkEnd w:id="1326"/>
      <w:bookmarkEnd w:id="1327"/>
    </w:p>
    <w:p w14:paraId="3F58A5C2">
      <w:pPr>
        <w:pageBreakBefore w:val="0"/>
        <w:widowControl/>
        <w:kinsoku/>
        <w:wordWrap/>
        <w:overflowPunct/>
        <w:topLinePunct w:val="0"/>
        <w:autoSpaceDE w:val="0"/>
        <w:autoSpaceDN/>
        <w:bidi w:val="0"/>
        <w:adjustRightInd/>
        <w:spacing w:line="560" w:lineRule="exact"/>
        <w:ind w:firstLine="640" w:firstLineChars="200"/>
        <w:textAlignment w:val="auto"/>
        <w:outlineLvl w:val="9"/>
        <w:rPr>
          <w:rFonts w:hint="default" w:ascii="Times New Roman" w:hAnsi="Times New Roman" w:eastAsia="仿宋_GB2312" w:cs="Times New Roman"/>
          <w:b w:val="0"/>
          <w:bCs/>
          <w:color w:val="auto"/>
          <w:sz w:val="32"/>
          <w:szCs w:val="32"/>
          <w:highlight w:val="none"/>
          <w:u w:val="none"/>
          <w:lang w:eastAsia="zh" w:bidi="ar"/>
          <w:woUserID w:val="0"/>
        </w:rPr>
      </w:pPr>
      <w:bookmarkStart w:id="1328" w:name="_Toc1174545900"/>
      <w:bookmarkStart w:id="1329" w:name="_Toc932455997"/>
      <w:r>
        <w:rPr>
          <w:rFonts w:hint="default" w:ascii="Times New Roman" w:hAnsi="Times New Roman" w:eastAsia="仿宋_GB2312" w:cs="Times New Roman"/>
          <w:b w:val="0"/>
          <w:bCs/>
          <w:color w:val="auto"/>
          <w:sz w:val="32"/>
          <w:szCs w:val="32"/>
          <w:highlight w:val="none"/>
          <w:lang w:eastAsia="zh"/>
        </w:rPr>
        <w:t>高质量打造悦来建设城区主中心，打造特色农业产业、产城融合、生态文旅发展带，构建“一主三带”的国土空间开发格局。</w:t>
      </w:r>
      <w:bookmarkStart w:id="1330" w:name="_Toc11984"/>
      <w:bookmarkStart w:id="1331" w:name="_Toc32555"/>
      <w:bookmarkStart w:id="1332" w:name="_Toc5112"/>
      <w:bookmarkStart w:id="1333" w:name="_Toc27218"/>
      <w:bookmarkStart w:id="1334" w:name="_Toc28849"/>
      <w:bookmarkStart w:id="1335" w:name="_Toc28173"/>
      <w:bookmarkStart w:id="1336" w:name="_Toc14882"/>
      <w:bookmarkStart w:id="1337" w:name="_Toc18542"/>
      <w:bookmarkStart w:id="1338" w:name="_Toc3442"/>
    </w:p>
    <w:p w14:paraId="15099582">
      <w:pPr>
        <w:pageBreakBefore w:val="0"/>
        <w:kinsoku/>
        <w:wordWrap/>
        <w:overflowPunct/>
        <w:topLinePunct w:val="0"/>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r>
        <w:rPr>
          <w:rFonts w:hint="default" w:ascii="Times New Roman" w:hAnsi="Times New Roman" w:eastAsia="仿宋_GB2312" w:cs="Times New Roman"/>
          <w:b w:val="0"/>
          <w:bCs/>
          <w:color w:val="auto"/>
          <w:sz w:val="32"/>
          <w:szCs w:val="32"/>
          <w:highlight w:val="none"/>
          <w:u w:val="none"/>
          <w:lang w:eastAsia="zh" w:bidi="ar"/>
          <w:woUserID w:val="0"/>
        </w:rPr>
        <w:t>第一节</w:t>
      </w:r>
      <w:r>
        <w:rPr>
          <w:rFonts w:hint="default" w:ascii="Times New Roman" w:hAnsi="Times New Roman" w:eastAsia="仿宋_GB2312" w:cs="Times New Roman"/>
          <w:b w:val="0"/>
          <w:bCs/>
          <w:color w:val="auto"/>
          <w:sz w:val="32"/>
          <w:szCs w:val="32"/>
          <w:highlight w:val="none"/>
          <w:u w:val="none"/>
          <w:lang w:eastAsia="zh-CN" w:bidi="ar"/>
          <w:woUserID w:val="0"/>
        </w:rPr>
        <w:t xml:space="preserve"> </w:t>
      </w:r>
      <w:r>
        <w:rPr>
          <w:rFonts w:hint="default" w:ascii="Times New Roman" w:hAnsi="Times New Roman" w:eastAsia="仿宋_GB2312" w:cs="Times New Roman"/>
          <w:b w:val="0"/>
          <w:bCs/>
          <w:color w:val="auto"/>
          <w:sz w:val="32"/>
          <w:szCs w:val="32"/>
          <w:highlight w:val="none"/>
          <w:u w:val="none"/>
          <w:lang w:eastAsia="zh" w:bidi="ar"/>
          <w:woUserID w:val="0"/>
        </w:rPr>
        <w:t>高质量打造悦来建设城区主中心</w:t>
      </w:r>
      <w:bookmarkEnd w:id="1328"/>
      <w:bookmarkEnd w:id="1329"/>
      <w:bookmarkEnd w:id="1330"/>
      <w:bookmarkEnd w:id="1331"/>
      <w:bookmarkEnd w:id="1332"/>
      <w:bookmarkEnd w:id="1333"/>
      <w:bookmarkEnd w:id="1334"/>
      <w:bookmarkEnd w:id="1335"/>
      <w:bookmarkEnd w:id="1336"/>
      <w:bookmarkEnd w:id="1337"/>
      <w:bookmarkEnd w:id="1338"/>
    </w:p>
    <w:p w14:paraId="70D8C6D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全力推动悦来建设成为城区主中心。根据悦来镇“一心、一轴、一带、三区”的产业空间布局和“一带两轴、一网两区”的空间格局规划，加强基础设施建设，升级改扩建G221桦川至集贤界段国道，提升对外交通通达能力。完善城区基本公共服务网络，构建高水平文化服务体系，加强医疗卫生服务和区域养老体系建设。依托悦来镇的农业基础和商贸物流优势，打造城区生产性服务中心。加强与周边地区的合作与联动，将悦来镇建设成为全县政治、经济、文化、教育、信息、服务中心，辐射带动周边乡镇共同发展，提升桦川县整体竞争力。</w:t>
      </w:r>
    </w:p>
    <w:p w14:paraId="7AECFA3B">
      <w:pPr>
        <w:pageBreakBefore w:val="0"/>
        <w:kinsoku/>
        <w:wordWrap/>
        <w:overflowPunct/>
        <w:topLinePunct w:val="0"/>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1339" w:name="_Toc5427"/>
      <w:bookmarkStart w:id="1340" w:name="_Toc6850"/>
      <w:bookmarkStart w:id="1341" w:name="_Toc31520"/>
      <w:bookmarkStart w:id="1342" w:name="_Toc1324458149"/>
      <w:bookmarkStart w:id="1343" w:name="_Toc243182530"/>
      <w:bookmarkStart w:id="1344" w:name="_Toc19220"/>
      <w:bookmarkStart w:id="1345" w:name="_Toc3724"/>
      <w:bookmarkStart w:id="1346" w:name="_Toc7585"/>
      <w:bookmarkStart w:id="1347" w:name="_Toc19389"/>
      <w:bookmarkStart w:id="1348" w:name="_Toc1251"/>
      <w:bookmarkStart w:id="1349" w:name="_Toc4022"/>
      <w:r>
        <w:rPr>
          <w:rFonts w:hint="default" w:ascii="Times New Roman" w:hAnsi="Times New Roman" w:eastAsia="仿宋_GB2312" w:cs="Times New Roman"/>
          <w:b w:val="0"/>
          <w:bCs/>
          <w:color w:val="auto"/>
          <w:sz w:val="32"/>
          <w:szCs w:val="32"/>
          <w:highlight w:val="none"/>
          <w:u w:val="none"/>
          <w:lang w:eastAsia="zh" w:bidi="ar"/>
          <w:woUserID w:val="0"/>
        </w:rPr>
        <w:t>第二节</w:t>
      </w:r>
      <w:r>
        <w:rPr>
          <w:rFonts w:hint="default" w:ascii="Times New Roman" w:hAnsi="Times New Roman" w:eastAsia="仿宋_GB2312" w:cs="Times New Roman"/>
          <w:b w:val="0"/>
          <w:bCs/>
          <w:color w:val="auto"/>
          <w:sz w:val="32"/>
          <w:szCs w:val="32"/>
          <w:highlight w:val="none"/>
          <w:u w:val="none"/>
          <w:lang w:eastAsia="zh-CN" w:bidi="ar"/>
          <w:woUserID w:val="0"/>
        </w:rPr>
        <w:t xml:space="preserve"> </w:t>
      </w:r>
      <w:r>
        <w:rPr>
          <w:rFonts w:hint="default" w:ascii="Times New Roman" w:hAnsi="Times New Roman" w:eastAsia="仿宋_GB2312" w:cs="Times New Roman"/>
          <w:b w:val="0"/>
          <w:bCs/>
          <w:color w:val="auto"/>
          <w:sz w:val="32"/>
          <w:szCs w:val="32"/>
          <w:highlight w:val="none"/>
          <w:u w:val="none"/>
          <w:lang w:eastAsia="zh" w:bidi="ar"/>
          <w:woUserID w:val="0"/>
        </w:rPr>
        <w:t>拓展建设三个发展带</w:t>
      </w:r>
      <w:bookmarkEnd w:id="1339"/>
      <w:bookmarkEnd w:id="1340"/>
      <w:bookmarkEnd w:id="1341"/>
      <w:bookmarkEnd w:id="1342"/>
      <w:bookmarkEnd w:id="1343"/>
      <w:bookmarkEnd w:id="1344"/>
      <w:bookmarkEnd w:id="1345"/>
      <w:bookmarkEnd w:id="1346"/>
      <w:bookmarkEnd w:id="1347"/>
      <w:bookmarkEnd w:id="1348"/>
      <w:bookmarkEnd w:id="1349"/>
    </w:p>
    <w:p w14:paraId="28289E3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围绕“强农业、优产城、兴文旅”总体方向，统筹耕地、产业、生态、文化等核心资源，通过差异化定位、联动化推进，构建覆盖城乡、衔接全域的三个发展带。打造特色农业产业发展带，以水稻为核心，以畜禽、玉米为两翼，以果蔬、中草药、大豆等多个农产品为集成点，打造“一核引领、两翼带动、多点集成”的农产品加工产业布局。依托国家一类革命老区和英雄故里的深厚红色底蕴，创新“红色+”主题，将东北抗联文化、民族农旅产业、美丽宜居生态等本地优势有效融合，重点打造四马架镇、星火朝鲜族乡、悦来镇等示范点，打造红色农旅文企融合乡村振兴示范区，辐射带动周边乡村发展农业产业。构建产城融合发展带，以悦来镇为核心，加强与苏家店镇、创业乡的产业协作，形成集党建引领、人才振兴、特色产业于一体的优势产业发展示范区。完善城市基础设施和公共服务，吸引产业集聚和人口流入，推动产业发展与城市建设相互促进、协同发展。充分发挥悦来镇作为佳木斯市产业协作发展卫星城作用，加强与佳木斯市区的产业对接和融合，提升桦川产业竞争力。建设生态文旅发展带，依托大森林、大湿地、大平原、大冰雪等生态资源，以星火朝鲜族乡为中心，打造集民族融合、红色文旅、生态环境于一体的精品农旅文融合发展示范区。加强对森林公园、星火旅游区、沿江公园和车轱辘泡湿地等生态资源景观的保护和开发，建设生态环境教育基地，发展生态旅游、红色旅游、民俗旅游等，推动生态文旅产业高质量发展。</w:t>
      </w:r>
    </w:p>
    <w:p w14:paraId="0710EB23">
      <w:pPr>
        <w:pStyle w:val="3"/>
        <w:pageBreakBefore w:val="0"/>
        <w:kinsoku/>
        <w:wordWrap/>
        <w:overflowPunct/>
        <w:topLinePunct w:val="0"/>
        <w:autoSpaceDN/>
        <w:bidi w:val="0"/>
        <w:adjustRightInd/>
        <w:spacing w:before="0" w:after="0" w:line="560" w:lineRule="exact"/>
        <w:ind w:firstLine="0" w:firstLineChars="0"/>
        <w:jc w:val="center"/>
        <w:textAlignment w:val="auto"/>
        <w:rPr>
          <w:rFonts w:hint="default" w:ascii="Times New Roman" w:hAnsi="Times New Roman" w:eastAsia="仿宋" w:cs="Times New Roman"/>
          <w:b w:val="0"/>
          <w:bCs/>
          <w:color w:val="auto"/>
          <w:sz w:val="32"/>
          <w:szCs w:val="32"/>
          <w:highlight w:val="none"/>
          <w:u w:val="none"/>
          <w:lang w:eastAsia="zh" w:bidi="ar"/>
          <w14:ligatures w14:val="none"/>
        </w:rPr>
      </w:pPr>
      <w:bookmarkStart w:id="1350" w:name="_Toc2499"/>
      <w:bookmarkStart w:id="1351" w:name="_Toc6046"/>
      <w:bookmarkStart w:id="1352" w:name="_Toc6763"/>
      <w:bookmarkStart w:id="1353" w:name="_Toc1206282201"/>
      <w:bookmarkStart w:id="1354" w:name="_Toc10374"/>
      <w:bookmarkStart w:id="1355" w:name="_Toc28893"/>
      <w:bookmarkStart w:id="1356" w:name="_Toc16304"/>
      <w:bookmarkStart w:id="1357" w:name="_Toc3098"/>
      <w:bookmarkStart w:id="1358" w:name="_Toc18133"/>
      <w:bookmarkStart w:id="1359" w:name="_Toc1279"/>
      <w:bookmarkStart w:id="1360" w:name="_Toc9375"/>
      <w:bookmarkStart w:id="1361" w:name="_Toc20882"/>
      <w:bookmarkStart w:id="1362" w:name="_Toc32572"/>
      <w:bookmarkStart w:id="1363" w:name="_Toc1898495859"/>
      <w:r>
        <w:rPr>
          <w:rFonts w:hint="default" w:ascii="Times New Roman" w:hAnsi="Times New Roman" w:eastAsia="楷体" w:cs="Times New Roman"/>
          <w:b w:val="0"/>
          <w:bCs/>
          <w:color w:val="auto"/>
          <w:sz w:val="32"/>
          <w:szCs w:val="32"/>
          <w:highlight w:val="none"/>
          <w14:ligatures w14:val="standardContextual"/>
        </w:rPr>
        <w:t>第</w:t>
      </w:r>
      <w:r>
        <w:rPr>
          <w:rFonts w:hint="default" w:ascii="Times New Roman" w:hAnsi="Times New Roman" w:eastAsia="楷体" w:cs="Times New Roman"/>
          <w:b w:val="0"/>
          <w:bCs/>
          <w:color w:val="auto"/>
          <w:sz w:val="32"/>
          <w:szCs w:val="32"/>
          <w:highlight w:val="none"/>
          <w:lang w:eastAsia="zh"/>
          <w14:ligatures w14:val="standardContextual"/>
        </w:rPr>
        <w:t>五</w:t>
      </w:r>
      <w:r>
        <w:rPr>
          <w:rFonts w:hint="default" w:ascii="Times New Roman" w:hAnsi="Times New Roman" w:eastAsia="楷体" w:cs="Times New Roman"/>
          <w:b w:val="0"/>
          <w:bCs/>
          <w:color w:val="auto"/>
          <w:sz w:val="32"/>
          <w:szCs w:val="32"/>
          <w:highlight w:val="none"/>
          <w:lang w:eastAsia="zh"/>
          <w14:ligatures w14:val="standardContextual"/>
          <w:woUserID w:val="0"/>
        </w:rPr>
        <w:t>章</w:t>
      </w:r>
      <w:r>
        <w:rPr>
          <w:rFonts w:hint="default" w:ascii="Times New Roman" w:hAnsi="Times New Roman" w:eastAsia="楷体" w:cs="Times New Roman"/>
          <w:b w:val="0"/>
          <w:bCs/>
          <w:color w:val="auto"/>
          <w:sz w:val="32"/>
          <w:szCs w:val="32"/>
          <w:highlight w:val="none"/>
          <w14:ligatures w14:val="standardContextual"/>
        </w:rPr>
        <w:t xml:space="preserve"> 实施“</w:t>
      </w:r>
      <w:r>
        <w:rPr>
          <w:rFonts w:hint="default" w:ascii="Times New Roman" w:hAnsi="Times New Roman" w:eastAsia="楷体" w:cs="Times New Roman"/>
          <w:b w:val="0"/>
          <w:bCs/>
          <w:color w:val="auto"/>
          <w:sz w:val="32"/>
          <w:szCs w:val="32"/>
          <w:highlight w:val="none"/>
          <w:lang w:eastAsia="zh"/>
          <w14:ligatures w14:val="standardContextual"/>
        </w:rPr>
        <w:t>两</w:t>
      </w:r>
      <w:r>
        <w:rPr>
          <w:rFonts w:hint="default" w:ascii="Times New Roman" w:hAnsi="Times New Roman" w:eastAsia="楷体" w:cs="Times New Roman"/>
          <w:b w:val="0"/>
          <w:bCs/>
          <w:color w:val="auto"/>
          <w:sz w:val="32"/>
          <w:szCs w:val="32"/>
          <w:highlight w:val="none"/>
          <w14:ligatures w14:val="standardContextual"/>
        </w:rPr>
        <w:t>个联动”的空间优化策略</w:t>
      </w:r>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p>
    <w:p w14:paraId="40038151">
      <w:pPr>
        <w:pageBreakBefore w:val="0"/>
        <w:kinsoku/>
        <w:wordWrap/>
        <w:overflowPunct/>
        <w:topLinePunct w:val="0"/>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1364" w:name="_Toc30237"/>
      <w:bookmarkStart w:id="1365" w:name="_Toc8411"/>
      <w:bookmarkStart w:id="1366" w:name="_Toc276427404"/>
      <w:bookmarkStart w:id="1367" w:name="_Toc21618"/>
      <w:bookmarkStart w:id="1368" w:name="_Toc5052"/>
      <w:bookmarkStart w:id="1369" w:name="_Toc3841"/>
      <w:bookmarkStart w:id="1370" w:name="_Toc8721"/>
      <w:bookmarkStart w:id="1371" w:name="_Toc1105059110"/>
      <w:bookmarkStart w:id="1372" w:name="_Toc11646"/>
      <w:bookmarkStart w:id="1373" w:name="_Toc4503"/>
      <w:bookmarkStart w:id="1374" w:name="_Toc23815"/>
      <w:r>
        <w:rPr>
          <w:rFonts w:hint="default" w:ascii="Times New Roman" w:hAnsi="Times New Roman" w:eastAsia="仿宋_GB2312" w:cs="Times New Roman"/>
          <w:b w:val="0"/>
          <w:bCs/>
          <w:color w:val="auto"/>
          <w:sz w:val="32"/>
          <w:szCs w:val="32"/>
          <w:highlight w:val="none"/>
          <w:u w:val="none"/>
          <w:lang w:eastAsia="zh" w:bidi="ar"/>
          <w:woUserID w:val="0"/>
        </w:rPr>
        <w:t>第一节</w:t>
      </w:r>
      <w:r>
        <w:rPr>
          <w:rFonts w:hint="default" w:ascii="Times New Roman" w:hAnsi="Times New Roman" w:eastAsia="仿宋_GB2312" w:cs="Times New Roman"/>
          <w:b w:val="0"/>
          <w:bCs/>
          <w:color w:val="auto"/>
          <w:sz w:val="32"/>
          <w:szCs w:val="32"/>
          <w:highlight w:val="none"/>
          <w:u w:val="none"/>
          <w:lang w:eastAsia="zh-CN" w:bidi="ar"/>
          <w:woUserID w:val="0"/>
        </w:rPr>
        <w:t xml:space="preserve"> </w:t>
      </w:r>
      <w:r>
        <w:rPr>
          <w:rFonts w:hint="default" w:ascii="Times New Roman" w:hAnsi="Times New Roman" w:eastAsia="仿宋_GB2312" w:cs="Times New Roman"/>
          <w:b w:val="0"/>
          <w:bCs/>
          <w:color w:val="auto"/>
          <w:sz w:val="32"/>
          <w:szCs w:val="32"/>
          <w:highlight w:val="none"/>
          <w:u w:val="none"/>
          <w:lang w:eastAsia="zh" w:bidi="ar"/>
          <w:woUserID w:val="0"/>
        </w:rPr>
        <w:t>联动粮食主产区</w:t>
      </w:r>
      <w:bookmarkEnd w:id="1364"/>
      <w:bookmarkEnd w:id="1365"/>
      <w:bookmarkEnd w:id="1366"/>
      <w:bookmarkEnd w:id="1367"/>
      <w:bookmarkEnd w:id="1368"/>
      <w:bookmarkEnd w:id="1369"/>
      <w:bookmarkEnd w:id="1370"/>
      <w:bookmarkEnd w:id="1371"/>
      <w:bookmarkEnd w:id="1372"/>
      <w:bookmarkEnd w:id="1373"/>
      <w:bookmarkEnd w:id="1374"/>
    </w:p>
    <w:p w14:paraId="7CE2FAB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u w:val="none"/>
          <w:lang w:eastAsia="zh" w:bidi="ar"/>
          <w:woUserID w:val="0"/>
        </w:rPr>
      </w:pPr>
      <w:r>
        <w:rPr>
          <w:rFonts w:hint="default" w:ascii="Times New Roman" w:hAnsi="Times New Roman" w:eastAsia="仿宋_GB2312" w:cs="Times New Roman"/>
          <w:b w:val="0"/>
          <w:bCs/>
          <w:color w:val="auto"/>
          <w:sz w:val="32"/>
          <w:szCs w:val="32"/>
          <w:highlight w:val="none"/>
          <w:lang w:eastAsia="zh"/>
        </w:rPr>
        <w:t>桦川县将积极与三江平原粮食主产区开展合作，在订单农业、优质稻米销售等方面加强协作，借助其销售渠道将桦川优质稻米推向全国。发展“飞地经济”模式，与北大荒集团开展党建支部联建，拓展“桦川大米”销售渠道。在种业研发、种植技术、农产品加工等方面开展交流与合作，共享先进经验和技术，共同提升粮食产量和品质。利用自身国家现代农业产业园优势，与北大荒集团共同打造粮食全产业链合作模式，加强在粮食仓储、物流、加工等环节的协作，提高粮食产业的整体效益，为保障国家粮食安全作出更大贡献</w:t>
      </w:r>
      <w:bookmarkStart w:id="1375" w:name="_Toc118"/>
      <w:bookmarkStart w:id="1376" w:name="_Toc12857"/>
      <w:bookmarkStart w:id="1377" w:name="_Toc21241"/>
      <w:bookmarkStart w:id="1378" w:name="_Toc31422"/>
      <w:bookmarkStart w:id="1379" w:name="_Toc1275186879"/>
      <w:bookmarkStart w:id="1380" w:name="_Toc4041"/>
      <w:bookmarkStart w:id="1381" w:name="_Toc1147308786"/>
      <w:bookmarkStart w:id="1382" w:name="_Toc12431"/>
      <w:bookmarkStart w:id="1383" w:name="_Toc21512"/>
      <w:bookmarkStart w:id="1384" w:name="_Toc11333"/>
      <w:bookmarkStart w:id="1385" w:name="_Toc25511"/>
      <w:r>
        <w:rPr>
          <w:rFonts w:hint="eastAsia" w:eastAsia="仿宋_GB2312" w:cs="Times New Roman"/>
          <w:b w:val="0"/>
          <w:bCs/>
          <w:color w:val="auto"/>
          <w:sz w:val="32"/>
          <w:szCs w:val="32"/>
          <w:highlight w:val="none"/>
          <w:lang w:eastAsia="zh-CN"/>
        </w:rPr>
        <w:t>。</w:t>
      </w:r>
    </w:p>
    <w:p w14:paraId="4347DB1F">
      <w:pPr>
        <w:pageBreakBefore w:val="0"/>
        <w:kinsoku/>
        <w:wordWrap/>
        <w:overflowPunct/>
        <w:topLinePunct w:val="0"/>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r>
        <w:rPr>
          <w:rFonts w:hint="default" w:ascii="Times New Roman" w:hAnsi="Times New Roman" w:eastAsia="仿宋_GB2312" w:cs="Times New Roman"/>
          <w:b w:val="0"/>
          <w:bCs/>
          <w:color w:val="auto"/>
          <w:sz w:val="32"/>
          <w:szCs w:val="32"/>
          <w:highlight w:val="none"/>
          <w:u w:val="none"/>
          <w:lang w:eastAsia="zh" w:bidi="ar"/>
          <w:woUserID w:val="0"/>
        </w:rPr>
        <w:t>第二节</w:t>
      </w:r>
      <w:r>
        <w:rPr>
          <w:rFonts w:hint="default" w:ascii="Times New Roman" w:hAnsi="Times New Roman" w:eastAsia="仿宋_GB2312" w:cs="Times New Roman"/>
          <w:b w:val="0"/>
          <w:bCs/>
          <w:color w:val="auto"/>
          <w:sz w:val="32"/>
          <w:szCs w:val="32"/>
          <w:highlight w:val="none"/>
          <w:u w:val="none"/>
          <w:lang w:eastAsia="zh-CN" w:bidi="ar"/>
          <w:woUserID w:val="0"/>
        </w:rPr>
        <w:t xml:space="preserve"> </w:t>
      </w:r>
      <w:r>
        <w:rPr>
          <w:rFonts w:hint="default" w:ascii="Times New Roman" w:hAnsi="Times New Roman" w:eastAsia="仿宋_GB2312" w:cs="Times New Roman"/>
          <w:b w:val="0"/>
          <w:bCs/>
          <w:color w:val="auto"/>
          <w:sz w:val="32"/>
          <w:szCs w:val="32"/>
          <w:highlight w:val="none"/>
          <w:u w:val="none"/>
          <w:lang w:eastAsia="zh" w:bidi="ar"/>
          <w:woUserID w:val="0"/>
        </w:rPr>
        <w:t>联动佳木斯城市群</w:t>
      </w:r>
      <w:bookmarkEnd w:id="1375"/>
      <w:bookmarkEnd w:id="1376"/>
      <w:bookmarkEnd w:id="1377"/>
      <w:bookmarkEnd w:id="1378"/>
      <w:bookmarkEnd w:id="1379"/>
      <w:bookmarkEnd w:id="1380"/>
      <w:bookmarkEnd w:id="1381"/>
      <w:bookmarkEnd w:id="1382"/>
      <w:bookmarkEnd w:id="1383"/>
      <w:bookmarkEnd w:id="1384"/>
      <w:bookmarkEnd w:id="1385"/>
    </w:p>
    <w:p w14:paraId="5AE7618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黑体" w:cs="Times New Roman"/>
          <w:b w:val="0"/>
          <w:bCs/>
          <w:color w:val="auto"/>
          <w:sz w:val="32"/>
          <w:szCs w:val="32"/>
          <w:highlight w:val="none"/>
          <w14:ligatures w14:val="standardContextual"/>
        </w:rPr>
      </w:pPr>
      <w:r>
        <w:rPr>
          <w:rFonts w:hint="default" w:ascii="Times New Roman" w:hAnsi="Times New Roman" w:eastAsia="仿宋_GB2312" w:cs="Times New Roman"/>
          <w:b w:val="0"/>
          <w:bCs/>
          <w:color w:val="auto"/>
          <w:sz w:val="32"/>
          <w:szCs w:val="32"/>
          <w:highlight w:val="none"/>
          <w:lang w:eastAsia="zh"/>
        </w:rPr>
        <w:t>深度融入佳木斯城市群发展，充分发挥自身区位与产业优势，加强与周边地区的协同联动。依托自身农产品加工、现代种业等产业基础，与佳木斯城市群内其他地区形成产业互补。积极参与佳木斯国家农业高新区建设，共同构建现代化农业产业体系，打造高端优质水稻、渔业产业等发展带。借助佳木斯科技人才优势，推动农机装备制造等产业升级，与城市群内的企业开展合作，共同拓展市场。配合佳木斯市完善区域交通网络，加强与周边地区的公路、铁路等交通干线连接，提升与佳木斯市区及其他城市的通达性。发挥佳木斯港的作用，加强与同江、抚远等口岸的联动，构建公铁水多式联运体系，提高物流运输效率，降低物流成本。加强与佳木斯城市群在公共服务、生态保护等方面的合作，共享教育、医疗等资源，共同推进松花江流域生态廊道建设，加强环境污染联防联控，为佳木斯城市群贡献桦川力量。</w:t>
      </w:r>
      <w:bookmarkStart w:id="1386" w:name="_Toc18169"/>
      <w:bookmarkStart w:id="1387" w:name="_Toc7656"/>
      <w:bookmarkStart w:id="1388" w:name="_Toc216573440"/>
      <w:bookmarkStart w:id="1389" w:name="_Toc15468"/>
      <w:bookmarkStart w:id="1390" w:name="_Toc23050"/>
      <w:bookmarkStart w:id="1391" w:name="_Toc31008"/>
      <w:bookmarkStart w:id="1392" w:name="_Toc4084"/>
      <w:bookmarkStart w:id="1393" w:name="_Toc1876"/>
      <w:bookmarkStart w:id="1394" w:name="_Toc828840503"/>
      <w:bookmarkStart w:id="1395" w:name="_Toc8066"/>
      <w:bookmarkStart w:id="1396" w:name="_Toc24439"/>
      <w:bookmarkStart w:id="1397" w:name="_Toc27087"/>
      <w:bookmarkStart w:id="1398" w:name="_Toc6395"/>
    </w:p>
    <w:p w14:paraId="13CEEDC8">
      <w:pPr>
        <w:pageBreakBefore w:val="0"/>
        <w:kinsoku/>
        <w:wordWrap/>
        <w:overflowPunct/>
        <w:topLinePunct w:val="0"/>
        <w:autoSpaceDN/>
        <w:bidi w:val="0"/>
        <w:adjustRightInd/>
        <w:snapToGrid w:val="0"/>
        <w:spacing w:line="560" w:lineRule="exact"/>
        <w:ind w:firstLine="0" w:firstLineChars="0"/>
        <w:jc w:val="center"/>
        <w:textAlignment w:val="auto"/>
        <w:outlineLvl w:val="0"/>
        <w:rPr>
          <w:rFonts w:hint="default" w:ascii="Times New Roman" w:hAnsi="Times New Roman" w:eastAsia="黑体" w:cs="Times New Roman"/>
          <w:b w:val="0"/>
          <w:bCs/>
          <w:color w:val="auto"/>
          <w:sz w:val="32"/>
          <w:szCs w:val="32"/>
          <w:highlight w:val="none"/>
          <w14:ligatures w14:val="standardContextual"/>
        </w:rPr>
      </w:pPr>
      <w:bookmarkStart w:id="1399" w:name="_Toc31114"/>
      <w:r>
        <w:rPr>
          <w:rFonts w:hint="default" w:ascii="Times New Roman" w:hAnsi="Times New Roman" w:eastAsia="黑体" w:cs="Times New Roman"/>
          <w:b w:val="0"/>
          <w:bCs/>
          <w:color w:val="auto"/>
          <w:sz w:val="32"/>
          <w:szCs w:val="32"/>
          <w:highlight w:val="none"/>
          <w14:ligatures w14:val="standardContextual"/>
        </w:rPr>
        <w:t>第七</w:t>
      </w:r>
      <w:r>
        <w:rPr>
          <w:rFonts w:hint="default" w:ascii="Times New Roman" w:hAnsi="Times New Roman" w:eastAsia="黑体" w:cs="Times New Roman"/>
          <w:b w:val="0"/>
          <w:bCs/>
          <w:color w:val="auto"/>
          <w:sz w:val="32"/>
          <w:szCs w:val="32"/>
          <w:highlight w:val="none"/>
          <w:lang w:eastAsia="zh"/>
          <w14:ligatures w14:val="standardContextual"/>
          <w:woUserID w:val="0"/>
        </w:rPr>
        <w:t>篇</w:t>
      </w:r>
      <w:r>
        <w:rPr>
          <w:rFonts w:hint="default" w:ascii="Times New Roman" w:hAnsi="Times New Roman" w:eastAsia="黑体" w:cs="Times New Roman"/>
          <w:b w:val="0"/>
          <w:bCs/>
          <w:color w:val="auto"/>
          <w:sz w:val="32"/>
          <w:szCs w:val="32"/>
          <w:highlight w:val="none"/>
          <w:lang w:val="en-US" w:eastAsia="zh-CN"/>
          <w14:ligatures w14:val="standardContextual"/>
          <w:woUserID w:val="0"/>
        </w:rPr>
        <w:t xml:space="preserve"> </w:t>
      </w:r>
      <w:r>
        <w:rPr>
          <w:rFonts w:hint="default" w:ascii="Times New Roman" w:hAnsi="Times New Roman" w:eastAsia="黑体" w:cs="Times New Roman"/>
          <w:b w:val="0"/>
          <w:bCs/>
          <w:color w:val="auto"/>
          <w:sz w:val="32"/>
          <w:szCs w:val="32"/>
          <w:highlight w:val="none"/>
          <w:lang w:val="en-US" w:eastAsia="zh-CN"/>
          <w14:ligatures w14:val="standardContextual"/>
        </w:rPr>
        <w:t>加大民生保障力度</w:t>
      </w:r>
      <w:r>
        <w:rPr>
          <w:rFonts w:hint="default" w:ascii="Times New Roman" w:hAnsi="Times New Roman" w:eastAsia="黑体" w:cs="Times New Roman"/>
          <w:b w:val="0"/>
          <w:bCs/>
          <w:color w:val="auto"/>
          <w:sz w:val="32"/>
          <w:szCs w:val="32"/>
          <w:highlight w:val="none"/>
          <w14:ligatures w14:val="standardContextual"/>
        </w:rPr>
        <w:t xml:space="preserve">  打造高品质和谐幸福桦川</w:t>
      </w:r>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p>
    <w:p w14:paraId="533C1AC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坚持以人民为中心的发展思想，把人民对美好生活的向往作为奋斗目标，全面提升教育、医疗、社会保障、文化等领域供给质量，做好基础性、兜底性民生建设，满足不同居民的多层次需求，将民生“愿景图”转化为群众“实景图”，使人民群众的获得感成色更足、幸福感更可持续、安全感更有保障。</w:t>
      </w:r>
      <w:r>
        <w:rPr>
          <w:rFonts w:hint="default" w:ascii="Times New Roman" w:hAnsi="Times New Roman" w:eastAsia="仿宋_GB2312" w:cs="Times New Roman"/>
          <w:b w:val="0"/>
          <w:bCs/>
          <w:color w:val="auto"/>
          <w:sz w:val="32"/>
          <w:szCs w:val="32"/>
          <w:highlight w:val="none"/>
          <w:lang w:eastAsia="zh"/>
        </w:rPr>
        <w:commentReference w:id="22"/>
      </w:r>
    </w:p>
    <w:p w14:paraId="4B7B8E68">
      <w:pPr>
        <w:pStyle w:val="3"/>
        <w:keepNext/>
        <w:keepLines/>
        <w:pageBreakBefore w:val="0"/>
        <w:kinsoku/>
        <w:wordWrap/>
        <w:overflowPunct/>
        <w:topLinePunct w:val="0"/>
        <w:autoSpaceDN/>
        <w:bidi w:val="0"/>
        <w:adjustRightInd/>
        <w:spacing w:before="0" w:after="0" w:line="560" w:lineRule="exact"/>
        <w:ind w:firstLine="0" w:firstLineChars="0"/>
        <w:jc w:val="center"/>
        <w:textAlignment w:val="auto"/>
        <w:outlineLvl w:val="1"/>
        <w:rPr>
          <w:rFonts w:hint="default" w:ascii="Times New Roman" w:hAnsi="Times New Roman" w:eastAsia="楷体" w:cs="Times New Roman"/>
          <w:b w:val="0"/>
          <w:bCs/>
          <w:color w:val="auto"/>
          <w:sz w:val="32"/>
          <w:szCs w:val="32"/>
          <w:highlight w:val="none"/>
          <w14:ligatures w14:val="standardContextual"/>
        </w:rPr>
      </w:pPr>
      <w:bookmarkStart w:id="1400" w:name="_Toc602024663"/>
      <w:bookmarkStart w:id="1401" w:name="_Toc20994"/>
      <w:bookmarkStart w:id="1402" w:name="_Toc24152"/>
      <w:bookmarkStart w:id="1403" w:name="_Toc15908"/>
      <w:bookmarkStart w:id="1404" w:name="_Toc16092"/>
      <w:bookmarkStart w:id="1405" w:name="_Toc24535"/>
      <w:bookmarkStart w:id="1406" w:name="_Toc13562"/>
      <w:bookmarkStart w:id="1407" w:name="_Toc3974"/>
      <w:bookmarkStart w:id="1408" w:name="_Toc143992285"/>
      <w:bookmarkStart w:id="1409" w:name="_Toc9531"/>
      <w:bookmarkStart w:id="1410" w:name="_Toc2019"/>
      <w:bookmarkStart w:id="1411" w:name="_Toc4951"/>
      <w:bookmarkStart w:id="1412" w:name="_Toc12421"/>
      <w:bookmarkStart w:id="1413" w:name="_Toc1857"/>
      <w:r>
        <w:rPr>
          <w:rFonts w:hint="default" w:ascii="Times New Roman" w:hAnsi="Times New Roman" w:eastAsia="楷体" w:cs="Times New Roman"/>
          <w:b w:val="0"/>
          <w:bCs/>
          <w:color w:val="auto"/>
          <w:sz w:val="32"/>
          <w:szCs w:val="32"/>
          <w:highlight w:val="none"/>
          <w14:ligatures w14:val="standardContextual"/>
        </w:rPr>
        <w:t>第一</w:t>
      </w:r>
      <w:r>
        <w:rPr>
          <w:rFonts w:hint="default" w:ascii="Times New Roman" w:hAnsi="Times New Roman" w:eastAsia="楷体" w:cs="Times New Roman"/>
          <w:b w:val="0"/>
          <w:bCs/>
          <w:color w:val="auto"/>
          <w:sz w:val="32"/>
          <w:szCs w:val="32"/>
          <w:highlight w:val="none"/>
          <w:lang w:eastAsia="zh"/>
          <w14:ligatures w14:val="standardContextual"/>
          <w:woUserID w:val="0"/>
        </w:rPr>
        <w:t>章</w:t>
      </w:r>
      <w:r>
        <w:rPr>
          <w:rFonts w:hint="default" w:ascii="Times New Roman" w:hAnsi="Times New Roman" w:eastAsia="楷体" w:cs="Times New Roman"/>
          <w:b w:val="0"/>
          <w:bCs/>
          <w:color w:val="auto"/>
          <w:sz w:val="32"/>
          <w:szCs w:val="32"/>
          <w:highlight w:val="none"/>
          <w14:ligatures w14:val="standardContextual"/>
        </w:rPr>
        <w:t xml:space="preserve"> 建设高质量教育体系</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p>
    <w:p w14:paraId="7740DEA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bookmarkStart w:id="1414" w:name="_Toc527567607"/>
      <w:bookmarkStart w:id="1415" w:name="_Toc1416451215"/>
      <w:r>
        <w:rPr>
          <w:rFonts w:hint="default" w:ascii="Times New Roman" w:hAnsi="Times New Roman" w:eastAsia="仿宋_GB2312" w:cs="Times New Roman"/>
          <w:b w:val="0"/>
          <w:bCs/>
          <w:color w:val="auto"/>
          <w:sz w:val="32"/>
          <w:szCs w:val="32"/>
          <w:highlight w:val="none"/>
          <w:lang w:eastAsia="zh"/>
        </w:rPr>
        <w:t>重点围绕基础教育、高中教育和现代职业教育，以提质扩容、优化升级和创新发展为导向，着力推动义务教育优质均衡发展，扩大优质普通高中教育资源覆盖面，培养高素质技术技能人才，办好人民满意的教育。</w:t>
      </w:r>
    </w:p>
    <w:p w14:paraId="77EFF9FB">
      <w:pPr>
        <w:pageBreakBefore w:val="0"/>
        <w:kinsoku/>
        <w:wordWrap/>
        <w:overflowPunct/>
        <w:topLinePunct w:val="0"/>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1416" w:name="_Toc15424"/>
      <w:bookmarkStart w:id="1417" w:name="_Toc14918"/>
      <w:bookmarkStart w:id="1418" w:name="_Toc178"/>
      <w:bookmarkStart w:id="1419" w:name="_Toc24104"/>
      <w:bookmarkStart w:id="1420" w:name="_Toc32182"/>
      <w:bookmarkStart w:id="1421" w:name="_Toc3025"/>
      <w:bookmarkStart w:id="1422" w:name="_Toc18909"/>
      <w:bookmarkStart w:id="1423" w:name="_Toc11779"/>
      <w:bookmarkStart w:id="1424" w:name="_Toc9536"/>
      <w:r>
        <w:rPr>
          <w:rFonts w:hint="default" w:ascii="Times New Roman" w:hAnsi="Times New Roman" w:eastAsia="仿宋_GB2312" w:cs="Times New Roman"/>
          <w:b w:val="0"/>
          <w:bCs/>
          <w:color w:val="auto"/>
          <w:sz w:val="32"/>
          <w:szCs w:val="32"/>
          <w:highlight w:val="none"/>
          <w:u w:val="none"/>
          <w:lang w:eastAsia="zh" w:bidi="ar"/>
          <w:woUserID w:val="0"/>
        </w:rPr>
        <w:t>第一节</w:t>
      </w:r>
      <w:r>
        <w:rPr>
          <w:rFonts w:hint="default" w:ascii="Times New Roman" w:hAnsi="Times New Roman" w:eastAsia="仿宋_GB2312" w:cs="Times New Roman"/>
          <w:b w:val="0"/>
          <w:bCs/>
          <w:color w:val="auto"/>
          <w:sz w:val="32"/>
          <w:szCs w:val="32"/>
          <w:highlight w:val="none"/>
          <w:u w:val="none"/>
          <w:lang w:eastAsia="zh-CN" w:bidi="ar"/>
          <w:woUserID w:val="0"/>
        </w:rPr>
        <w:t xml:space="preserve"> </w:t>
      </w:r>
      <w:r>
        <w:rPr>
          <w:rFonts w:hint="default" w:ascii="Times New Roman" w:hAnsi="Times New Roman" w:eastAsia="仿宋_GB2312" w:cs="Times New Roman"/>
          <w:b w:val="0"/>
          <w:bCs/>
          <w:color w:val="auto"/>
          <w:sz w:val="32"/>
          <w:szCs w:val="32"/>
          <w:highlight w:val="none"/>
          <w:u w:val="none"/>
          <w:lang w:eastAsia="zh" w:bidi="ar"/>
          <w:woUserID w:val="0"/>
        </w:rPr>
        <w:t>夯实教育优质均衡根基</w:t>
      </w:r>
      <w:bookmarkEnd w:id="1414"/>
      <w:bookmarkEnd w:id="1415"/>
      <w:bookmarkEnd w:id="1416"/>
      <w:bookmarkEnd w:id="1417"/>
      <w:bookmarkEnd w:id="1418"/>
      <w:bookmarkEnd w:id="1419"/>
      <w:bookmarkEnd w:id="1420"/>
      <w:bookmarkEnd w:id="1421"/>
      <w:bookmarkEnd w:id="1422"/>
      <w:bookmarkEnd w:id="1423"/>
      <w:bookmarkEnd w:id="1424"/>
    </w:p>
    <w:p w14:paraId="69710D0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优化教育资源配置，统筹制定及动态调整全县学位供给方案，推动义务教育优质均衡发展。加快推进“课堂实效”行动，推行“分层教学+实用课堂”建设，严控作业与考试“减负提升”。推动家校社协同发展，引导家长转变教育观念，联动社区参与教学服务。重视心理健康教育，开设心理健康课程，建立学生心理健康档案，重视特殊群体学生心理健康工作。</w:t>
      </w:r>
      <w:r>
        <w:rPr>
          <w:rFonts w:hint="default" w:ascii="Times New Roman" w:hAnsi="Times New Roman" w:eastAsia="仿宋_GB2312" w:cs="Times New Roman"/>
          <w:b w:val="0"/>
          <w:bCs/>
          <w:color w:val="auto"/>
          <w:sz w:val="32"/>
          <w:szCs w:val="32"/>
          <w:highlight w:val="none"/>
          <w:lang w:val="en-US" w:eastAsia="zh-CN"/>
        </w:rPr>
        <w:t>广泛开展科普教育活动，全面提升全县师生及群众科学素养。</w:t>
      </w:r>
      <w:r>
        <w:rPr>
          <w:rFonts w:hint="default" w:ascii="Times New Roman" w:hAnsi="Times New Roman" w:eastAsia="仿宋_GB2312" w:cs="Times New Roman"/>
          <w:b w:val="0"/>
          <w:bCs/>
          <w:color w:val="auto"/>
          <w:sz w:val="32"/>
          <w:szCs w:val="32"/>
          <w:highlight w:val="none"/>
          <w:lang w:eastAsia="zh"/>
        </w:rPr>
        <w:t>加强中小学校园食品安全和膳食经费管理，构建食品安全管理与膳食经费审计双监管机制，构建“明厨亮灶+智慧监管”机制，推进农村义务教育学校食堂供餐。实施学校更新改造行动，开展全县中小学校校舍及附属设施的更新改造行动。</w:t>
      </w:r>
    </w:p>
    <w:p w14:paraId="23FB2D84">
      <w:pPr>
        <w:pageBreakBefore w:val="0"/>
        <w:kinsoku/>
        <w:wordWrap/>
        <w:overflowPunct/>
        <w:topLinePunct w:val="0"/>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1425" w:name="_Toc2624"/>
      <w:bookmarkStart w:id="1426" w:name="_Toc1020351382"/>
      <w:bookmarkStart w:id="1427" w:name="_Toc17547"/>
      <w:bookmarkStart w:id="1428" w:name="_Toc11588"/>
      <w:bookmarkStart w:id="1429" w:name="_Toc29124"/>
      <w:bookmarkStart w:id="1430" w:name="_Toc30611"/>
      <w:bookmarkStart w:id="1431" w:name="_Toc21041"/>
      <w:bookmarkStart w:id="1432" w:name="_Toc14971"/>
      <w:bookmarkStart w:id="1433" w:name="_Toc11586"/>
      <w:bookmarkStart w:id="1434" w:name="_Toc154270291"/>
      <w:bookmarkStart w:id="1435" w:name="_Toc8764"/>
      <w:r>
        <w:rPr>
          <w:rFonts w:hint="default" w:ascii="Times New Roman" w:hAnsi="Times New Roman" w:eastAsia="仿宋_GB2312" w:cs="Times New Roman"/>
          <w:b w:val="0"/>
          <w:bCs/>
          <w:color w:val="auto"/>
          <w:sz w:val="32"/>
          <w:szCs w:val="32"/>
          <w:highlight w:val="none"/>
          <w:u w:val="none"/>
          <w:lang w:eastAsia="zh" w:bidi="ar"/>
          <w:woUserID w:val="0"/>
        </w:rPr>
        <w:t>第二节</w:t>
      </w:r>
      <w:r>
        <w:rPr>
          <w:rFonts w:hint="default" w:ascii="Times New Roman" w:hAnsi="Times New Roman" w:eastAsia="仿宋_GB2312" w:cs="Times New Roman"/>
          <w:b w:val="0"/>
          <w:bCs/>
          <w:color w:val="auto"/>
          <w:sz w:val="32"/>
          <w:szCs w:val="32"/>
          <w:highlight w:val="none"/>
          <w:u w:val="none"/>
          <w:lang w:eastAsia="zh-CN" w:bidi="ar"/>
          <w:woUserID w:val="0"/>
        </w:rPr>
        <w:t xml:space="preserve"> </w:t>
      </w:r>
      <w:r>
        <w:rPr>
          <w:rFonts w:hint="default" w:ascii="Times New Roman" w:hAnsi="Times New Roman" w:eastAsia="仿宋_GB2312" w:cs="Times New Roman"/>
          <w:b w:val="0"/>
          <w:bCs/>
          <w:color w:val="auto"/>
          <w:sz w:val="32"/>
          <w:szCs w:val="32"/>
          <w:highlight w:val="none"/>
          <w:u w:val="none"/>
          <w:lang w:eastAsia="zh" w:bidi="ar"/>
          <w:woUserID w:val="0"/>
        </w:rPr>
        <w:t>优化高中教育资源配置</w:t>
      </w:r>
      <w:bookmarkEnd w:id="1425"/>
      <w:bookmarkEnd w:id="1426"/>
      <w:bookmarkEnd w:id="1427"/>
      <w:bookmarkEnd w:id="1428"/>
      <w:bookmarkEnd w:id="1429"/>
      <w:bookmarkEnd w:id="1430"/>
      <w:bookmarkEnd w:id="1431"/>
      <w:bookmarkEnd w:id="1432"/>
      <w:bookmarkEnd w:id="1433"/>
      <w:bookmarkEnd w:id="1434"/>
      <w:bookmarkEnd w:id="1435"/>
    </w:p>
    <w:p w14:paraId="04F99CD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聚焦解决高中学位供需矛盾难题，加大统筹调配高中闲置资源力度，整合第五中学部分闲置资源，保障学位供给数量和质量。着力打造体育、艺术等优质特色普通高中教育，提高本科上线率。聚焦教育薄弱问题，加强政策和资源倾斜，积极参与城乡教育一体化发展活动，通过与市区走教、骨干送教、校际结对帮扶等形式，建立优质高中优质教育资源共享机制。</w:t>
      </w:r>
    </w:p>
    <w:p w14:paraId="451AAAE3">
      <w:pPr>
        <w:pageBreakBefore w:val="0"/>
        <w:kinsoku/>
        <w:wordWrap/>
        <w:overflowPunct/>
        <w:topLinePunct w:val="0"/>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1436" w:name="_Toc9404"/>
      <w:bookmarkStart w:id="1437" w:name="_Toc1009"/>
      <w:bookmarkStart w:id="1438" w:name="_Toc20968"/>
      <w:bookmarkStart w:id="1439" w:name="_Toc9880"/>
      <w:bookmarkStart w:id="1440" w:name="_Toc11791"/>
      <w:bookmarkStart w:id="1441" w:name="_Toc6250"/>
      <w:bookmarkStart w:id="1442" w:name="_Toc7580"/>
      <w:bookmarkStart w:id="1443" w:name="_Toc24779"/>
      <w:bookmarkStart w:id="1444" w:name="_Toc1372045249"/>
      <w:bookmarkStart w:id="1445" w:name="_Toc1187204880"/>
      <w:bookmarkStart w:id="1446" w:name="_Toc4566"/>
      <w:r>
        <w:rPr>
          <w:rFonts w:hint="default" w:ascii="Times New Roman" w:hAnsi="Times New Roman" w:eastAsia="仿宋_GB2312" w:cs="Times New Roman"/>
          <w:b w:val="0"/>
          <w:bCs/>
          <w:color w:val="auto"/>
          <w:sz w:val="32"/>
          <w:szCs w:val="32"/>
          <w:highlight w:val="none"/>
          <w:u w:val="none"/>
          <w:lang w:eastAsia="zh" w:bidi="ar"/>
          <w:woUserID w:val="0"/>
        </w:rPr>
        <w:t>第三节</w:t>
      </w:r>
      <w:r>
        <w:rPr>
          <w:rFonts w:hint="default" w:ascii="Times New Roman" w:hAnsi="Times New Roman" w:eastAsia="仿宋_GB2312" w:cs="Times New Roman"/>
          <w:b w:val="0"/>
          <w:bCs/>
          <w:color w:val="auto"/>
          <w:sz w:val="32"/>
          <w:szCs w:val="32"/>
          <w:highlight w:val="none"/>
          <w:u w:val="none"/>
          <w:lang w:eastAsia="zh-CN" w:bidi="ar"/>
          <w:woUserID w:val="0"/>
        </w:rPr>
        <w:t xml:space="preserve"> </w:t>
      </w:r>
      <w:r>
        <w:rPr>
          <w:rFonts w:hint="default" w:ascii="Times New Roman" w:hAnsi="Times New Roman" w:eastAsia="仿宋_GB2312" w:cs="Times New Roman"/>
          <w:b w:val="0"/>
          <w:bCs/>
          <w:color w:val="auto"/>
          <w:sz w:val="32"/>
          <w:szCs w:val="32"/>
          <w:highlight w:val="none"/>
          <w:u w:val="none"/>
          <w:lang w:eastAsia="zh" w:bidi="ar"/>
          <w:woUserID w:val="0"/>
        </w:rPr>
        <w:t>发展现代职业教育</w:t>
      </w:r>
      <w:bookmarkEnd w:id="1436"/>
      <w:bookmarkEnd w:id="1437"/>
      <w:bookmarkEnd w:id="1438"/>
      <w:bookmarkEnd w:id="1439"/>
      <w:bookmarkEnd w:id="1440"/>
      <w:bookmarkEnd w:id="1441"/>
      <w:bookmarkEnd w:id="1442"/>
      <w:bookmarkEnd w:id="1443"/>
      <w:bookmarkEnd w:id="1444"/>
      <w:bookmarkEnd w:id="1445"/>
      <w:bookmarkEnd w:id="1446"/>
    </w:p>
    <w:p w14:paraId="3751F76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eastAsia="仿宋_GB2312" w:cs="Times New Roman"/>
          <w:b w:val="0"/>
          <w:bCs/>
          <w:color w:val="auto"/>
          <w:sz w:val="32"/>
          <w:szCs w:val="32"/>
          <w:highlight w:val="none"/>
          <w:lang w:eastAsia="zh-CN"/>
        </w:rPr>
      </w:pPr>
      <w:r>
        <w:rPr>
          <w:rFonts w:hint="default" w:ascii="Times New Roman" w:hAnsi="Times New Roman" w:eastAsia="仿宋_GB2312" w:cs="Times New Roman"/>
          <w:b w:val="0"/>
          <w:bCs/>
          <w:color w:val="auto"/>
          <w:sz w:val="32"/>
          <w:szCs w:val="32"/>
          <w:highlight w:val="none"/>
          <w:lang w:eastAsia="zh"/>
        </w:rPr>
        <w:t>聚焦数字经济</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eastAsia="zh"/>
        </w:rPr>
        <w:t>生物医药等重点领域，优化完善职教学院学科设置及招生计划。打造</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eastAsia="zh"/>
        </w:rPr>
        <w:t>基础教育+职业教育</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eastAsia="zh"/>
        </w:rPr>
        <w:t>双轮驱动模式，构建</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eastAsia="zh"/>
        </w:rPr>
        <w:t>小学</w:t>
      </w:r>
      <w:r>
        <w:rPr>
          <w:rFonts w:hint="eastAsia"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eastAsia="zh"/>
        </w:rPr>
        <w:t>中学</w:t>
      </w:r>
      <w:r>
        <w:rPr>
          <w:rFonts w:hint="eastAsia"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eastAsia="zh"/>
        </w:rPr>
        <w:t>职校</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eastAsia="zh"/>
        </w:rPr>
        <w:t>全链条人才培养体系。深化“3+2”中高职深度合作，与省内优质高职院校签订贯通培养协议，明确中职3年与高职2年的课程衔接标准，避免内容重复或断层，构建“基础技能—专项能力—岗位实战”的递进式培养体系。落实普职互融与两栖型教师培养，建立职高部与普高部常态化交流机制，每学期互派教师开展交叉教学、联合教研，共享优质教学资源与教学方法。加大职业教育财政支持力度，重点投向教师培养，设备更新，教学资源建设等领域。加强正面宣传，提高职业教育知名度。与哈尔滨北方航空职业技术学院开展校校互赢合作，拓宽教育帮扶渠道</w:t>
      </w:r>
      <w:r>
        <w:rPr>
          <w:rFonts w:hint="eastAsia" w:eastAsia="仿宋_GB2312" w:cs="Times New Roman"/>
          <w:b w:val="0"/>
          <w:bCs/>
          <w:color w:val="auto"/>
          <w:sz w:val="32"/>
          <w:szCs w:val="32"/>
          <w:highlight w:val="none"/>
          <w:lang w:eastAsia="zh-CN"/>
        </w:rPr>
        <w:t>。</w:t>
      </w:r>
    </w:p>
    <w:p w14:paraId="17FBB95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b w:val="0"/>
          <w:bCs/>
          <w:lang w:eastAsia="zh"/>
        </w:rPr>
      </w:pPr>
      <w:r>
        <w:rPr>
          <w:rFonts w:hint="default" w:ascii="Times New Roman" w:hAnsi="Times New Roman" w:eastAsia="仿宋_GB2312" w:cs="Times New Roman"/>
          <w:b w:val="0"/>
          <w:bCs/>
          <w:color w:val="auto"/>
          <w:sz w:val="32"/>
          <w:szCs w:val="32"/>
          <w:highlight w:val="none"/>
          <w:lang w:eastAsia="zh"/>
        </w:rPr>
        <w:t>构建以政府为主导、多部门联动、社会力量广泛参与的协同推进格局，健全特殊教育财政投入稳定增长的长效保障框架，系统推进特殊教育学校标准化建设，为特殊学生就学提供坚实制度与设施支撑</w:t>
      </w:r>
      <w:r>
        <w:rPr>
          <w:rFonts w:hint="eastAsia"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eastAsia="zh"/>
        </w:rPr>
        <w:t>确保我县特殊教育15年一贯制学制有效落地实施。立足特殊学生成长需求，构建兼具基础性与实用性的课程体系，增设职业教育核心模块以强化其生活自理与社会适应能力，探索融合教育新路径，持续推进特殊教育普惠发展</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eastAsia="zh"/>
        </w:rPr>
        <w:t>保障特殊群体平等接受义务教育。搭建校企协同育人框架，链接优质企业资源打造就业服务平台，构建特殊学生</w:t>
      </w:r>
      <w:r>
        <w:rPr>
          <w:rFonts w:hint="eastAsia" w:eastAsia="仿宋_GB2312" w:cs="Times New Roman"/>
          <w:b w:val="0"/>
          <w:bCs/>
          <w:color w:val="auto"/>
          <w:sz w:val="32"/>
          <w:szCs w:val="32"/>
          <w:highlight w:val="none"/>
          <w:lang w:eastAsia="zh-CN"/>
        </w:rPr>
        <w:t>职业技能培训</w:t>
      </w:r>
      <w:r>
        <w:rPr>
          <w:rFonts w:hint="default" w:ascii="Times New Roman" w:hAnsi="Times New Roman" w:eastAsia="仿宋_GB2312" w:cs="Times New Roman"/>
          <w:b w:val="0"/>
          <w:bCs/>
          <w:color w:val="auto"/>
          <w:sz w:val="32"/>
          <w:szCs w:val="32"/>
          <w:highlight w:val="none"/>
          <w:lang w:eastAsia="zh"/>
        </w:rPr>
        <w:t>与就业帮扶长效机制，切实拓宽其职业发展空间，助力特殊群体更</w:t>
      </w:r>
      <w:r>
        <w:rPr>
          <w:rFonts w:hint="eastAsia" w:eastAsia="仿宋_GB2312" w:cs="Times New Roman"/>
          <w:b w:val="0"/>
          <w:bCs/>
          <w:color w:val="auto"/>
          <w:sz w:val="32"/>
          <w:szCs w:val="32"/>
          <w:highlight w:val="none"/>
          <w:lang w:eastAsia="zh-CN"/>
        </w:rPr>
        <w:t>好地</w:t>
      </w:r>
      <w:r>
        <w:rPr>
          <w:rFonts w:hint="default" w:ascii="Times New Roman" w:hAnsi="Times New Roman" w:eastAsia="仿宋_GB2312" w:cs="Times New Roman"/>
          <w:b w:val="0"/>
          <w:bCs/>
          <w:color w:val="auto"/>
          <w:sz w:val="32"/>
          <w:szCs w:val="32"/>
          <w:highlight w:val="none"/>
          <w:lang w:eastAsia="zh"/>
        </w:rPr>
        <w:t>融入社会。</w:t>
      </w:r>
    </w:p>
    <w:tbl>
      <w:tblPr>
        <w:tblStyle w:val="25"/>
        <w:tblW w:w="0" w:type="auto"/>
        <w:jc w:val="center"/>
        <w:tblLayout w:type="autofit"/>
        <w:tblCellMar>
          <w:top w:w="0" w:type="dxa"/>
          <w:left w:w="108" w:type="dxa"/>
          <w:bottom w:w="0" w:type="dxa"/>
          <w:right w:w="108" w:type="dxa"/>
        </w:tblCellMar>
      </w:tblPr>
      <w:tblGrid>
        <w:gridCol w:w="8296"/>
      </w:tblGrid>
      <w:tr w14:paraId="362CF4A2">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46A800A1">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专栏7-1 打</w:t>
            </w:r>
            <w:r>
              <w:rPr>
                <w:rFonts w:hint="default" w:ascii="Times New Roman" w:hAnsi="Times New Roman" w:eastAsia="楷体_GB2312" w:cs="Times New Roman"/>
                <w:b w:val="0"/>
                <w:bCs w:val="0"/>
                <w:color w:val="auto"/>
                <w:sz w:val="24"/>
                <w:highlight w:val="none"/>
                <w:lang w:eastAsia="zh-CN"/>
                <w14:ligatures w14:val="standardContextual"/>
              </w:rPr>
              <w:t>造</w:t>
            </w:r>
            <w:r>
              <w:rPr>
                <w:rFonts w:hint="default" w:ascii="Times New Roman" w:hAnsi="Times New Roman" w:eastAsia="楷体_GB2312" w:cs="Times New Roman"/>
                <w:b w:val="0"/>
                <w:bCs w:val="0"/>
                <w:color w:val="auto"/>
                <w:sz w:val="24"/>
                <w:highlight w:val="none"/>
                <w14:ligatures w14:val="standardContextual"/>
              </w:rPr>
              <w:t>高质量教育体系重大工程项目</w:t>
            </w:r>
          </w:p>
        </w:tc>
      </w:tr>
      <w:tr w14:paraId="75D7F1C5">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306786E0">
            <w:pPr>
              <w:spacing w:line="360" w:lineRule="exact"/>
              <w:ind w:firstLine="420" w:firstLineChars="200"/>
              <w:rPr>
                <w:rFonts w:hint="eastAsia" w:ascii="仿宋_GB2312" w:hAnsi="仿宋_GB2312" w:eastAsia="仿宋_GB2312" w:cs="仿宋_GB2312"/>
                <w:b w:val="0"/>
                <w:bCs w:val="0"/>
                <w:color w:val="auto"/>
                <w:szCs w:val="21"/>
                <w:highlight w:val="none"/>
              </w:rPr>
            </w:pPr>
            <w:r>
              <w:rPr>
                <w:rFonts w:hint="eastAsia" w:ascii="仿宋_GB2312" w:hAnsi="仿宋_GB2312" w:eastAsia="仿宋_GB2312" w:cs="仿宋_GB2312"/>
                <w:b w:val="0"/>
                <w:bCs w:val="0"/>
                <w:color w:val="auto"/>
                <w:szCs w:val="21"/>
                <w:highlight w:val="none"/>
              </w:rPr>
              <w:t>义务教育教学条件改善项目</w:t>
            </w:r>
            <w:r>
              <w:rPr>
                <w:rFonts w:hint="eastAsia" w:ascii="仿宋_GB2312" w:hAnsi="仿宋_GB2312" w:eastAsia="仿宋_GB2312" w:cs="仿宋_GB2312"/>
                <w:b w:val="0"/>
                <w:bCs w:val="0"/>
                <w:color w:val="auto"/>
                <w:szCs w:val="21"/>
                <w:highlight w:val="none"/>
                <w:lang w:eastAsia="zh-CN"/>
              </w:rPr>
              <w:t>。</w:t>
            </w:r>
            <w:r>
              <w:rPr>
                <w:rFonts w:hint="eastAsia" w:ascii="仿宋_GB2312" w:hAnsi="仿宋_GB2312" w:eastAsia="仿宋_GB2312" w:cs="仿宋_GB2312"/>
                <w:b w:val="0"/>
                <w:bCs w:val="0"/>
                <w:color w:val="auto"/>
                <w:szCs w:val="21"/>
                <w:highlight w:val="none"/>
              </w:rPr>
              <w:t>加快全县义务教育学校校舍维修、附属设施改造、教学设备购置。</w:t>
            </w:r>
          </w:p>
          <w:p w14:paraId="6074A434">
            <w:pPr>
              <w:spacing w:line="360" w:lineRule="exact"/>
              <w:ind w:firstLine="420" w:firstLineChars="200"/>
              <w:rPr>
                <w:rFonts w:hint="default" w:ascii="Times New Roman" w:hAnsi="Times New Roman" w:eastAsia="仿宋" w:cs="Times New Roman"/>
                <w:b w:val="0"/>
                <w:bCs w:val="0"/>
                <w:color w:val="auto"/>
                <w:szCs w:val="21"/>
                <w:highlight w:val="none"/>
              </w:rPr>
            </w:pPr>
            <w:r>
              <w:rPr>
                <w:rFonts w:hint="eastAsia" w:ascii="仿宋_GB2312" w:hAnsi="仿宋_GB2312" w:eastAsia="仿宋_GB2312" w:cs="仿宋_GB2312"/>
                <w:b w:val="0"/>
                <w:bCs w:val="0"/>
                <w:color w:val="auto"/>
                <w:szCs w:val="21"/>
                <w:highlight w:val="none"/>
              </w:rPr>
              <w:t>桦川县学前教育能力提升项目</w:t>
            </w:r>
            <w:r>
              <w:rPr>
                <w:rFonts w:hint="eastAsia" w:ascii="仿宋_GB2312" w:hAnsi="仿宋_GB2312" w:eastAsia="仿宋_GB2312" w:cs="仿宋_GB2312"/>
                <w:b w:val="0"/>
                <w:bCs w:val="0"/>
                <w:color w:val="auto"/>
                <w:szCs w:val="21"/>
                <w:highlight w:val="none"/>
                <w:lang w:eastAsia="zh-CN"/>
              </w:rPr>
              <w:t>。</w:t>
            </w:r>
            <w:r>
              <w:rPr>
                <w:rFonts w:hint="eastAsia" w:ascii="仿宋_GB2312" w:hAnsi="仿宋_GB2312" w:eastAsia="仿宋_GB2312" w:cs="仿宋_GB2312"/>
                <w:b w:val="0"/>
                <w:bCs w:val="0"/>
                <w:color w:val="auto"/>
                <w:szCs w:val="21"/>
                <w:highlight w:val="none"/>
              </w:rPr>
              <w:t>推进全县学前教育学校校舍维修、附属设施改造、教学设备购置。</w:t>
            </w:r>
          </w:p>
        </w:tc>
      </w:tr>
    </w:tbl>
    <w:p w14:paraId="75732E7E">
      <w:pPr>
        <w:pStyle w:val="3"/>
        <w:keepNext/>
        <w:keepLines/>
        <w:pageBreakBefore w:val="0"/>
        <w:widowControl w:val="0"/>
        <w:kinsoku/>
        <w:wordWrap/>
        <w:overflowPunct/>
        <w:topLinePunct w:val="0"/>
        <w:autoSpaceDE/>
        <w:autoSpaceDN/>
        <w:bidi w:val="0"/>
        <w:adjustRightInd/>
        <w:spacing w:before="0" w:after="0" w:line="560" w:lineRule="exact"/>
        <w:ind w:firstLine="0" w:firstLineChars="0"/>
        <w:jc w:val="center"/>
        <w:textAlignment w:val="auto"/>
        <w:outlineLvl w:val="1"/>
        <w:rPr>
          <w:rFonts w:hint="default" w:ascii="Times New Roman" w:hAnsi="Times New Roman" w:eastAsia="楷体" w:cs="Times New Roman"/>
          <w:b w:val="0"/>
          <w:bCs/>
          <w:color w:val="auto"/>
          <w:sz w:val="32"/>
          <w:szCs w:val="32"/>
          <w:highlight w:val="none"/>
          <w14:ligatures w14:val="standardContextual"/>
        </w:rPr>
      </w:pPr>
      <w:bookmarkStart w:id="1447" w:name="_Toc938679478"/>
      <w:bookmarkStart w:id="1448" w:name="_Toc23359"/>
      <w:bookmarkStart w:id="1449" w:name="_Toc2867"/>
      <w:bookmarkStart w:id="1450" w:name="_Toc12712"/>
      <w:bookmarkStart w:id="1451" w:name="_Toc29803"/>
      <w:bookmarkStart w:id="1452" w:name="_Toc728"/>
      <w:bookmarkStart w:id="1453" w:name="_Toc2002406866"/>
      <w:bookmarkStart w:id="1454" w:name="_Toc27028"/>
      <w:bookmarkStart w:id="1455" w:name="_Toc2529"/>
      <w:bookmarkStart w:id="1456" w:name="_Toc15296"/>
      <w:bookmarkStart w:id="1457" w:name="_Toc2888"/>
      <w:bookmarkStart w:id="1458" w:name="_Toc3164"/>
      <w:bookmarkStart w:id="1459" w:name="_Toc17279"/>
      <w:bookmarkStart w:id="1460" w:name="_Toc32175"/>
      <w:r>
        <w:rPr>
          <w:rFonts w:hint="default" w:ascii="Times New Roman" w:hAnsi="Times New Roman" w:eastAsia="楷体" w:cs="Times New Roman"/>
          <w:b w:val="0"/>
          <w:bCs/>
          <w:color w:val="auto"/>
          <w:sz w:val="32"/>
          <w:szCs w:val="32"/>
          <w:highlight w:val="none"/>
          <w14:ligatures w14:val="standardContextual"/>
        </w:rPr>
        <w:t>第二</w:t>
      </w:r>
      <w:r>
        <w:rPr>
          <w:rFonts w:hint="default" w:ascii="Times New Roman" w:hAnsi="Times New Roman" w:eastAsia="楷体" w:cs="Times New Roman"/>
          <w:b w:val="0"/>
          <w:bCs/>
          <w:color w:val="auto"/>
          <w:sz w:val="32"/>
          <w:szCs w:val="32"/>
          <w:highlight w:val="none"/>
          <w:lang w:eastAsia="zh"/>
          <w14:ligatures w14:val="standardContextual"/>
          <w:woUserID w:val="0"/>
        </w:rPr>
        <w:t>章</w:t>
      </w:r>
      <w:r>
        <w:rPr>
          <w:rFonts w:hint="default" w:ascii="Times New Roman" w:hAnsi="Times New Roman" w:eastAsia="楷体" w:cs="Times New Roman"/>
          <w:b w:val="0"/>
          <w:bCs/>
          <w:color w:val="auto"/>
          <w:sz w:val="32"/>
          <w:szCs w:val="32"/>
          <w:highlight w:val="none"/>
          <w14:ligatures w14:val="standardContextual"/>
        </w:rPr>
        <w:t xml:space="preserve"> 打造优质高效医疗卫生服务体系</w:t>
      </w:r>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p>
    <w:p w14:paraId="360DE18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bookmarkStart w:id="1461" w:name="_Toc83993632"/>
      <w:bookmarkStart w:id="1462" w:name="_Toc696714869"/>
      <w:r>
        <w:rPr>
          <w:rFonts w:hint="default" w:ascii="Times New Roman" w:hAnsi="Times New Roman" w:eastAsia="仿宋_GB2312" w:cs="Times New Roman"/>
          <w:b w:val="0"/>
          <w:bCs/>
          <w:color w:val="auto"/>
          <w:sz w:val="32"/>
          <w:szCs w:val="32"/>
          <w:highlight w:val="none"/>
          <w:lang w:eastAsia="zh"/>
        </w:rPr>
        <w:t>聚焦均衡资源与创新机制，通过实施资源布局优化、智慧医疗突破、</w:t>
      </w:r>
      <w:r>
        <w:rPr>
          <w:rFonts w:hint="eastAsia" w:eastAsia="仿宋_GB2312" w:cs="Times New Roman"/>
          <w:b w:val="0"/>
          <w:bCs/>
          <w:color w:val="auto"/>
          <w:sz w:val="32"/>
          <w:szCs w:val="32"/>
          <w:highlight w:val="none"/>
          <w:lang w:eastAsia="zh-CN"/>
        </w:rPr>
        <w:t>中医药传承创新发展</w:t>
      </w:r>
      <w:r>
        <w:rPr>
          <w:rFonts w:hint="default" w:ascii="Times New Roman" w:hAnsi="Times New Roman" w:eastAsia="仿宋_GB2312" w:cs="Times New Roman"/>
          <w:b w:val="0"/>
          <w:bCs/>
          <w:color w:val="auto"/>
          <w:sz w:val="32"/>
          <w:szCs w:val="32"/>
          <w:highlight w:val="none"/>
          <w:lang w:eastAsia="zh"/>
        </w:rPr>
        <w:t>等重点任务，加快构建优质高效的医疗卫生服务体系，全面提升人民健康水平。</w:t>
      </w:r>
      <w:bookmarkEnd w:id="1461"/>
      <w:bookmarkEnd w:id="1462"/>
    </w:p>
    <w:p w14:paraId="1324D149">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1463" w:name="_Toc12777"/>
      <w:bookmarkStart w:id="1464" w:name="_Toc15524"/>
      <w:bookmarkStart w:id="1465" w:name="_Toc825"/>
      <w:bookmarkStart w:id="1466" w:name="_Toc30186"/>
      <w:bookmarkStart w:id="1467" w:name="_Toc5812"/>
      <w:bookmarkStart w:id="1468" w:name="_Toc13130"/>
      <w:bookmarkStart w:id="1469" w:name="_Toc1780"/>
      <w:bookmarkStart w:id="1470" w:name="_Toc27477"/>
      <w:bookmarkStart w:id="1471" w:name="_Toc13507"/>
      <w:r>
        <w:rPr>
          <w:rFonts w:hint="default" w:ascii="Times New Roman" w:hAnsi="Times New Roman" w:eastAsia="仿宋_GB2312" w:cs="Times New Roman"/>
          <w:b w:val="0"/>
          <w:bCs/>
          <w:color w:val="auto"/>
          <w:sz w:val="32"/>
          <w:szCs w:val="32"/>
          <w:highlight w:val="none"/>
          <w:u w:val="none"/>
          <w:lang w:eastAsia="zh" w:bidi="ar"/>
          <w:woUserID w:val="0"/>
        </w:rPr>
        <w:t>第一节</w:t>
      </w:r>
      <w:r>
        <w:rPr>
          <w:rFonts w:hint="default" w:ascii="Times New Roman" w:hAnsi="Times New Roman" w:eastAsia="仿宋_GB2312" w:cs="Times New Roman"/>
          <w:b w:val="0"/>
          <w:bCs/>
          <w:color w:val="auto"/>
          <w:sz w:val="32"/>
          <w:szCs w:val="32"/>
          <w:highlight w:val="none"/>
          <w:u w:val="none"/>
          <w:lang w:eastAsia="zh-CN" w:bidi="ar"/>
          <w:woUserID w:val="0"/>
        </w:rPr>
        <w:t xml:space="preserve"> </w:t>
      </w:r>
      <w:r>
        <w:rPr>
          <w:rFonts w:hint="default" w:ascii="Times New Roman" w:hAnsi="Times New Roman" w:eastAsia="仿宋_GB2312" w:cs="Times New Roman"/>
          <w:b w:val="0"/>
          <w:bCs/>
          <w:color w:val="auto"/>
          <w:sz w:val="32"/>
          <w:szCs w:val="32"/>
          <w:highlight w:val="none"/>
          <w:u w:val="none"/>
          <w:lang w:eastAsia="zh" w:bidi="ar"/>
          <w:woUserID w:val="0"/>
        </w:rPr>
        <w:t>推动区域医疗资源均衡布局</w:t>
      </w:r>
      <w:bookmarkEnd w:id="1463"/>
      <w:bookmarkEnd w:id="1464"/>
      <w:bookmarkEnd w:id="1465"/>
      <w:bookmarkEnd w:id="1466"/>
      <w:bookmarkEnd w:id="1467"/>
      <w:bookmarkEnd w:id="1468"/>
      <w:bookmarkEnd w:id="1469"/>
      <w:bookmarkEnd w:id="1470"/>
      <w:bookmarkEnd w:id="1471"/>
    </w:p>
    <w:p w14:paraId="70C4AF7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提高优质医疗资源供给，加快推进悦来城区和乡（镇）卫生院的新建改建扩建，提升各级医疗机构应急急救保障能力。实施医疗卫生强基工程，推动优质医疗资源均衡布局，加快推进紧密型医疗共同体建设和区域诊疗中心建设，构建悦来主城区医院与乡镇基层医疗卫生机构的纵向协作机制，加快构建“县医院</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eastAsia="zh"/>
        </w:rPr>
        <w:t>乡镇卫生院</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eastAsia="zh"/>
        </w:rPr>
        <w:t>村卫生室”三级医疗卫生服务体系。优化硬件基础设施，推进城乡医疗机构标准化建设，确保城乡居民能享受到同质化的高质量医疗服务。创新人才流动和激励机制，探索建立“双向培育”模式，打通悦来主城区与乡镇卫生院人才研学、坐诊、挂职、晋升通道。鼓励村镇卫生院借助智慧医疗平台，与主城区医院建立高效的远程协作关系，实现远程诊疗与资源共享。到2030年，全县医疗资源全域均衡化取得显著成效，医联体与医共体覆盖率达到100%，城乡基层医疗机构标准化建设达标率达到100%。</w:t>
      </w:r>
      <w:bookmarkStart w:id="1472" w:name="_Toc557481548"/>
      <w:bookmarkStart w:id="1473" w:name="_Toc1599587730"/>
    </w:p>
    <w:p w14:paraId="34AE6459">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1474" w:name="_Toc12686"/>
      <w:bookmarkStart w:id="1475" w:name="_Toc27728"/>
      <w:bookmarkStart w:id="1476" w:name="_Toc17752"/>
      <w:bookmarkStart w:id="1477" w:name="_Toc18395"/>
      <w:bookmarkStart w:id="1478" w:name="_Toc8562"/>
      <w:bookmarkStart w:id="1479" w:name="_Toc23325"/>
      <w:bookmarkStart w:id="1480" w:name="_Toc28833"/>
      <w:bookmarkStart w:id="1481" w:name="_Toc11436"/>
      <w:bookmarkStart w:id="1482" w:name="_Toc25641"/>
      <w:r>
        <w:rPr>
          <w:rFonts w:hint="default" w:ascii="Times New Roman" w:hAnsi="Times New Roman" w:eastAsia="仿宋_GB2312" w:cs="Times New Roman"/>
          <w:b w:val="0"/>
          <w:bCs/>
          <w:color w:val="auto"/>
          <w:sz w:val="32"/>
          <w:szCs w:val="32"/>
          <w:highlight w:val="none"/>
          <w:u w:val="none"/>
          <w:lang w:eastAsia="zh" w:bidi="ar"/>
          <w:woUserID w:val="0"/>
        </w:rPr>
        <w:t>第二节</w:t>
      </w:r>
      <w:r>
        <w:rPr>
          <w:rFonts w:hint="default" w:ascii="Times New Roman" w:hAnsi="Times New Roman" w:eastAsia="仿宋_GB2312" w:cs="Times New Roman"/>
          <w:b w:val="0"/>
          <w:bCs/>
          <w:color w:val="auto"/>
          <w:sz w:val="32"/>
          <w:szCs w:val="32"/>
          <w:highlight w:val="none"/>
          <w:u w:val="none"/>
          <w:lang w:eastAsia="zh-CN" w:bidi="ar"/>
          <w:woUserID w:val="0"/>
        </w:rPr>
        <w:t xml:space="preserve"> </w:t>
      </w:r>
      <w:r>
        <w:rPr>
          <w:rFonts w:hint="default" w:ascii="Times New Roman" w:hAnsi="Times New Roman" w:eastAsia="仿宋_GB2312" w:cs="Times New Roman"/>
          <w:b w:val="0"/>
          <w:bCs/>
          <w:color w:val="auto"/>
          <w:sz w:val="32"/>
          <w:szCs w:val="32"/>
          <w:highlight w:val="none"/>
          <w:u w:val="none"/>
          <w:lang w:eastAsia="zh" w:bidi="ar"/>
          <w:woUserID w:val="0"/>
        </w:rPr>
        <w:t>强化公共卫生服务能力</w:t>
      </w:r>
      <w:bookmarkEnd w:id="1472"/>
      <w:bookmarkEnd w:id="1473"/>
      <w:bookmarkEnd w:id="1474"/>
      <w:bookmarkEnd w:id="1475"/>
      <w:bookmarkEnd w:id="1476"/>
      <w:bookmarkEnd w:id="1477"/>
      <w:bookmarkEnd w:id="1478"/>
      <w:bookmarkEnd w:id="1479"/>
      <w:bookmarkEnd w:id="1480"/>
      <w:bookmarkEnd w:id="1481"/>
      <w:bookmarkEnd w:id="1482"/>
    </w:p>
    <w:p w14:paraId="241F445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聚焦“一老一小”和慢性病患者等重点人群，结合“儿科和精神卫生服务年”“体重管理年”等重点工作，提高重点人群健康管理服务水平。强化传染病防控监测预警和应急处置，实施“平急两用”基础设施标准化改造工程，建立“县</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eastAsia="zh"/>
        </w:rPr>
        <w:t>乡（镇）</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eastAsia="zh"/>
        </w:rPr>
        <w:t>社区（村、企业）”三级联动应急保障物资体系，完善重大疾病预防控制机制。建设桦川县健康医疗大数据共享平台，打通县疾控中心、县属各级医院、乡镇卫生院、社区卫生服务中心的信息系统。推行分层分类的家庭医生签约服务，构建</w:t>
      </w:r>
      <w:r>
        <w:rPr>
          <w:rFonts w:hint="default" w:ascii="Times New Roman" w:hAnsi="Times New Roman" w:eastAsia="仿宋_GB2312" w:cs="Times New Roman"/>
          <w:b w:val="0"/>
          <w:bCs/>
          <w:color w:val="auto"/>
          <w:sz w:val="32"/>
          <w:szCs w:val="32"/>
          <w:highlight w:val="none"/>
          <w:lang w:eastAsia="zh-CN"/>
        </w:rPr>
        <w:t>居家医疗服务网格化的老年人</w:t>
      </w:r>
      <w:r>
        <w:rPr>
          <w:rFonts w:hint="default" w:ascii="Times New Roman" w:hAnsi="Times New Roman" w:eastAsia="仿宋_GB2312" w:cs="Times New Roman"/>
          <w:b w:val="0"/>
          <w:bCs/>
          <w:color w:val="auto"/>
          <w:sz w:val="32"/>
          <w:szCs w:val="32"/>
          <w:highlight w:val="none"/>
          <w:lang w:eastAsia="zh"/>
        </w:rPr>
        <w:t>健康服务体系，聚焦大学生等“新市民”与精神障碍患者、残疾人等弱势群体，提供分类别、个性化的健康服务供给。完善精神卫生服务网络，推动重点医院开设心理门诊和睡眠门诊。到2030年，全县基本建成15分钟基层医疗健康服务圈，完成适老爱幼友好型医疗服务体系改造。</w:t>
      </w:r>
    </w:p>
    <w:p w14:paraId="601582DB">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1483" w:name="_Toc29703"/>
      <w:bookmarkStart w:id="1484" w:name="_Toc20568"/>
      <w:bookmarkStart w:id="1485" w:name="_Toc18363"/>
      <w:bookmarkStart w:id="1486" w:name="_Toc787379215"/>
      <w:bookmarkStart w:id="1487" w:name="_Toc2343"/>
      <w:bookmarkStart w:id="1488" w:name="_Toc14051"/>
      <w:bookmarkStart w:id="1489" w:name="_Toc6456"/>
      <w:bookmarkStart w:id="1490" w:name="_Toc29437"/>
      <w:bookmarkStart w:id="1491" w:name="_Toc2113225378"/>
      <w:bookmarkStart w:id="1492" w:name="_Toc32539"/>
      <w:bookmarkStart w:id="1493" w:name="_Toc20246"/>
      <w:r>
        <w:rPr>
          <w:rFonts w:hint="default" w:ascii="Times New Roman" w:hAnsi="Times New Roman" w:eastAsia="仿宋_GB2312" w:cs="Times New Roman"/>
          <w:b w:val="0"/>
          <w:bCs/>
          <w:color w:val="auto"/>
          <w:sz w:val="32"/>
          <w:szCs w:val="32"/>
          <w:highlight w:val="none"/>
          <w:u w:val="none"/>
          <w:lang w:eastAsia="zh" w:bidi="ar"/>
          <w:woUserID w:val="0"/>
        </w:rPr>
        <w:t>第三节</w:t>
      </w:r>
      <w:r>
        <w:rPr>
          <w:rFonts w:hint="default" w:ascii="Times New Roman" w:hAnsi="Times New Roman" w:eastAsia="仿宋_GB2312" w:cs="Times New Roman"/>
          <w:b w:val="0"/>
          <w:bCs/>
          <w:color w:val="auto"/>
          <w:sz w:val="32"/>
          <w:szCs w:val="32"/>
          <w:highlight w:val="none"/>
          <w:u w:val="none"/>
          <w:lang w:eastAsia="zh-CN" w:bidi="ar"/>
          <w:woUserID w:val="0"/>
        </w:rPr>
        <w:t xml:space="preserve"> </w:t>
      </w:r>
      <w:r>
        <w:rPr>
          <w:rFonts w:hint="default" w:ascii="Times New Roman" w:hAnsi="Times New Roman" w:eastAsia="仿宋_GB2312" w:cs="Times New Roman"/>
          <w:b w:val="0"/>
          <w:bCs/>
          <w:color w:val="auto"/>
          <w:sz w:val="32"/>
          <w:szCs w:val="32"/>
          <w:highlight w:val="none"/>
          <w:u w:val="none"/>
          <w:lang w:eastAsia="zh" w:bidi="ar"/>
          <w:woUserID w:val="0"/>
        </w:rPr>
        <w:t>推进</w:t>
      </w:r>
      <w:r>
        <w:rPr>
          <w:rFonts w:hint="eastAsia" w:eastAsia="仿宋_GB2312" w:cs="Times New Roman"/>
          <w:b w:val="0"/>
          <w:bCs/>
          <w:color w:val="auto"/>
          <w:sz w:val="32"/>
          <w:szCs w:val="32"/>
          <w:highlight w:val="none"/>
          <w:u w:val="none"/>
          <w:lang w:eastAsia="zh-CN" w:bidi="ar"/>
          <w:woUserID w:val="0"/>
        </w:rPr>
        <w:t>全民健康数智化建设</w:t>
      </w:r>
      <w:bookmarkEnd w:id="1483"/>
      <w:bookmarkEnd w:id="1484"/>
      <w:bookmarkEnd w:id="1485"/>
      <w:bookmarkEnd w:id="1486"/>
      <w:bookmarkEnd w:id="1487"/>
      <w:bookmarkEnd w:id="1488"/>
      <w:bookmarkEnd w:id="1489"/>
      <w:bookmarkEnd w:id="1490"/>
      <w:bookmarkEnd w:id="1491"/>
      <w:bookmarkEnd w:id="1492"/>
      <w:bookmarkEnd w:id="1493"/>
    </w:p>
    <w:p w14:paraId="3FB4690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制定统一的数据标准和接口规范，建设区域医疗信息平台，打破县域医院、社区卫生服务中心“数据孤岛”问题。发展远程医疗服务，推动县人民医院和中医院的远程诊断技术向基层下沉。全面发展智慧医疗服务，完善预约挂号、在线支付、电子病历等服务流程，推广诊间支付、信用就医、人工智能辅助诊断、疾病咨询AI等模式，切实改善群众的就医体验。建设区域医疗质量智能监管系统，建立医疗数据分级授权机制，接入医疗监管云管家，实现医疗服务质量全流程动态监管。到2030年，远程会诊响应时间缩短至30分钟以内。</w:t>
      </w:r>
    </w:p>
    <w:p w14:paraId="1C6874BA">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1494" w:name="_Toc12695"/>
      <w:bookmarkStart w:id="1495" w:name="_Toc25078"/>
      <w:bookmarkStart w:id="1496" w:name="_Toc3573"/>
      <w:bookmarkStart w:id="1497" w:name="_Toc32480"/>
      <w:bookmarkStart w:id="1498" w:name="_Toc27383"/>
      <w:bookmarkStart w:id="1499" w:name="_Toc10142"/>
      <w:bookmarkStart w:id="1500" w:name="_Toc3922"/>
      <w:bookmarkStart w:id="1501" w:name="_Toc18425"/>
      <w:bookmarkStart w:id="1502" w:name="_Toc657"/>
      <w:r>
        <w:rPr>
          <w:rFonts w:hint="default" w:ascii="Times New Roman" w:hAnsi="Times New Roman" w:eastAsia="仿宋_GB2312" w:cs="Times New Roman"/>
          <w:b w:val="0"/>
          <w:bCs/>
          <w:color w:val="auto"/>
          <w:sz w:val="32"/>
          <w:szCs w:val="32"/>
          <w:highlight w:val="none"/>
          <w:u w:val="none"/>
          <w:lang w:eastAsia="zh" w:bidi="ar"/>
          <w:woUserID w:val="0"/>
        </w:rPr>
        <w:t>第四节</w:t>
      </w:r>
      <w:r>
        <w:rPr>
          <w:rFonts w:hint="default" w:ascii="Times New Roman" w:hAnsi="Times New Roman" w:eastAsia="仿宋_GB2312" w:cs="Times New Roman"/>
          <w:b w:val="0"/>
          <w:bCs/>
          <w:color w:val="auto"/>
          <w:sz w:val="32"/>
          <w:szCs w:val="32"/>
          <w:highlight w:val="none"/>
          <w:u w:val="none"/>
          <w:lang w:eastAsia="zh-CN" w:bidi="ar"/>
          <w:woUserID w:val="0"/>
        </w:rPr>
        <w:t xml:space="preserve"> </w:t>
      </w:r>
      <w:r>
        <w:rPr>
          <w:rFonts w:hint="default" w:ascii="Times New Roman" w:hAnsi="Times New Roman" w:eastAsia="仿宋_GB2312" w:cs="Times New Roman"/>
          <w:b w:val="0"/>
          <w:bCs/>
          <w:color w:val="auto"/>
          <w:sz w:val="32"/>
          <w:szCs w:val="32"/>
          <w:highlight w:val="none"/>
          <w:u w:val="none"/>
          <w:lang w:eastAsia="zh" w:bidi="ar"/>
          <w:woUserID w:val="0"/>
        </w:rPr>
        <w:t>推进中医药传承创新</w:t>
      </w:r>
      <w:bookmarkEnd w:id="1494"/>
      <w:bookmarkEnd w:id="1495"/>
      <w:bookmarkEnd w:id="1496"/>
      <w:bookmarkEnd w:id="1497"/>
      <w:bookmarkEnd w:id="1498"/>
      <w:bookmarkEnd w:id="1499"/>
      <w:bookmarkEnd w:id="1500"/>
      <w:bookmarkEnd w:id="1501"/>
      <w:bookmarkEnd w:id="1502"/>
    </w:p>
    <w:p w14:paraId="4614CE4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以县中医医院为枢纽，整合全县中医药资源，构建联动社区卫生服务中心、乡镇卫生院及村卫生室的中医药协作联盟，打造桦川中医连锁超市。加强中医分级诊疗体系建设，加大基层中医科室设备投入</w:t>
      </w:r>
      <w:r>
        <w:rPr>
          <w:rFonts w:hint="default" w:ascii="Times New Roman" w:hAnsi="Times New Roman" w:eastAsia="仿宋_GB2312" w:cs="Times New Roman"/>
          <w:b w:val="0"/>
          <w:bCs/>
          <w:color w:val="auto"/>
          <w:sz w:val="32"/>
          <w:szCs w:val="32"/>
          <w:highlight w:val="none"/>
          <w:lang w:eastAsia="zh-CN"/>
        </w:rPr>
        <w:t>，提高基层医疗机构治未病能力</w:t>
      </w:r>
      <w:r>
        <w:rPr>
          <w:rFonts w:hint="default" w:ascii="Times New Roman" w:hAnsi="Times New Roman" w:eastAsia="仿宋_GB2312" w:cs="Times New Roman"/>
          <w:b w:val="0"/>
          <w:bCs/>
          <w:color w:val="auto"/>
          <w:sz w:val="32"/>
          <w:szCs w:val="32"/>
          <w:highlight w:val="none"/>
          <w:lang w:eastAsia="zh"/>
        </w:rPr>
        <w:t>。创新</w:t>
      </w:r>
      <w:r>
        <w:rPr>
          <w:rFonts w:hint="default" w:ascii="Times New Roman" w:hAnsi="Times New Roman" w:eastAsia="仿宋_GB2312" w:cs="Times New Roman"/>
          <w:b w:val="0"/>
          <w:bCs/>
          <w:color w:val="auto"/>
          <w:sz w:val="32"/>
          <w:szCs w:val="32"/>
          <w:highlight w:val="none"/>
          <w:lang w:eastAsia="zh-CN"/>
        </w:rPr>
        <w:t>中医</w:t>
      </w:r>
      <w:r>
        <w:rPr>
          <w:rFonts w:hint="default" w:ascii="Times New Roman" w:hAnsi="Times New Roman" w:eastAsia="仿宋_GB2312" w:cs="Times New Roman"/>
          <w:b w:val="0"/>
          <w:bCs/>
          <w:color w:val="auto"/>
          <w:sz w:val="32"/>
          <w:szCs w:val="32"/>
          <w:highlight w:val="none"/>
          <w:lang w:eastAsia="zh"/>
        </w:rPr>
        <w:t>“医养结合”</w:t>
      </w:r>
      <w:r>
        <w:rPr>
          <w:rFonts w:hint="default" w:ascii="Times New Roman" w:hAnsi="Times New Roman" w:eastAsia="仿宋_GB2312" w:cs="Times New Roman"/>
          <w:b w:val="0"/>
          <w:bCs/>
          <w:color w:val="auto"/>
          <w:sz w:val="32"/>
          <w:szCs w:val="32"/>
          <w:highlight w:val="none"/>
          <w:lang w:eastAsia="zh-CN"/>
        </w:rPr>
        <w:t>新</w:t>
      </w:r>
      <w:r>
        <w:rPr>
          <w:rFonts w:hint="default" w:ascii="Times New Roman" w:hAnsi="Times New Roman" w:eastAsia="仿宋_GB2312" w:cs="Times New Roman"/>
          <w:b w:val="0"/>
          <w:bCs/>
          <w:color w:val="auto"/>
          <w:sz w:val="32"/>
          <w:szCs w:val="32"/>
          <w:highlight w:val="none"/>
          <w:lang w:eastAsia="zh"/>
        </w:rPr>
        <w:t>模式，开发药食同源产品，打造具有区域特色的中医药品牌。加强中医领域人才引育机制，积极推广“名医带徒”计划，每年定向培养本土中医药骨干人才，建立中医人才工作室。</w:t>
      </w:r>
    </w:p>
    <w:tbl>
      <w:tblPr>
        <w:tblStyle w:val="25"/>
        <w:tblW w:w="0" w:type="auto"/>
        <w:jc w:val="center"/>
        <w:tblLayout w:type="autofit"/>
        <w:tblCellMar>
          <w:top w:w="0" w:type="dxa"/>
          <w:left w:w="108" w:type="dxa"/>
          <w:bottom w:w="0" w:type="dxa"/>
          <w:right w:w="108" w:type="dxa"/>
        </w:tblCellMar>
      </w:tblPr>
      <w:tblGrid>
        <w:gridCol w:w="8296"/>
      </w:tblGrid>
      <w:tr w14:paraId="67940533">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76C7BC69">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专栏7-2 打造优质高效医疗卫生服务体系重大工程项目</w:t>
            </w:r>
          </w:p>
        </w:tc>
      </w:tr>
      <w:tr w14:paraId="365AEA72">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7F5704E9">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紧密型医联体专项。桦川县中心乡镇卫生院建设项目、桦川县紧密型县域医共体5大共享中心改扩建及相关设施设备购置项目、县中医院综合楼选址新建项目、桦川县公立医院病房条件改造项目等。</w:t>
            </w:r>
          </w:p>
          <w:p w14:paraId="5E7171DA">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医养结合专项。桦川县中医医院医养结合新建项目、桦川县妇幼保健医养结合中心改扩建项目、桦川县人民医院慢病中心建设项目、传染病监测预警及疾控中心疾病预防检验项目等。</w:t>
            </w:r>
          </w:p>
          <w:p w14:paraId="597D48B3">
            <w:pPr>
              <w:spacing w:line="360" w:lineRule="exact"/>
              <w:ind w:firstLine="420" w:firstLineChars="200"/>
              <w:rPr>
                <w:rFonts w:hint="default" w:ascii="Times New Roman" w:hAnsi="Times New Roman" w:eastAsia="仿宋"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临终关怀及服务专项。桦川县医疗机构临终关怀区建设项目等。</w:t>
            </w:r>
          </w:p>
        </w:tc>
      </w:tr>
    </w:tbl>
    <w:p w14:paraId="55D35DEA">
      <w:pPr>
        <w:pStyle w:val="3"/>
        <w:keepNext/>
        <w:keepLines/>
        <w:pageBreakBefore w:val="0"/>
        <w:widowControl w:val="0"/>
        <w:kinsoku/>
        <w:wordWrap/>
        <w:overflowPunct/>
        <w:topLinePunct w:val="0"/>
        <w:autoSpaceDE/>
        <w:autoSpaceDN/>
        <w:bidi w:val="0"/>
        <w:adjustRightInd/>
        <w:spacing w:before="0" w:after="0" w:line="560" w:lineRule="exact"/>
        <w:ind w:firstLine="0" w:firstLineChars="0"/>
        <w:jc w:val="center"/>
        <w:textAlignment w:val="auto"/>
        <w:outlineLvl w:val="1"/>
        <w:rPr>
          <w:rFonts w:hint="default" w:ascii="Times New Roman" w:hAnsi="Times New Roman" w:eastAsia="楷体" w:cs="Times New Roman"/>
          <w:b w:val="0"/>
          <w:bCs/>
          <w:color w:val="auto"/>
          <w:sz w:val="32"/>
          <w:szCs w:val="32"/>
          <w:highlight w:val="none"/>
          <w14:ligatures w14:val="standardContextual"/>
        </w:rPr>
      </w:pPr>
      <w:bookmarkStart w:id="1503" w:name="_Toc28533"/>
      <w:bookmarkStart w:id="1504" w:name="_Toc26591"/>
      <w:bookmarkStart w:id="1505" w:name="_Toc29948"/>
      <w:bookmarkStart w:id="1506" w:name="_Toc2021173018"/>
      <w:bookmarkStart w:id="1507" w:name="_Toc20315"/>
      <w:bookmarkStart w:id="1508" w:name="_Toc32736"/>
      <w:bookmarkStart w:id="1509" w:name="_Toc21230"/>
      <w:bookmarkStart w:id="1510" w:name="_Toc32020"/>
      <w:bookmarkStart w:id="1511" w:name="_Toc11613"/>
      <w:bookmarkStart w:id="1512" w:name="_Toc22974"/>
      <w:bookmarkStart w:id="1513" w:name="_Toc327176162"/>
      <w:bookmarkStart w:id="1514" w:name="_Toc24771"/>
      <w:bookmarkStart w:id="1515" w:name="_Toc31394"/>
      <w:bookmarkStart w:id="1516" w:name="_Toc22722"/>
      <w:r>
        <w:rPr>
          <w:rFonts w:hint="default" w:ascii="Times New Roman" w:hAnsi="Times New Roman" w:eastAsia="楷体" w:cs="Times New Roman"/>
          <w:b w:val="0"/>
          <w:bCs/>
          <w:color w:val="auto"/>
          <w:sz w:val="32"/>
          <w:szCs w:val="32"/>
          <w:highlight w:val="none"/>
          <w14:ligatures w14:val="standardContextual"/>
        </w:rPr>
        <w:t>第三</w:t>
      </w:r>
      <w:r>
        <w:rPr>
          <w:rFonts w:hint="default" w:ascii="Times New Roman" w:hAnsi="Times New Roman" w:eastAsia="楷体" w:cs="Times New Roman"/>
          <w:b w:val="0"/>
          <w:bCs/>
          <w:color w:val="auto"/>
          <w:sz w:val="32"/>
          <w:szCs w:val="32"/>
          <w:highlight w:val="none"/>
          <w:lang w:eastAsia="zh"/>
          <w14:ligatures w14:val="standardContextual"/>
          <w:woUserID w:val="0"/>
        </w:rPr>
        <w:t>章</w:t>
      </w:r>
      <w:r>
        <w:rPr>
          <w:rFonts w:hint="default" w:ascii="Times New Roman" w:hAnsi="Times New Roman" w:eastAsia="楷体" w:cs="Times New Roman"/>
          <w:b w:val="0"/>
          <w:bCs/>
          <w:color w:val="auto"/>
          <w:sz w:val="32"/>
          <w:szCs w:val="32"/>
          <w:highlight w:val="none"/>
          <w14:ligatures w14:val="standardContextual"/>
        </w:rPr>
        <w:t xml:space="preserve"> 完善人口全生命周期服务体系</w:t>
      </w:r>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p>
    <w:p w14:paraId="70840CF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bookmarkStart w:id="1517" w:name="_Toc1350599942"/>
      <w:bookmarkStart w:id="1518" w:name="_Toc1763763749"/>
      <w:r>
        <w:rPr>
          <w:rFonts w:hint="default" w:ascii="Times New Roman" w:hAnsi="Times New Roman" w:eastAsia="仿宋_GB2312" w:cs="Times New Roman"/>
          <w:b w:val="0"/>
          <w:bCs/>
          <w:color w:val="auto"/>
          <w:sz w:val="32"/>
          <w:szCs w:val="32"/>
          <w:highlight w:val="none"/>
          <w:lang w:eastAsia="zh"/>
        </w:rPr>
        <w:t>健全覆盖全人群、全生命周期的人口服务体系，聚焦巩固深化青年发展型城市建设、完善生育托育服务体系、提高养老服务水平等重点任务，加快形成对青年、幼儿、老年的全域友好环境，推动实现“青有所为、幼有优育、老有善养”，增强全区的人口凝聚力和发展活力，促进人口高质量发展。</w:t>
      </w:r>
    </w:p>
    <w:p w14:paraId="3D755DA3">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1519" w:name="_Toc27950"/>
      <w:bookmarkStart w:id="1520" w:name="_Toc1969"/>
      <w:bookmarkStart w:id="1521" w:name="_Toc16660"/>
      <w:bookmarkStart w:id="1522" w:name="_Toc11319"/>
      <w:bookmarkStart w:id="1523" w:name="_Toc29139"/>
      <w:bookmarkStart w:id="1524" w:name="_Toc32662"/>
      <w:bookmarkStart w:id="1525" w:name="_Toc22911"/>
      <w:bookmarkStart w:id="1526" w:name="_Toc14992"/>
      <w:bookmarkStart w:id="1527" w:name="_Toc10336"/>
      <w:r>
        <w:rPr>
          <w:rFonts w:hint="default" w:ascii="Times New Roman" w:hAnsi="Times New Roman" w:eastAsia="仿宋_GB2312" w:cs="Times New Roman"/>
          <w:b w:val="0"/>
          <w:bCs/>
          <w:color w:val="auto"/>
          <w:sz w:val="32"/>
          <w:szCs w:val="32"/>
          <w:highlight w:val="none"/>
          <w:u w:val="none"/>
          <w:lang w:eastAsia="zh" w:bidi="ar"/>
          <w:woUserID w:val="0"/>
        </w:rPr>
        <w:t>第一节</w:t>
      </w:r>
      <w:r>
        <w:rPr>
          <w:rFonts w:hint="default" w:ascii="Times New Roman" w:hAnsi="Times New Roman" w:eastAsia="仿宋_GB2312" w:cs="Times New Roman"/>
          <w:b w:val="0"/>
          <w:bCs/>
          <w:color w:val="auto"/>
          <w:sz w:val="32"/>
          <w:szCs w:val="32"/>
          <w:highlight w:val="none"/>
          <w:u w:val="none"/>
          <w:lang w:eastAsia="zh-CN" w:bidi="ar"/>
          <w:woUserID w:val="0"/>
        </w:rPr>
        <w:t xml:space="preserve"> </w:t>
      </w:r>
      <w:r>
        <w:rPr>
          <w:rFonts w:hint="default" w:ascii="Times New Roman" w:hAnsi="Times New Roman" w:eastAsia="仿宋_GB2312" w:cs="Times New Roman"/>
          <w:b w:val="0"/>
          <w:bCs/>
          <w:color w:val="auto"/>
          <w:sz w:val="32"/>
          <w:szCs w:val="32"/>
          <w:highlight w:val="none"/>
          <w:u w:val="none"/>
          <w:lang w:eastAsia="zh" w:bidi="ar"/>
          <w:woUserID w:val="0"/>
        </w:rPr>
        <w:t>完善生育托育服务体系</w:t>
      </w:r>
      <w:bookmarkEnd w:id="1517"/>
      <w:bookmarkEnd w:id="1518"/>
      <w:bookmarkEnd w:id="1519"/>
      <w:bookmarkEnd w:id="1520"/>
      <w:bookmarkEnd w:id="1521"/>
      <w:bookmarkEnd w:id="1522"/>
      <w:bookmarkEnd w:id="1523"/>
      <w:bookmarkEnd w:id="1524"/>
      <w:bookmarkEnd w:id="1525"/>
      <w:bookmarkEnd w:id="1526"/>
      <w:bookmarkEnd w:id="1527"/>
    </w:p>
    <w:p w14:paraId="261B577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建立覆盖孕前、孕期、分娩、产后全过程的高质量生育服务体系，优化生育支持政策，延续生育补贴并动态调整标准。强化普惠托育服务，将普惠托育服务作为重点民生工程，着力解决0</w:t>
      </w:r>
      <w:r>
        <w:rPr>
          <w:rFonts w:hint="eastAsia" w:ascii="Times New Roman" w:hAnsi="Times New Roman" w:eastAsia="仿宋_GB2312" w:cs="Times New Roman"/>
          <w:b w:val="0"/>
          <w:bCs/>
          <w:color w:val="auto"/>
          <w:sz w:val="32"/>
          <w:szCs w:val="32"/>
          <w:highlight w:val="none"/>
          <w:lang w:val="en-US" w:eastAsia="zh-CN"/>
        </w:rPr>
        <w:t>-</w:t>
      </w:r>
      <w:r>
        <w:rPr>
          <w:rFonts w:hint="default" w:ascii="Times New Roman" w:hAnsi="Times New Roman" w:eastAsia="仿宋_GB2312" w:cs="Times New Roman"/>
          <w:b w:val="0"/>
          <w:bCs/>
          <w:color w:val="auto"/>
          <w:sz w:val="32"/>
          <w:szCs w:val="32"/>
          <w:highlight w:val="none"/>
          <w:lang w:eastAsia="zh"/>
        </w:rPr>
        <w:t>3岁婴幼儿家庭的照护难题，大规模扩充</w:t>
      </w:r>
      <w:r>
        <w:rPr>
          <w:rFonts w:hint="eastAsia" w:eastAsia="仿宋_GB2312" w:cs="Times New Roman"/>
          <w:b w:val="0"/>
          <w:bCs/>
          <w:color w:val="auto"/>
          <w:sz w:val="32"/>
          <w:szCs w:val="32"/>
          <w:highlight w:val="none"/>
          <w:lang w:eastAsia="zh-CN"/>
        </w:rPr>
        <w:t>普惠托育服务</w:t>
      </w:r>
      <w:r>
        <w:rPr>
          <w:rFonts w:hint="default" w:ascii="Times New Roman" w:hAnsi="Times New Roman" w:eastAsia="仿宋_GB2312" w:cs="Times New Roman"/>
          <w:b w:val="0"/>
          <w:bCs/>
          <w:color w:val="auto"/>
          <w:sz w:val="32"/>
          <w:szCs w:val="32"/>
          <w:highlight w:val="none"/>
          <w:lang w:eastAsia="zh"/>
        </w:rPr>
        <w:t>供给，鼓励现有幼儿园通过改扩建方式增设托育班，积极推进社区托育点覆盖，鼓励有条件的机关事业单位和企业自行设立托育园。积极推广半日托、小时托、夜间托等灵活托育服务，满足不同家庭的弹性需求。到2030年，全县学前三年毛入园率达98%以上、公办幼儿园占比70%以上、普惠性幼儿园覆盖率92%以上。</w:t>
      </w:r>
    </w:p>
    <w:p w14:paraId="7DEC6A8C">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1528" w:name="_Toc32324"/>
      <w:bookmarkStart w:id="1529" w:name="_Toc12730"/>
      <w:bookmarkStart w:id="1530" w:name="_Toc2543"/>
      <w:bookmarkStart w:id="1531" w:name="_Toc3681"/>
      <w:bookmarkStart w:id="1532" w:name="_Toc1892438325"/>
      <w:bookmarkStart w:id="1533" w:name="_Toc242169134"/>
      <w:bookmarkStart w:id="1534" w:name="_Toc21593"/>
      <w:bookmarkStart w:id="1535" w:name="_Toc31313"/>
      <w:bookmarkStart w:id="1536" w:name="_Toc21921"/>
      <w:bookmarkStart w:id="1537" w:name="_Toc26579"/>
      <w:bookmarkStart w:id="1538" w:name="_Toc18102"/>
      <w:r>
        <w:rPr>
          <w:rFonts w:hint="default" w:ascii="Times New Roman" w:hAnsi="Times New Roman" w:eastAsia="仿宋_GB2312" w:cs="Times New Roman"/>
          <w:b w:val="0"/>
          <w:bCs/>
          <w:color w:val="auto"/>
          <w:sz w:val="32"/>
          <w:szCs w:val="32"/>
          <w:highlight w:val="none"/>
          <w:u w:val="none"/>
          <w:lang w:eastAsia="zh" w:bidi="ar"/>
          <w:woUserID w:val="0"/>
        </w:rPr>
        <w:t>第二节</w:t>
      </w:r>
      <w:r>
        <w:rPr>
          <w:rFonts w:hint="default" w:ascii="Times New Roman" w:hAnsi="Times New Roman" w:eastAsia="仿宋_GB2312" w:cs="Times New Roman"/>
          <w:b w:val="0"/>
          <w:bCs/>
          <w:color w:val="auto"/>
          <w:sz w:val="32"/>
          <w:szCs w:val="32"/>
          <w:highlight w:val="none"/>
          <w:u w:val="none"/>
          <w:lang w:eastAsia="zh-CN" w:bidi="ar"/>
          <w:woUserID w:val="0"/>
        </w:rPr>
        <w:t xml:space="preserve"> </w:t>
      </w:r>
      <w:r>
        <w:rPr>
          <w:rFonts w:hint="default" w:ascii="Times New Roman" w:hAnsi="Times New Roman" w:eastAsia="仿宋_GB2312" w:cs="Times New Roman"/>
          <w:b w:val="0"/>
          <w:bCs/>
          <w:color w:val="auto"/>
          <w:sz w:val="32"/>
          <w:szCs w:val="32"/>
          <w:highlight w:val="none"/>
          <w:u w:val="none"/>
          <w:lang w:eastAsia="zh" w:bidi="ar"/>
          <w:woUserID w:val="0"/>
        </w:rPr>
        <w:t>提高养老服务水平</w:t>
      </w:r>
      <w:r>
        <w:rPr>
          <w:rFonts w:hint="default" w:ascii="Times New Roman" w:hAnsi="Times New Roman" w:eastAsia="仿宋_GB2312" w:cs="Times New Roman"/>
          <w:b w:val="0"/>
          <w:bCs/>
          <w:color w:val="auto"/>
          <w:sz w:val="32"/>
          <w:szCs w:val="32"/>
          <w:highlight w:val="none"/>
          <w:u w:val="none"/>
          <w:lang w:eastAsia="zh" w:bidi="ar"/>
          <w:woUserID w:val="0"/>
        </w:rPr>
        <w:commentReference w:id="23"/>
      </w:r>
      <w:bookmarkEnd w:id="1528"/>
      <w:bookmarkEnd w:id="1529"/>
      <w:bookmarkEnd w:id="1530"/>
      <w:bookmarkEnd w:id="1531"/>
      <w:bookmarkEnd w:id="1532"/>
      <w:bookmarkEnd w:id="1533"/>
      <w:bookmarkEnd w:id="1534"/>
      <w:bookmarkEnd w:id="1535"/>
      <w:bookmarkEnd w:id="1536"/>
      <w:bookmarkEnd w:id="1537"/>
      <w:bookmarkEnd w:id="1538"/>
    </w:p>
    <w:p w14:paraId="260E64A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构建居家、社区、机构多层次养老服务供给体系，强化居家社区养老服务支撑，推进养老服务中心和社区嵌入式服务网点建设，改造升级办公养老机构服务设施，引导国有企业和社会力量建设运营普惠性养老服务综合体。全面深化医养融合，鼓励养老机构与周边医疗机构签约合作或内设医疗机构，建立双向转诊绿色通道。积极开展居家适老化改造，推广智能老年用品。鼓励盘活闲置办公用房、学校等存量资源用于养老服务</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val="en-US" w:eastAsia="zh-CN"/>
        </w:rPr>
        <w:t>残疾人康复抚养服务</w:t>
      </w:r>
      <w:r>
        <w:rPr>
          <w:rFonts w:hint="default" w:ascii="Times New Roman" w:hAnsi="Times New Roman" w:eastAsia="仿宋_GB2312" w:cs="Times New Roman"/>
          <w:b w:val="0"/>
          <w:bCs/>
          <w:color w:val="auto"/>
          <w:sz w:val="32"/>
          <w:szCs w:val="32"/>
          <w:highlight w:val="none"/>
          <w:lang w:eastAsia="zh"/>
        </w:rPr>
        <w:t>，扩大养老托育服务人才培养规模。积极探索“物业+助餐”“机构+助餐”等多元化助老餐厅运营模式。扎实推进养老服务发展，为老年人提供助餐、助洁、助行、助浴、助医、助急、康复、护理、巡访关爱等居家养老上门服务，构建以居家养老为基础、社区养老为依托、机构养老为支撑的养老服务体系。</w:t>
      </w:r>
    </w:p>
    <w:p w14:paraId="34EC1ACA">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1539" w:name="_Toc7736"/>
      <w:bookmarkStart w:id="1540" w:name="_Toc3915"/>
      <w:bookmarkStart w:id="1541" w:name="_Toc19899"/>
      <w:bookmarkStart w:id="1542" w:name="_Toc29017"/>
      <w:bookmarkStart w:id="1543" w:name="_Toc31900"/>
      <w:bookmarkStart w:id="1544" w:name="_Toc1984"/>
      <w:bookmarkStart w:id="1545" w:name="_Toc14400"/>
      <w:bookmarkStart w:id="1546" w:name="_Toc1602363041"/>
      <w:bookmarkStart w:id="1547" w:name="_Toc24159"/>
      <w:bookmarkStart w:id="1548" w:name="_Toc9255"/>
      <w:bookmarkStart w:id="1549" w:name="_Toc1020998156"/>
      <w:r>
        <w:rPr>
          <w:rFonts w:hint="default" w:ascii="Times New Roman" w:hAnsi="Times New Roman" w:eastAsia="仿宋_GB2312" w:cs="Times New Roman"/>
          <w:b w:val="0"/>
          <w:bCs/>
          <w:color w:val="auto"/>
          <w:sz w:val="32"/>
          <w:szCs w:val="32"/>
          <w:highlight w:val="none"/>
          <w:u w:val="none"/>
          <w:lang w:eastAsia="zh" w:bidi="ar"/>
          <w:woUserID w:val="0"/>
        </w:rPr>
        <w:t>第三节</w:t>
      </w:r>
      <w:r>
        <w:rPr>
          <w:rFonts w:hint="default" w:ascii="Times New Roman" w:hAnsi="Times New Roman" w:eastAsia="仿宋_GB2312" w:cs="Times New Roman"/>
          <w:b w:val="0"/>
          <w:bCs/>
          <w:color w:val="auto"/>
          <w:sz w:val="32"/>
          <w:szCs w:val="32"/>
          <w:highlight w:val="none"/>
          <w:u w:val="none"/>
          <w:lang w:eastAsia="zh-CN" w:bidi="ar"/>
          <w:woUserID w:val="0"/>
        </w:rPr>
        <w:t xml:space="preserve"> </w:t>
      </w:r>
      <w:r>
        <w:rPr>
          <w:rFonts w:hint="default" w:ascii="Times New Roman" w:hAnsi="Times New Roman" w:eastAsia="仿宋_GB2312" w:cs="Times New Roman"/>
          <w:b w:val="0"/>
          <w:bCs/>
          <w:color w:val="auto"/>
          <w:sz w:val="32"/>
          <w:szCs w:val="32"/>
          <w:highlight w:val="none"/>
          <w:u w:val="none"/>
          <w:lang w:eastAsia="zh" w:bidi="ar"/>
          <w:woUserID w:val="0"/>
        </w:rPr>
        <w:t>提升殡葬公益服务质效</w:t>
      </w:r>
      <w:bookmarkEnd w:id="1539"/>
      <w:bookmarkEnd w:id="1540"/>
      <w:bookmarkEnd w:id="1541"/>
      <w:bookmarkEnd w:id="1542"/>
      <w:bookmarkEnd w:id="1543"/>
      <w:bookmarkEnd w:id="1544"/>
      <w:bookmarkEnd w:id="1545"/>
      <w:bookmarkEnd w:id="1546"/>
      <w:bookmarkEnd w:id="1547"/>
      <w:bookmarkEnd w:id="1548"/>
      <w:bookmarkEnd w:id="1549"/>
    </w:p>
    <w:p w14:paraId="6016B21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color w:val="auto"/>
          <w:sz w:val="32"/>
          <w:szCs w:val="32"/>
          <w:highlight w:val="none"/>
          <w:lang w:eastAsia="zh"/>
        </w:rPr>
      </w:pPr>
      <w:r>
        <w:rPr>
          <w:rFonts w:hint="default" w:ascii="Times New Roman" w:hAnsi="Times New Roman" w:eastAsia="仿宋_GB2312" w:cs="Times New Roman"/>
          <w:b w:val="0"/>
          <w:bCs/>
          <w:color w:val="auto"/>
          <w:sz w:val="32"/>
          <w:szCs w:val="32"/>
          <w:highlight w:val="none"/>
          <w:lang w:eastAsia="zh"/>
        </w:rPr>
        <w:t>坚持殡葬改革与服务供给提质增效相结合，以实现“逝有所安”、保障群众基本殡葬权益为核心目标，构建普惠均等、便民惠民的殡葬服务体系。优化殡葬资源全域配置，将公益性殡葬设施建设纳入城乡国土空间总体规划。建立健全基本殡葬服务制度，明确遗体接运、存放、火化、骨灰寄存等基础服务的公益属性与保障标准，落实困难群体费用减免政策，严控殡葬服务收费乱象。深化移风易俗，推广节地生态安葬模式，遏制丧葬铺张攀比陋习，让人民群众切实成为殡葬改革的最大受益者，夯实民生兜底保障的“最后一公里”。</w:t>
      </w:r>
    </w:p>
    <w:tbl>
      <w:tblPr>
        <w:tblStyle w:val="25"/>
        <w:tblW w:w="0" w:type="auto"/>
        <w:jc w:val="center"/>
        <w:tblLayout w:type="autofit"/>
        <w:tblCellMar>
          <w:top w:w="0" w:type="dxa"/>
          <w:left w:w="108" w:type="dxa"/>
          <w:bottom w:w="0" w:type="dxa"/>
          <w:right w:w="108" w:type="dxa"/>
        </w:tblCellMar>
      </w:tblPr>
      <w:tblGrid>
        <w:gridCol w:w="8296"/>
      </w:tblGrid>
      <w:tr w14:paraId="4C122075">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7AEC0894">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专栏7-3 养老和殡葬公共基础设施重大工程项目</w:t>
            </w:r>
          </w:p>
        </w:tc>
      </w:tr>
      <w:tr w14:paraId="024C2C48">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47A769C8">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桦川县社区居家养老服务综合建设项目</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打造各功能分区，设置养老房间，计划安排床位90张。打造老年大学、集中养老、社区餐厅等十种功能区，将外墙保温材料更换为A级材料，按照消防部门的规范要求改造室内消防设施设备；购置相关适老化、智能化设备。</w:t>
            </w:r>
          </w:p>
          <w:p w14:paraId="443A3B58">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桦川县养老服务中心提升改造项目</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维修改建养老服务中心用房，更换门窗、外墙保温材料、屋顶，改造电线线路、排水管道，对室内进行粉刷，更换地砖。改善养老服务中心养老环境，购置智能护理床75张、配置智能呼叫器、智能手环75套，配置辅助穿衣器、电动轮椅、适老化坡道等设施。</w:t>
            </w:r>
          </w:p>
          <w:p w14:paraId="09F4757F">
            <w:pPr>
              <w:spacing w:line="360" w:lineRule="exact"/>
              <w:ind w:firstLine="420" w:firstLineChars="200"/>
              <w:rPr>
                <w:rFonts w:hint="default" w:ascii="Times New Roman" w:hAnsi="Times New Roman" w:eastAsia="仿宋"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桦川县殡葬事务服务中心改造提升项目</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对骨灰寄存室暖气、停尸房、消防系统、锅炉、室内装修、玻璃幕墙、室外绿化等进行改造，并对室外停车场重新进行硬化。对现有办公区进行改造，并购置相关办公设备。对火化炉、运尸车等设施设备进行更新。服务内部全部改造为电取暖。</w:t>
            </w:r>
          </w:p>
        </w:tc>
      </w:tr>
    </w:tbl>
    <w:p w14:paraId="07EF1713">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1550" w:name="_Toc11410"/>
      <w:bookmarkStart w:id="1551" w:name="_Toc19716"/>
      <w:bookmarkStart w:id="1552" w:name="_Toc17301"/>
      <w:bookmarkStart w:id="1553" w:name="_Toc18047"/>
      <w:bookmarkStart w:id="1554" w:name="_Toc7409"/>
      <w:bookmarkStart w:id="1555" w:name="_Toc30189"/>
      <w:bookmarkStart w:id="1556" w:name="_Toc22362"/>
      <w:bookmarkStart w:id="1557" w:name="_Toc9049"/>
      <w:bookmarkStart w:id="1558" w:name="_Toc23473"/>
      <w:r>
        <w:rPr>
          <w:rFonts w:hint="default" w:ascii="Times New Roman" w:hAnsi="Times New Roman" w:eastAsia="仿宋_GB2312" w:cs="Times New Roman"/>
          <w:b w:val="0"/>
          <w:bCs/>
          <w:color w:val="auto"/>
          <w:sz w:val="32"/>
          <w:szCs w:val="32"/>
          <w:highlight w:val="none"/>
          <w:u w:val="none"/>
          <w:lang w:eastAsia="zh" w:bidi="ar"/>
          <w:woUserID w:val="0"/>
        </w:rPr>
        <w:t>第四节</w:t>
      </w:r>
      <w:r>
        <w:rPr>
          <w:rFonts w:hint="default" w:ascii="Times New Roman" w:hAnsi="Times New Roman" w:eastAsia="仿宋_GB2312" w:cs="Times New Roman"/>
          <w:b w:val="0"/>
          <w:bCs/>
          <w:color w:val="auto"/>
          <w:sz w:val="32"/>
          <w:szCs w:val="32"/>
          <w:highlight w:val="none"/>
          <w:u w:val="none"/>
          <w:lang w:eastAsia="zh-CN" w:bidi="ar"/>
          <w:woUserID w:val="0"/>
        </w:rPr>
        <w:t xml:space="preserve"> </w:t>
      </w:r>
      <w:r>
        <w:rPr>
          <w:rFonts w:hint="default" w:ascii="Times New Roman" w:hAnsi="Times New Roman" w:eastAsia="仿宋_GB2312" w:cs="Times New Roman"/>
          <w:b w:val="0"/>
          <w:bCs/>
          <w:color w:val="auto"/>
          <w:sz w:val="32"/>
          <w:szCs w:val="32"/>
          <w:highlight w:val="none"/>
          <w:u w:val="none"/>
          <w:lang w:eastAsia="zh" w:bidi="ar"/>
          <w:woUserID w:val="0"/>
        </w:rPr>
        <w:t>巩固深化青年发展型城市建设</w:t>
      </w:r>
      <w:bookmarkEnd w:id="1550"/>
      <w:bookmarkEnd w:id="1551"/>
      <w:bookmarkEnd w:id="1552"/>
      <w:bookmarkEnd w:id="1553"/>
      <w:bookmarkEnd w:id="1554"/>
      <w:bookmarkEnd w:id="1555"/>
      <w:bookmarkEnd w:id="1556"/>
      <w:bookmarkEnd w:id="1557"/>
      <w:bookmarkEnd w:id="1558"/>
    </w:p>
    <w:p w14:paraId="3C10691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
        </w:rPr>
        <w:t>完善青年就业创业支撑体系，强化青年职业能力提升，联合重点企业开设订单课程。配建青年人才公寓，加大公租房供给力度，缓解青年居住压力。实施青年社会组织“伙伴计划”，重点培育社区服务、公益慈善类青年组织，租房补贴申领、文体场馆预约等高频服务。构建高品质青年生活圈，打造“15分钟青春社区”，建设24小时青年书屋、运动公园等公共空间。策划青年电影节、动漫展、音乐节等IP活动，探索不同消费主题和消费模式的夜间经济，塑造年轻化城市品牌。</w:t>
      </w:r>
    </w:p>
    <w:tbl>
      <w:tblPr>
        <w:tblStyle w:val="25"/>
        <w:tblW w:w="0" w:type="auto"/>
        <w:jc w:val="center"/>
        <w:tblLayout w:type="autofit"/>
        <w:tblCellMar>
          <w:top w:w="0" w:type="dxa"/>
          <w:left w:w="108" w:type="dxa"/>
          <w:bottom w:w="0" w:type="dxa"/>
          <w:right w:w="108" w:type="dxa"/>
        </w:tblCellMar>
      </w:tblPr>
      <w:tblGrid>
        <w:gridCol w:w="8296"/>
      </w:tblGrid>
      <w:tr w14:paraId="5B45DF8D">
        <w:tblPrEx>
          <w:tblCellMar>
            <w:top w:w="0" w:type="dxa"/>
            <w:left w:w="108" w:type="dxa"/>
            <w:bottom w:w="0" w:type="dxa"/>
            <w:right w:w="108" w:type="dxa"/>
          </w:tblCellMar>
        </w:tblPrEx>
        <w:trPr>
          <w:trHeight w:val="413" w:hRule="atLeast"/>
          <w:jc w:val="center"/>
        </w:trPr>
        <w:tc>
          <w:tcPr>
            <w:tcW w:w="8296" w:type="dxa"/>
            <w:tcBorders>
              <w:top w:val="single" w:color="auto" w:sz="4" w:space="0"/>
              <w:left w:val="single" w:color="auto" w:sz="4" w:space="0"/>
              <w:bottom w:val="single" w:color="auto" w:sz="4" w:space="0"/>
              <w:right w:val="single" w:color="auto" w:sz="4" w:space="0"/>
            </w:tcBorders>
            <w:vAlign w:val="center"/>
          </w:tcPr>
          <w:p w14:paraId="7158A412">
            <w:pPr>
              <w:pageBreakBefore w:val="0"/>
              <w:widowControl w:val="0"/>
              <w:kinsoku/>
              <w:wordWrap/>
              <w:overflowPunct/>
              <w:topLinePunct w:val="0"/>
              <w:autoSpaceDE/>
              <w:autoSpaceDN/>
              <w:bidi w:val="0"/>
              <w:adjustRightInd/>
              <w:spacing w:line="560" w:lineRule="exact"/>
              <w:jc w:val="center"/>
              <w:textAlignment w:val="auto"/>
              <w:rPr>
                <w:rFonts w:hint="default" w:ascii="Times New Roman" w:hAnsi="Times New Roman" w:eastAsia="仿宋" w:cs="Times New Roman"/>
                <w:b/>
                <w:bCs/>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专栏7-4 完善人口全生命周期服务体系重点任务</w:t>
            </w:r>
            <w:r>
              <w:rPr>
                <w:rFonts w:hint="default" w:ascii="Times New Roman" w:hAnsi="Times New Roman" w:eastAsia="楷体_GB2312" w:cs="Times New Roman"/>
                <w:b w:val="0"/>
                <w:bCs w:val="0"/>
                <w:color w:val="auto"/>
                <w:sz w:val="24"/>
                <w:highlight w:val="none"/>
                <w14:ligatures w14:val="standardContextual"/>
              </w:rPr>
              <w:commentReference w:id="24"/>
            </w:r>
          </w:p>
        </w:tc>
      </w:tr>
      <w:tr w14:paraId="0F92DC51">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255E411B">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大力推进居家养老服务网络建设。整合社区资源，逐步推进居家养老服务网络建设，建设老年人日间照料中心、老年食堂、老年人文化娱乐中心等，打造15分钟养老服务圈，以满足老年人在生活照料、医疗保健、文化娱乐等方面的需求，确保养老服务的质量和效果，提高老年人的满意度和信任度。</w:t>
            </w:r>
          </w:p>
          <w:p w14:paraId="18CC5B8F">
            <w:pPr>
              <w:spacing w:line="360" w:lineRule="exact"/>
              <w:ind w:firstLine="420" w:firstLineChars="200"/>
              <w:rPr>
                <w:rFonts w:hint="default" w:ascii="Times New Roman" w:hAnsi="Times New Roman" w:eastAsia="仿宋" w:cs="Times New Roman"/>
                <w:b/>
                <w:color w:val="auto"/>
                <w:szCs w:val="21"/>
                <w:highlight w:val="none"/>
              </w:rPr>
            </w:pPr>
            <w:r>
              <w:rPr>
                <w:rFonts w:hint="default" w:ascii="Times New Roman" w:hAnsi="Times New Roman" w:eastAsia="仿宋_GB2312" w:cs="Times New Roman"/>
                <w:b w:val="0"/>
                <w:bCs w:val="0"/>
                <w:color w:val="auto"/>
                <w:szCs w:val="21"/>
                <w:highlight w:val="none"/>
              </w:rPr>
              <w:t>做好“一老一小”重点人群关爱帮扶工作。建立特殊人群信息台账，动态掌握重点人群需求。坚持开展代买代办服务、爱心义剪、助餐服务等关爱微服务，关爱困境儿童，链接社会资源，动员爱心企业、社会组织和志愿者参与关爱帮扶。</w:t>
            </w:r>
          </w:p>
        </w:tc>
      </w:tr>
    </w:tbl>
    <w:p w14:paraId="5C99B2A9">
      <w:pPr>
        <w:pStyle w:val="3"/>
        <w:keepNext/>
        <w:keepLines/>
        <w:pageBreakBefore w:val="0"/>
        <w:widowControl w:val="0"/>
        <w:kinsoku/>
        <w:wordWrap/>
        <w:overflowPunct/>
        <w:topLinePunct w:val="0"/>
        <w:autoSpaceDE/>
        <w:autoSpaceDN/>
        <w:bidi w:val="0"/>
        <w:adjustRightInd/>
        <w:spacing w:before="0" w:after="0" w:line="560" w:lineRule="exact"/>
        <w:ind w:firstLine="0" w:firstLineChars="0"/>
        <w:jc w:val="center"/>
        <w:textAlignment w:val="auto"/>
        <w:outlineLvl w:val="1"/>
        <w:rPr>
          <w:rFonts w:hint="default" w:ascii="Times New Roman" w:hAnsi="Times New Roman" w:eastAsia="楷体" w:cs="Times New Roman"/>
          <w:b w:val="0"/>
          <w:bCs/>
          <w:color w:val="auto"/>
          <w:sz w:val="32"/>
          <w:szCs w:val="32"/>
          <w:highlight w:val="none"/>
          <w14:ligatures w14:val="standardContextual"/>
        </w:rPr>
      </w:pPr>
      <w:bookmarkStart w:id="1559" w:name="_Toc1712"/>
      <w:bookmarkStart w:id="1560" w:name="_Toc17403"/>
      <w:bookmarkStart w:id="1561" w:name="_Toc20515"/>
      <w:bookmarkStart w:id="1562" w:name="_Toc244528883"/>
      <w:bookmarkStart w:id="1563" w:name="_Toc27187"/>
      <w:bookmarkStart w:id="1564" w:name="_Toc2044413305"/>
      <w:bookmarkStart w:id="1565" w:name="_Toc18969"/>
      <w:bookmarkStart w:id="1566" w:name="_Toc11353"/>
      <w:bookmarkStart w:id="1567" w:name="_Toc7634"/>
      <w:bookmarkStart w:id="1568" w:name="_Toc2012"/>
      <w:bookmarkStart w:id="1569" w:name="_Toc7379"/>
      <w:bookmarkStart w:id="1570" w:name="_Toc15434"/>
      <w:bookmarkStart w:id="1571" w:name="_Toc10767"/>
      <w:bookmarkStart w:id="1572" w:name="_Toc25219"/>
      <w:r>
        <w:rPr>
          <w:rFonts w:hint="default" w:ascii="Times New Roman" w:hAnsi="Times New Roman" w:eastAsia="楷体" w:cs="Times New Roman"/>
          <w:b w:val="0"/>
          <w:bCs/>
          <w:color w:val="auto"/>
          <w:sz w:val="32"/>
          <w:szCs w:val="32"/>
          <w:highlight w:val="none"/>
          <w14:ligatures w14:val="standardContextual"/>
        </w:rPr>
        <w:t>第四</w:t>
      </w:r>
      <w:r>
        <w:rPr>
          <w:rFonts w:hint="default" w:ascii="Times New Roman" w:hAnsi="Times New Roman" w:eastAsia="楷体" w:cs="Times New Roman"/>
          <w:b w:val="0"/>
          <w:bCs/>
          <w:color w:val="auto"/>
          <w:sz w:val="32"/>
          <w:szCs w:val="32"/>
          <w:highlight w:val="none"/>
          <w:lang w:eastAsia="zh"/>
          <w14:ligatures w14:val="standardContextual"/>
          <w:woUserID w:val="0"/>
        </w:rPr>
        <w:t>章</w:t>
      </w:r>
      <w:r>
        <w:rPr>
          <w:rFonts w:hint="default" w:ascii="Times New Roman" w:hAnsi="Times New Roman" w:eastAsia="楷体" w:cs="Times New Roman"/>
          <w:b w:val="0"/>
          <w:bCs/>
          <w:color w:val="auto"/>
          <w:sz w:val="32"/>
          <w:szCs w:val="32"/>
          <w:highlight w:val="none"/>
          <w14:ligatures w14:val="standardContextual"/>
        </w:rPr>
        <w:t xml:space="preserve"> 促进高质量充分就业</w:t>
      </w:r>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p>
    <w:p w14:paraId="223523E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bookmarkStart w:id="1573" w:name="_Toc1131107464"/>
      <w:bookmarkStart w:id="1574" w:name="_Toc2127996402"/>
      <w:r>
        <w:rPr>
          <w:rFonts w:hint="default" w:ascii="Times New Roman" w:hAnsi="Times New Roman" w:eastAsia="仿宋_GB2312" w:cs="Times New Roman"/>
          <w:color w:val="auto"/>
          <w:sz w:val="32"/>
          <w:szCs w:val="32"/>
          <w:highlight w:val="none"/>
          <w:lang w:eastAsia="zh"/>
        </w:rPr>
        <w:t>深入实施就业优先战略，坚持系统施策，通过强化技能培训、健全就业创业服务体系、加强劳动关系治理与劳动者权益保障，实现更充分更高质量的就业目标。</w:t>
      </w:r>
    </w:p>
    <w:p w14:paraId="1476B548">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575" w:name="_Toc27594"/>
      <w:bookmarkStart w:id="1576" w:name="_Toc532"/>
      <w:bookmarkStart w:id="1577" w:name="_Toc19364"/>
      <w:bookmarkStart w:id="1578" w:name="_Toc366"/>
      <w:bookmarkStart w:id="1579" w:name="_Toc19731"/>
      <w:bookmarkStart w:id="1580" w:name="_Toc29535"/>
      <w:bookmarkStart w:id="1581" w:name="_Toc31239"/>
      <w:bookmarkStart w:id="1582" w:name="_Toc14810"/>
      <w:bookmarkStart w:id="1583" w:name="_Toc18503"/>
      <w:r>
        <w:rPr>
          <w:rFonts w:hint="default" w:ascii="Times New Roman" w:hAnsi="Times New Roman" w:eastAsia="仿宋_GB2312" w:cs="Times New Roman"/>
          <w:b w:val="0"/>
          <w:bCs w:val="0"/>
          <w:color w:val="auto"/>
          <w:sz w:val="32"/>
          <w:szCs w:val="32"/>
          <w:highlight w:val="none"/>
          <w:u w:val="none"/>
          <w:lang w:eastAsia="zh" w:bidi="ar"/>
          <w:woUserID w:val="0"/>
        </w:rPr>
        <w:t>第一节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强化应用职业技能培训</w:t>
      </w:r>
      <w:bookmarkEnd w:id="1573"/>
      <w:bookmarkEnd w:id="1574"/>
      <w:bookmarkEnd w:id="1575"/>
      <w:bookmarkEnd w:id="1576"/>
      <w:bookmarkEnd w:id="1577"/>
      <w:bookmarkEnd w:id="1578"/>
      <w:bookmarkEnd w:id="1579"/>
      <w:bookmarkEnd w:id="1580"/>
      <w:bookmarkEnd w:id="1581"/>
      <w:bookmarkEnd w:id="1582"/>
      <w:bookmarkEnd w:id="1583"/>
    </w:p>
    <w:p w14:paraId="7F9F7AA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围绕桦川重点产业，动态发布桦川县紧缺型人才指导目录，为技能培训提供精准导向。深化产教融合与校企合作，大力推动县内高校及职业院校与重点企业共建校企合作联合体、公共实训基地和成果转化基地。搭建多元化的培训平台与载体，设立桦川县技术技能人才培育联盟。积极拓展“互联网+”技能人才培养新模式，鼓励开办技能夜校，为企业在职员工提供更灵活、更便捷的技能提升渠道。对制定员工长期技能培训计划的企业给予政策支持。</w:t>
      </w:r>
    </w:p>
    <w:p w14:paraId="29C68E31">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584" w:name="_Toc29185"/>
      <w:bookmarkStart w:id="1585" w:name="_Toc1769"/>
      <w:bookmarkStart w:id="1586" w:name="_Toc18040"/>
      <w:bookmarkStart w:id="1587" w:name="_Toc5613"/>
      <w:bookmarkStart w:id="1588" w:name="_Toc1192"/>
      <w:bookmarkStart w:id="1589" w:name="_Toc28223"/>
      <w:bookmarkStart w:id="1590" w:name="_Toc4034"/>
      <w:bookmarkStart w:id="1591" w:name="_Toc13218"/>
      <w:bookmarkStart w:id="1592" w:name="_Toc679017749"/>
      <w:bookmarkStart w:id="1593" w:name="_Toc909382653"/>
      <w:bookmarkStart w:id="1594" w:name="_Toc1411"/>
      <w:r>
        <w:rPr>
          <w:rFonts w:hint="default" w:ascii="Times New Roman" w:hAnsi="Times New Roman" w:eastAsia="仿宋_GB2312" w:cs="Times New Roman"/>
          <w:b w:val="0"/>
          <w:bCs w:val="0"/>
          <w:color w:val="auto"/>
          <w:sz w:val="32"/>
          <w:szCs w:val="32"/>
          <w:highlight w:val="none"/>
          <w:u w:val="none"/>
          <w:lang w:eastAsia="zh" w:bidi="ar"/>
          <w:woUserID w:val="0"/>
        </w:rPr>
        <w:t>第二节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健全就业创业服务体系</w:t>
      </w:r>
      <w:bookmarkEnd w:id="1584"/>
      <w:bookmarkEnd w:id="1585"/>
      <w:bookmarkEnd w:id="1586"/>
      <w:bookmarkEnd w:id="1587"/>
      <w:bookmarkEnd w:id="1588"/>
      <w:bookmarkEnd w:id="1589"/>
      <w:bookmarkEnd w:id="1590"/>
      <w:bookmarkEnd w:id="1591"/>
      <w:bookmarkEnd w:id="1592"/>
      <w:bookmarkEnd w:id="1593"/>
      <w:bookmarkEnd w:id="1594"/>
    </w:p>
    <w:p w14:paraId="170A364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打造公共就业服务平台，强化职业指导与就业帮扶，创新市场化就业服务与创业孵化，完善就业失业监测预警。强化就业创业支持，加快创业孵化园、众创空间等载体平台建设，打造人才基地和青年创业园，落实创业补贴政策。优化人才服务保障，聚焦住房、医疗、教育等领域制定更具有竞争力和吸引力的引才、育才、留才政策。优先保障高校毕业生和青年就业创业，支持农村劳动力和农民工就业创业，促进困难群体和退役军人就业创业，构建和谐劳动关系与权益保障机制。以零工市场、社区服务站为依托，以劳动保障协理员队伍构筑就业前沿阵地，定期开展线下公共就业服务活动。推广“桦川就业帮”小程序，</w:t>
      </w:r>
      <w:r>
        <w:rPr>
          <w:rFonts w:hint="eastAsia" w:eastAsia="仿宋_GB2312" w:cs="Times New Roman"/>
          <w:color w:val="auto"/>
          <w:sz w:val="32"/>
          <w:szCs w:val="32"/>
          <w:highlight w:val="none"/>
          <w:lang w:eastAsia="zh-CN"/>
        </w:rPr>
        <w:t>加强</w:t>
      </w:r>
      <w:r>
        <w:rPr>
          <w:rFonts w:hint="default" w:ascii="Times New Roman" w:hAnsi="Times New Roman" w:eastAsia="仿宋_GB2312" w:cs="Times New Roman"/>
          <w:color w:val="auto"/>
          <w:sz w:val="32"/>
          <w:szCs w:val="32"/>
          <w:highlight w:val="none"/>
          <w:lang w:eastAsia="zh"/>
        </w:rPr>
        <w:t>线上招工信息与求职信息规范化管理，拓展线上服务功能。打造“铁牛农机手”市级劳务品牌。开展职业技能培训，继续挖掘劳务品牌就业带动能力。开展常态化政策入企行动，推动实现“人找政策”向“政策找人”和“企业找工”向“送人上门”的转变。聚焦重点人群，实施技能提升专项行动，解决结构性就业问题。针对不同行业和岗位需求，开展“点单式”技能培训，组织开展育婴员、养老护理、保健按摩、中式烹调等多工种的职业技能培训，积极探索“互联网+公共就业”服务模式。</w:t>
      </w:r>
    </w:p>
    <w:tbl>
      <w:tblPr>
        <w:tblStyle w:val="25"/>
        <w:tblW w:w="0" w:type="auto"/>
        <w:jc w:val="center"/>
        <w:tblLayout w:type="autofit"/>
        <w:tblCellMar>
          <w:top w:w="0" w:type="dxa"/>
          <w:left w:w="108" w:type="dxa"/>
          <w:bottom w:w="0" w:type="dxa"/>
          <w:right w:w="108" w:type="dxa"/>
        </w:tblCellMar>
      </w:tblPr>
      <w:tblGrid>
        <w:gridCol w:w="8296"/>
      </w:tblGrid>
      <w:tr w14:paraId="05248363">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6F03D5D4">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专栏7-5 统筹抓好重点群体就业专项行动</w:t>
            </w:r>
          </w:p>
        </w:tc>
      </w:tr>
      <w:tr w14:paraId="4F20047B">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643CBEF7">
            <w:pPr>
              <w:spacing w:line="360" w:lineRule="exact"/>
              <w:ind w:firstLine="420" w:firstLineChars="200"/>
              <w:rPr>
                <w:rFonts w:hint="default" w:ascii="Times New Roman" w:hAnsi="Times New Roman" w:eastAsia="仿宋_GB2312" w:cs="Times New Roman"/>
                <w:b w:val="0"/>
                <w:bCs w:val="0"/>
                <w:color w:val="auto"/>
                <w:sz w:val="21"/>
                <w:szCs w:val="21"/>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劳务协作专项行动。提供岗位收集、精准匹配、高效输出全流程服务，做好农民工外出就业保障服务工作。加快推进以县城为重要载体的新型城镇化建设，全面推进乡村振兴，高质量建设返乡入乡创业园、创业孵化基地，培育乡村主导产业，创造更多优质就业岗位，支持农民工就地就近就业。</w:t>
            </w:r>
          </w:p>
          <w:p w14:paraId="3A5F4F4B">
            <w:pPr>
              <w:spacing w:line="360" w:lineRule="exact"/>
              <w:ind w:firstLine="420" w:firstLineChars="200"/>
              <w:rPr>
                <w:rFonts w:hint="default" w:ascii="Times New Roman" w:hAnsi="Times New Roman" w:eastAsia="仿宋_GB2312" w:cs="Times New Roman"/>
                <w:b w:val="0"/>
                <w:bCs w:val="0"/>
                <w:color w:val="auto"/>
                <w:sz w:val="21"/>
                <w:szCs w:val="21"/>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困难群众就业专项行动。构建就业困难人员及时发现、优先服务、分类帮扶、动态管理机制，提供“一对一”精细化服务，强化失业人员生活保障。</w:t>
            </w:r>
          </w:p>
          <w:p w14:paraId="19774BE2">
            <w:pPr>
              <w:spacing w:line="360" w:lineRule="exact"/>
              <w:ind w:firstLine="420" w:firstLineChars="200"/>
              <w:rPr>
                <w:rFonts w:hint="default" w:ascii="Times New Roman" w:hAnsi="Times New Roman" w:eastAsia="仿宋_GB2312" w:cs="Times New Roman"/>
                <w:b w:val="0"/>
                <w:bCs w:val="0"/>
                <w:color w:val="auto"/>
                <w:sz w:val="21"/>
                <w:szCs w:val="21"/>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职业就业指导专项行动。在阳光社区建设职业指导中心，把就业教育作为全员全过程全方位育人的重要内容，引导毕业生牢固树立正确就业观。</w:t>
            </w:r>
          </w:p>
          <w:p w14:paraId="377F66B4">
            <w:pPr>
              <w:spacing w:line="360" w:lineRule="exact"/>
              <w:ind w:firstLine="420" w:firstLineChars="200"/>
              <w:rPr>
                <w:rFonts w:hint="default" w:ascii="Times New Roman" w:hAnsi="Times New Roman" w:eastAsia="楷体_GB2312" w:cs="Times New Roman"/>
                <w:b w:val="0"/>
                <w:bCs w:val="0"/>
                <w:color w:val="auto"/>
                <w:sz w:val="24"/>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就业推介专项行动。补齐短板完善线上融媒体矩阵，进一步升级“桦川就业帮”网上求职平台微信小程序，通过“桦川人社”“桦川就业”微信公众号和“抖音快手”直播带岗等线上渠道，构建覆盖全域、惠及全民的线上就业服务网络，每周定期举办两次线上招聘会和两次线上直播带岗活动。强化政策宣传力度，在县内公交站亭和果皮箱宣传栏设置就业政策宣传图</w:t>
            </w:r>
            <w:r>
              <w:rPr>
                <w:rFonts w:hint="default" w:ascii="Times New Roman" w:hAnsi="Times New Roman" w:eastAsia="仿宋_GB2312" w:cs="Times New Roman"/>
                <w:b w:val="0"/>
                <w:bCs w:val="0"/>
                <w:color w:val="auto"/>
                <w:sz w:val="21"/>
                <w:szCs w:val="21"/>
                <w:highlight w:val="none"/>
                <w:lang w:eastAsia="zh"/>
                <w14:ligatures w14:val="standardContextual"/>
              </w:rPr>
              <w:t>册</w:t>
            </w:r>
            <w:r>
              <w:rPr>
                <w:rFonts w:hint="default" w:ascii="Times New Roman" w:hAnsi="Times New Roman" w:eastAsia="仿宋_GB2312" w:cs="Times New Roman"/>
                <w:b w:val="0"/>
                <w:bCs w:val="0"/>
                <w:color w:val="auto"/>
                <w:sz w:val="21"/>
                <w:szCs w:val="21"/>
                <w:highlight w:val="none"/>
                <w14:ligatures w14:val="standardContextual"/>
              </w:rPr>
              <w:t>，向群众介绍就业政策和岗位信息等。</w:t>
            </w:r>
          </w:p>
        </w:tc>
      </w:tr>
    </w:tbl>
    <w:p w14:paraId="7C67E1B5">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595" w:name="_Toc26175"/>
      <w:bookmarkStart w:id="1596" w:name="_Toc20676"/>
      <w:bookmarkStart w:id="1597" w:name="_Toc21062"/>
      <w:bookmarkStart w:id="1598" w:name="_Toc25651"/>
      <w:bookmarkStart w:id="1599" w:name="_Toc14637"/>
      <w:bookmarkStart w:id="1600" w:name="_Toc9882"/>
      <w:bookmarkStart w:id="1601" w:name="_Toc10950"/>
      <w:bookmarkStart w:id="1602" w:name="_Toc128462147"/>
      <w:bookmarkStart w:id="1603" w:name="_Toc17680"/>
      <w:bookmarkStart w:id="1604" w:name="_Toc1765617959"/>
      <w:bookmarkStart w:id="1605" w:name="_Toc3910"/>
      <w:r>
        <w:rPr>
          <w:rFonts w:hint="default" w:ascii="Times New Roman" w:hAnsi="Times New Roman" w:eastAsia="仿宋_GB2312" w:cs="Times New Roman"/>
          <w:b w:val="0"/>
          <w:bCs w:val="0"/>
          <w:color w:val="auto"/>
          <w:sz w:val="32"/>
          <w:szCs w:val="32"/>
          <w:highlight w:val="none"/>
          <w:u w:val="none"/>
          <w:lang w:eastAsia="zh" w:bidi="ar"/>
          <w:woUserID w:val="0"/>
        </w:rPr>
        <w:t>第三节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加强劳动关系治理与劳动者权益保障</w:t>
      </w:r>
      <w:bookmarkEnd w:id="1595"/>
      <w:bookmarkEnd w:id="1596"/>
      <w:bookmarkEnd w:id="1597"/>
      <w:bookmarkEnd w:id="1598"/>
      <w:bookmarkEnd w:id="1599"/>
      <w:bookmarkEnd w:id="1600"/>
      <w:bookmarkEnd w:id="1601"/>
      <w:bookmarkEnd w:id="1602"/>
      <w:bookmarkEnd w:id="1603"/>
      <w:bookmarkEnd w:id="1604"/>
      <w:bookmarkEnd w:id="1605"/>
    </w:p>
    <w:p w14:paraId="7005A7D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构建由政府、工会和企业代表组织共同参与的劳动者权益三方协调机制，定期召开劳动者权益三方联席会议，全面推行劳动合同规范化管理，将工作重点从事后处置转向源头预防。着力打造集调解、仲裁、法律援助、监察执法于一体的“一站式”劳动争议处理中心，健全劳动人事争议预防调解机制，提高劳动仲裁办案效能和规范化水平，畅通法律援助渠道。创新监管模式，实施智能化精准化劳动保障行动，加</w:t>
      </w:r>
      <w:r>
        <w:rPr>
          <w:rFonts w:hint="eastAsia" w:eastAsia="仿宋_GB2312" w:cs="Times New Roman"/>
          <w:b w:val="0"/>
          <w:bCs w:val="0"/>
          <w:color w:val="auto"/>
          <w:sz w:val="32"/>
          <w:szCs w:val="32"/>
          <w:highlight w:val="none"/>
          <w:lang w:eastAsia="zh-CN"/>
        </w:rPr>
        <w:t>大对新就业形态劳动者权益</w:t>
      </w:r>
      <w:r>
        <w:rPr>
          <w:rFonts w:hint="default" w:ascii="Times New Roman" w:hAnsi="Times New Roman" w:eastAsia="仿宋_GB2312" w:cs="Times New Roman"/>
          <w:b w:val="0"/>
          <w:bCs w:val="0"/>
          <w:color w:val="auto"/>
          <w:sz w:val="32"/>
          <w:szCs w:val="32"/>
          <w:highlight w:val="none"/>
          <w:lang w:eastAsia="zh"/>
        </w:rPr>
        <w:t>保障监察力度。提高劳动监察执法保障能力，扩充执法人员队伍。加强劳动法律法规宣传，强化企业经营者法律意识，规范劳动用工行为。</w:t>
      </w:r>
    </w:p>
    <w:p w14:paraId="09C7F116">
      <w:pPr>
        <w:pStyle w:val="3"/>
        <w:keepNext/>
        <w:keepLines/>
        <w:pageBreakBefore w:val="0"/>
        <w:widowControl w:val="0"/>
        <w:kinsoku/>
        <w:wordWrap/>
        <w:overflowPunct/>
        <w:topLinePunct w:val="0"/>
        <w:autoSpaceDE/>
        <w:autoSpaceDN/>
        <w:bidi w:val="0"/>
        <w:adjustRightInd/>
        <w:spacing w:before="0" w:after="0" w:line="560" w:lineRule="exact"/>
        <w:ind w:firstLine="0" w:firstLineChars="0"/>
        <w:jc w:val="center"/>
        <w:textAlignment w:val="auto"/>
        <w:outlineLvl w:val="1"/>
        <w:rPr>
          <w:rFonts w:hint="default" w:ascii="Times New Roman" w:hAnsi="Times New Roman" w:eastAsia="楷体" w:cs="Times New Roman"/>
          <w:b w:val="0"/>
          <w:bCs w:val="0"/>
          <w:color w:val="auto"/>
          <w:sz w:val="32"/>
          <w:szCs w:val="32"/>
          <w:highlight w:val="none"/>
          <w14:ligatures w14:val="standardContextual"/>
        </w:rPr>
      </w:pPr>
      <w:bookmarkStart w:id="1606" w:name="_Toc40834838"/>
      <w:bookmarkStart w:id="1607" w:name="_Toc22411"/>
      <w:bookmarkStart w:id="1608" w:name="_Toc7532"/>
      <w:bookmarkStart w:id="1609" w:name="_Toc1654282518"/>
      <w:bookmarkStart w:id="1610" w:name="_Toc28120"/>
      <w:bookmarkStart w:id="1611" w:name="_Toc4091"/>
      <w:bookmarkStart w:id="1612" w:name="_Toc18223"/>
      <w:bookmarkStart w:id="1613" w:name="_Toc26020"/>
      <w:bookmarkStart w:id="1614" w:name="_Toc10799"/>
      <w:bookmarkStart w:id="1615" w:name="_Toc9652"/>
      <w:bookmarkStart w:id="1616" w:name="_Toc399"/>
      <w:bookmarkStart w:id="1617" w:name="_Toc10347"/>
      <w:bookmarkStart w:id="1618" w:name="_Toc952"/>
      <w:bookmarkStart w:id="1619" w:name="_Toc16947"/>
      <w:r>
        <w:rPr>
          <w:rFonts w:hint="default" w:ascii="Times New Roman" w:hAnsi="Times New Roman" w:eastAsia="楷体" w:cs="Times New Roman"/>
          <w:b w:val="0"/>
          <w:bCs w:val="0"/>
          <w:color w:val="auto"/>
          <w:sz w:val="32"/>
          <w:szCs w:val="32"/>
          <w:highlight w:val="none"/>
          <w14:ligatures w14:val="standardContextual"/>
        </w:rPr>
        <w:t>第五</w:t>
      </w:r>
      <w:r>
        <w:rPr>
          <w:rFonts w:hint="default" w:ascii="Times New Roman" w:hAnsi="Times New Roman" w:eastAsia="楷体" w:cs="Times New Roman"/>
          <w:b w:val="0"/>
          <w:bCs w:val="0"/>
          <w:color w:val="auto"/>
          <w:sz w:val="32"/>
          <w:szCs w:val="32"/>
          <w:highlight w:val="none"/>
          <w:lang w:eastAsia="zh"/>
          <w14:ligatures w14:val="standardContextual"/>
          <w:woUserID w:val="0"/>
        </w:rPr>
        <w:t>章</w:t>
      </w:r>
      <w:r>
        <w:rPr>
          <w:rFonts w:hint="default" w:ascii="Times New Roman" w:hAnsi="Times New Roman" w:eastAsia="楷体" w:cs="Times New Roman"/>
          <w:b w:val="0"/>
          <w:bCs w:val="0"/>
          <w:color w:val="auto"/>
          <w:sz w:val="32"/>
          <w:szCs w:val="32"/>
          <w:highlight w:val="none"/>
          <w14:ligatures w14:val="standardContextual"/>
        </w:rPr>
        <w:t xml:space="preserve"> 筑牢织密社会保障网</w:t>
      </w:r>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p>
    <w:p w14:paraId="2F7CC3D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bookmarkStart w:id="1620" w:name="_Toc1739745685"/>
      <w:bookmarkStart w:id="1621" w:name="_Toc135992361"/>
      <w:r>
        <w:rPr>
          <w:rFonts w:hint="default" w:ascii="Times New Roman" w:hAnsi="Times New Roman" w:eastAsia="仿宋_GB2312" w:cs="Times New Roman"/>
          <w:b w:val="0"/>
          <w:bCs w:val="0"/>
          <w:color w:val="auto"/>
          <w:sz w:val="32"/>
          <w:szCs w:val="32"/>
          <w:highlight w:val="none"/>
          <w:lang w:eastAsia="zh"/>
        </w:rPr>
        <w:t>以加快推进普惠性、基础性、兜底性民生建设为目标，通过强化社会保险兜底保障能力建设、完善住房保障体系、健全社会救助和社会福利体系，构建起覆盖全民、统筹城乡、公平统一、安全规范、可持续的现代化社会保障体系，提升民生福祉、促进社会公平、维护和谐稳定。</w:t>
      </w:r>
    </w:p>
    <w:p w14:paraId="5E2207A5">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622" w:name="_Toc8068"/>
      <w:bookmarkStart w:id="1623" w:name="_Toc27150"/>
      <w:bookmarkStart w:id="1624" w:name="_Toc4507"/>
      <w:bookmarkStart w:id="1625" w:name="_Toc6600"/>
      <w:bookmarkStart w:id="1626" w:name="_Toc6581"/>
      <w:bookmarkStart w:id="1627" w:name="_Toc22941"/>
      <w:bookmarkStart w:id="1628" w:name="_Toc25938"/>
      <w:bookmarkStart w:id="1629" w:name="_Toc11239"/>
      <w:bookmarkStart w:id="1630" w:name="_Toc22718"/>
      <w:r>
        <w:rPr>
          <w:rFonts w:hint="default" w:ascii="Times New Roman" w:hAnsi="Times New Roman" w:eastAsia="仿宋_GB2312" w:cs="Times New Roman"/>
          <w:b w:val="0"/>
          <w:bCs w:val="0"/>
          <w:color w:val="auto"/>
          <w:sz w:val="32"/>
          <w:szCs w:val="32"/>
          <w:highlight w:val="none"/>
          <w:u w:val="none"/>
          <w:lang w:eastAsia="zh" w:bidi="ar"/>
          <w:woUserID w:val="0"/>
        </w:rPr>
        <w:t>第一节</w:t>
      </w:r>
      <w:r>
        <w:rPr>
          <w:rFonts w:hint="default" w:ascii="Times New Roman" w:hAnsi="Times New Roman" w:eastAsia="仿宋_GB2312" w:cs="Times New Roman"/>
          <w:b w:val="0"/>
          <w:bCs w:val="0"/>
          <w:color w:val="auto"/>
          <w:sz w:val="32"/>
          <w:szCs w:val="32"/>
          <w:highlight w:val="none"/>
          <w:u w:val="none"/>
          <w:lang w:val="en-US"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强化社会保险兜底保障能力建设</w:t>
      </w:r>
      <w:bookmarkEnd w:id="1620"/>
      <w:bookmarkEnd w:id="1621"/>
      <w:bookmarkEnd w:id="1622"/>
      <w:bookmarkEnd w:id="1623"/>
      <w:bookmarkEnd w:id="1624"/>
      <w:bookmarkEnd w:id="1625"/>
      <w:bookmarkEnd w:id="1626"/>
      <w:bookmarkEnd w:id="1627"/>
      <w:bookmarkEnd w:id="1628"/>
      <w:bookmarkEnd w:id="1629"/>
      <w:bookmarkEnd w:id="1630"/>
    </w:p>
    <w:p w14:paraId="6660A7A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深化医疗保险体制改革，积极推进长护险制度落地，提高异地结算覆盖率。建立就业全链条保障体系，打造“预防+康复”的全链条工伤保险，完善高危行业预防监测与培训机制，在县级医院建立工伤康复中心，与企业共建康复站。完善防失业、促就业双重功能的失业保险制度，强化失业人员再就业技能培训和创业支持。创新“一老一小”专属保障，构建多层次、全覆盖的养老保险体系。针对新业态从业者推出灵活就业社保补贴方案。完善“普惠+激励”的生育保险机制，扩大孕检及分娩费用报销比例和范围。</w:t>
      </w:r>
    </w:p>
    <w:p w14:paraId="092C31A6">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631" w:name="_Toc21206"/>
      <w:bookmarkStart w:id="1632" w:name="_Toc2710"/>
      <w:bookmarkStart w:id="1633" w:name="_Toc18080"/>
      <w:bookmarkStart w:id="1634" w:name="_Toc28210"/>
      <w:bookmarkStart w:id="1635" w:name="_Toc671424282"/>
      <w:bookmarkStart w:id="1636" w:name="_Toc10838"/>
      <w:bookmarkStart w:id="1637" w:name="_Toc31297"/>
      <w:bookmarkStart w:id="1638" w:name="_Toc8605"/>
      <w:bookmarkStart w:id="1639" w:name="_Toc2084623202"/>
      <w:bookmarkStart w:id="1640" w:name="_Toc11360"/>
      <w:bookmarkStart w:id="1641" w:name="_Toc25624"/>
      <w:r>
        <w:rPr>
          <w:rFonts w:hint="default" w:ascii="Times New Roman" w:hAnsi="Times New Roman" w:eastAsia="仿宋_GB2312" w:cs="Times New Roman"/>
          <w:b w:val="0"/>
          <w:bCs w:val="0"/>
          <w:color w:val="auto"/>
          <w:sz w:val="32"/>
          <w:szCs w:val="32"/>
          <w:highlight w:val="none"/>
          <w:u w:val="none"/>
          <w:lang w:eastAsia="zh" w:bidi="ar"/>
          <w:woUserID w:val="0"/>
        </w:rPr>
        <w:t>第二节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健全社会救助和社会福利体系</w:t>
      </w:r>
      <w:bookmarkEnd w:id="1631"/>
      <w:bookmarkEnd w:id="1632"/>
      <w:bookmarkEnd w:id="1633"/>
      <w:bookmarkEnd w:id="1634"/>
      <w:bookmarkEnd w:id="1635"/>
      <w:bookmarkEnd w:id="1636"/>
      <w:bookmarkEnd w:id="1637"/>
      <w:bookmarkEnd w:id="1638"/>
      <w:bookmarkEnd w:id="1639"/>
      <w:bookmarkEnd w:id="1640"/>
      <w:bookmarkEnd w:id="1641"/>
    </w:p>
    <w:p w14:paraId="0F8394E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完善多层次社会保障体系，搭建县、乡（镇）、社区（村）三级联动的社会救助体系，针对不同群体创新救助模式，建设完善未成年人保护中心、救助站、精神障碍社区康复服务站等服务设施。完善未成年人、残疾人等群体关爱救助服务体系，鼓励社会力量参与慈善救助事业。依托智慧城市功能平台，构建跨部门、信息共享的“大救助”智慧平台，建立居民信息库“一户一档”，主动发现潜在困难家庭，全面高效办成社会救助“一件事”和全程网办，提高救助服务的智慧化水平。</w:t>
      </w:r>
    </w:p>
    <w:p w14:paraId="5F2076A0">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642" w:name="_Toc2743"/>
      <w:bookmarkStart w:id="1643" w:name="_Toc8545"/>
      <w:bookmarkStart w:id="1644" w:name="_Toc26587"/>
      <w:bookmarkStart w:id="1645" w:name="_Toc23100"/>
      <w:bookmarkStart w:id="1646" w:name="_Toc978308956"/>
      <w:bookmarkStart w:id="1647" w:name="_Toc15116"/>
      <w:bookmarkStart w:id="1648" w:name="_Toc136"/>
      <w:bookmarkStart w:id="1649" w:name="_Toc17251"/>
      <w:bookmarkStart w:id="1650" w:name="_Toc5725"/>
      <w:bookmarkStart w:id="1651" w:name="_Toc22423"/>
      <w:bookmarkStart w:id="1652" w:name="_Toc160089531"/>
      <w:r>
        <w:rPr>
          <w:rFonts w:hint="default" w:ascii="Times New Roman" w:hAnsi="Times New Roman" w:eastAsia="仿宋_GB2312" w:cs="Times New Roman"/>
          <w:b w:val="0"/>
          <w:bCs w:val="0"/>
          <w:color w:val="auto"/>
          <w:sz w:val="32"/>
          <w:szCs w:val="32"/>
          <w:highlight w:val="none"/>
          <w:u w:val="none"/>
          <w:lang w:eastAsia="zh" w:bidi="ar"/>
          <w:woUserID w:val="0"/>
        </w:rPr>
        <w:t>第三节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完善</w:t>
      </w:r>
      <w:commentRangeStart w:id="25"/>
      <w:r>
        <w:rPr>
          <w:rFonts w:hint="default" w:ascii="Times New Roman" w:hAnsi="Times New Roman" w:eastAsia="仿宋_GB2312" w:cs="Times New Roman"/>
          <w:b w:val="0"/>
          <w:bCs w:val="0"/>
          <w:color w:val="auto"/>
          <w:sz w:val="32"/>
          <w:szCs w:val="32"/>
          <w:highlight w:val="none"/>
          <w:u w:val="none"/>
          <w:lang w:eastAsia="zh" w:bidi="ar"/>
          <w:woUserID w:val="0"/>
        </w:rPr>
        <w:t>住房保障</w:t>
      </w:r>
      <w:commentRangeEnd w:id="25"/>
      <w:r>
        <w:rPr>
          <w:rFonts w:hint="default" w:ascii="Times New Roman" w:hAnsi="Times New Roman" w:eastAsia="仿宋_GB2312" w:cs="Times New Roman"/>
          <w:b w:val="0"/>
          <w:bCs w:val="0"/>
          <w:color w:val="auto"/>
          <w:sz w:val="32"/>
          <w:szCs w:val="32"/>
          <w:highlight w:val="none"/>
          <w:u w:val="none"/>
          <w:lang w:eastAsia="zh" w:bidi="ar"/>
          <w:woUserID w:val="0"/>
        </w:rPr>
        <w:commentReference w:id="25"/>
      </w:r>
      <w:r>
        <w:rPr>
          <w:rFonts w:hint="default" w:ascii="Times New Roman" w:hAnsi="Times New Roman" w:eastAsia="仿宋_GB2312" w:cs="Times New Roman"/>
          <w:b w:val="0"/>
          <w:bCs w:val="0"/>
          <w:color w:val="auto"/>
          <w:sz w:val="32"/>
          <w:szCs w:val="32"/>
          <w:highlight w:val="none"/>
          <w:u w:val="none"/>
          <w:lang w:eastAsia="zh" w:bidi="ar"/>
          <w:woUserID w:val="0"/>
        </w:rPr>
        <w:t>体系</w:t>
      </w:r>
      <w:bookmarkEnd w:id="1642"/>
      <w:bookmarkEnd w:id="1643"/>
      <w:bookmarkEnd w:id="1644"/>
      <w:bookmarkEnd w:id="1645"/>
      <w:bookmarkEnd w:id="1646"/>
      <w:bookmarkEnd w:id="1647"/>
      <w:bookmarkEnd w:id="1648"/>
      <w:bookmarkEnd w:id="1649"/>
      <w:bookmarkEnd w:id="1650"/>
      <w:bookmarkEnd w:id="1651"/>
      <w:bookmarkEnd w:id="1652"/>
    </w:p>
    <w:p w14:paraId="75ACADC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楷体" w:cs="Times New Roman"/>
          <w:b w:val="0"/>
          <w:bCs w:val="0"/>
          <w:color w:val="auto"/>
          <w:sz w:val="32"/>
          <w:szCs w:val="32"/>
          <w:highlight w:val="none"/>
          <w14:ligatures w14:val="standardContextual"/>
        </w:rPr>
      </w:pPr>
      <w:r>
        <w:rPr>
          <w:rFonts w:hint="default" w:ascii="Times New Roman" w:hAnsi="Times New Roman" w:eastAsia="仿宋_GB2312" w:cs="Times New Roman"/>
          <w:b w:val="0"/>
          <w:bCs w:val="0"/>
          <w:color w:val="auto"/>
          <w:sz w:val="32"/>
          <w:szCs w:val="32"/>
          <w:highlight w:val="none"/>
          <w:lang w:eastAsia="zh"/>
        </w:rPr>
        <w:t>探索构建房地产发展新模式，构建多主体保障与存量激活体系，实施多元化人才安居政策，强化产业人才住房保障体系建设。健全发展有序的保障性住房管理机制，建立健全统一的住房保障信息管理平台，创新住房保障退出和动态监管机制。积极争取中央、省级和市级财政支持，配套地方政府专项债券，建立多层次的住房保障体系。推进住房保障与民生基础设施建设，扩大保障性租赁住房供给，解决新市民、青年人等群体住房困难</w:t>
      </w:r>
      <w:r>
        <w:rPr>
          <w:rFonts w:hint="eastAsia" w:eastAsia="仿宋_GB2312" w:cs="Times New Roman"/>
          <w:b w:val="0"/>
          <w:bCs w:val="0"/>
          <w:color w:val="auto"/>
          <w:sz w:val="32"/>
          <w:szCs w:val="32"/>
          <w:highlight w:val="none"/>
          <w:lang w:val="en-US" w:eastAsia="zh-CN"/>
        </w:rPr>
        <w:t>问题</w:t>
      </w:r>
      <w:r>
        <w:rPr>
          <w:rFonts w:hint="default" w:ascii="Times New Roman" w:hAnsi="Times New Roman" w:eastAsia="仿宋_GB2312" w:cs="Times New Roman"/>
          <w:b w:val="0"/>
          <w:bCs w:val="0"/>
          <w:color w:val="auto"/>
          <w:sz w:val="32"/>
          <w:szCs w:val="32"/>
          <w:highlight w:val="none"/>
          <w:lang w:eastAsia="zh"/>
        </w:rPr>
        <w:t>。做好农村住房动态监测，持续推进农村危旧房和抗震改造，全力保障农村低收入群体等住房安全。</w:t>
      </w:r>
      <w:bookmarkStart w:id="1653" w:name="_Toc4384"/>
      <w:bookmarkStart w:id="1654" w:name="_Toc20013"/>
      <w:bookmarkStart w:id="1655" w:name="_Toc1964"/>
      <w:bookmarkStart w:id="1656" w:name="_Toc21056"/>
      <w:bookmarkStart w:id="1657" w:name="_Toc3826"/>
      <w:bookmarkStart w:id="1658" w:name="_Toc1947114701"/>
      <w:bookmarkStart w:id="1659" w:name="_Toc20420"/>
      <w:bookmarkStart w:id="1660" w:name="_Toc19742"/>
      <w:bookmarkStart w:id="1661" w:name="_Toc5113"/>
      <w:bookmarkStart w:id="1662" w:name="_Toc29196"/>
      <w:bookmarkStart w:id="1663" w:name="_Toc17171"/>
      <w:bookmarkStart w:id="1664" w:name="_Toc6188"/>
      <w:bookmarkStart w:id="1665" w:name="_Toc460910404"/>
      <w:bookmarkStart w:id="1666" w:name="_Toc18913"/>
    </w:p>
    <w:p w14:paraId="0B994EB2">
      <w:pPr>
        <w:pStyle w:val="3"/>
        <w:keepNext/>
        <w:keepLines/>
        <w:pageBreakBefore w:val="0"/>
        <w:widowControl w:val="0"/>
        <w:kinsoku/>
        <w:wordWrap/>
        <w:overflowPunct/>
        <w:topLinePunct w:val="0"/>
        <w:autoSpaceDE/>
        <w:autoSpaceDN/>
        <w:bidi w:val="0"/>
        <w:adjustRightInd/>
        <w:spacing w:before="0" w:after="0" w:line="560" w:lineRule="exact"/>
        <w:ind w:firstLine="0" w:firstLineChars="0"/>
        <w:jc w:val="center"/>
        <w:textAlignment w:val="auto"/>
        <w:outlineLvl w:val="1"/>
        <w:rPr>
          <w:rFonts w:hint="default" w:ascii="Times New Roman" w:hAnsi="Times New Roman" w:eastAsia="楷体" w:cs="Times New Roman"/>
          <w:b w:val="0"/>
          <w:bCs w:val="0"/>
          <w:color w:val="auto"/>
          <w:sz w:val="32"/>
          <w:szCs w:val="32"/>
          <w:highlight w:val="none"/>
        </w:rPr>
      </w:pPr>
      <w:r>
        <w:rPr>
          <w:rFonts w:hint="default" w:ascii="Times New Roman" w:hAnsi="Times New Roman" w:eastAsia="楷体" w:cs="Times New Roman"/>
          <w:b w:val="0"/>
          <w:bCs w:val="0"/>
          <w:color w:val="auto"/>
          <w:sz w:val="32"/>
          <w:szCs w:val="32"/>
          <w:highlight w:val="none"/>
          <w14:ligatures w14:val="standardContextual"/>
        </w:rPr>
        <w:t>第六</w:t>
      </w:r>
      <w:r>
        <w:rPr>
          <w:rFonts w:hint="default" w:ascii="Times New Roman" w:hAnsi="Times New Roman" w:eastAsia="楷体" w:cs="Times New Roman"/>
          <w:b w:val="0"/>
          <w:bCs w:val="0"/>
          <w:color w:val="auto"/>
          <w:sz w:val="32"/>
          <w:szCs w:val="32"/>
          <w:highlight w:val="none"/>
          <w:lang w:eastAsia="zh"/>
          <w14:ligatures w14:val="standardContextual"/>
          <w:woUserID w:val="0"/>
        </w:rPr>
        <w:t>章</w:t>
      </w:r>
      <w:r>
        <w:rPr>
          <w:rFonts w:hint="default" w:ascii="Times New Roman" w:hAnsi="Times New Roman" w:eastAsia="楷体" w:cs="Times New Roman"/>
          <w:b w:val="0"/>
          <w:bCs w:val="0"/>
          <w:color w:val="auto"/>
          <w:sz w:val="32"/>
          <w:szCs w:val="32"/>
          <w:highlight w:val="none"/>
          <w14:ligatures w14:val="standardContextual"/>
        </w:rPr>
        <w:t xml:space="preserve"> 提升公共文化服务水平</w:t>
      </w:r>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p>
    <w:p w14:paraId="355C596E">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667" w:name="_Toc13547"/>
      <w:bookmarkStart w:id="1668" w:name="_Toc2003676070"/>
      <w:bookmarkStart w:id="1669" w:name="_Toc10023"/>
      <w:bookmarkStart w:id="1670" w:name="_Toc11826"/>
      <w:bookmarkStart w:id="1671" w:name="_Toc10378"/>
      <w:bookmarkStart w:id="1672" w:name="_Toc1319198355"/>
      <w:bookmarkStart w:id="1673" w:name="_Toc6485"/>
      <w:bookmarkStart w:id="1674" w:name="_Toc6168"/>
      <w:bookmarkStart w:id="1675" w:name="_Toc4589"/>
      <w:bookmarkStart w:id="1676" w:name="_Toc28863"/>
      <w:bookmarkStart w:id="1677" w:name="_Toc8434"/>
      <w:r>
        <w:rPr>
          <w:rFonts w:hint="default" w:ascii="Times New Roman" w:hAnsi="Times New Roman" w:eastAsia="仿宋_GB2312" w:cs="Times New Roman"/>
          <w:b w:val="0"/>
          <w:bCs w:val="0"/>
          <w:color w:val="auto"/>
          <w:sz w:val="32"/>
          <w:szCs w:val="32"/>
          <w:highlight w:val="none"/>
          <w:u w:val="none"/>
          <w:lang w:eastAsia="zh" w:bidi="ar"/>
          <w:woUserID w:val="0"/>
        </w:rPr>
        <w:t>第一节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完善全域文化设施网络</w:t>
      </w:r>
      <w:bookmarkEnd w:id="1667"/>
      <w:bookmarkEnd w:id="1668"/>
      <w:bookmarkEnd w:id="1669"/>
      <w:bookmarkEnd w:id="1670"/>
      <w:bookmarkEnd w:id="1671"/>
      <w:bookmarkEnd w:id="1672"/>
      <w:bookmarkEnd w:id="1673"/>
      <w:bookmarkEnd w:id="1674"/>
      <w:bookmarkEnd w:id="1675"/>
      <w:bookmarkEnd w:id="1676"/>
      <w:bookmarkEnd w:id="1677"/>
    </w:p>
    <w:p w14:paraId="74B9BC4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立足构建现代公共文化服务体系，以“文化惠民、文化润城”为导向，全面优化县域文化设施布局，健全县、乡（镇）、社区（村）三级联动文化服务网络，高标准打造“15分钟品质文化圈”。聚焦文化设施提质扩容，持续推动县内文化馆、图书馆、博物馆等公共文化场馆对外免费开放，不断优化场馆服务，丰富馆内活动内容。重点推进县图书馆新馆建设，打造集阅览、城市书房、学术报告厅、展览空间、研讨室、咖啡休闲等多元化公共服务功能于一体的现代化综合文化地标。完善基层综合性文化服务中心功能，持续扩大优质公共文化产品与服务供给。</w:t>
      </w:r>
      <w:r>
        <w:rPr>
          <w:rFonts w:hint="eastAsia" w:eastAsia="仿宋_GB2312" w:cs="Times New Roman"/>
          <w:b w:val="0"/>
          <w:bCs w:val="0"/>
          <w:color w:val="auto"/>
          <w:sz w:val="32"/>
          <w:szCs w:val="32"/>
          <w:highlight w:val="none"/>
          <w:lang w:val="en-US" w:eastAsia="zh-CN"/>
        </w:rPr>
        <w:t>激</w:t>
      </w:r>
      <w:r>
        <w:rPr>
          <w:rFonts w:hint="default" w:ascii="Times New Roman" w:hAnsi="Times New Roman" w:eastAsia="仿宋_GB2312" w:cs="Times New Roman"/>
          <w:b w:val="0"/>
          <w:bCs w:val="0"/>
          <w:color w:val="auto"/>
          <w:sz w:val="32"/>
          <w:szCs w:val="32"/>
          <w:highlight w:val="none"/>
          <w:lang w:eastAsia="zh"/>
        </w:rPr>
        <w:t>发基层文化创造活力，培育群众文艺团队，实施“百家艺术团”孵化计划，夯实公共文化内生动力。实施文艺作品质量提升行动，强化文化品牌引领，构建“一县一品”特色文化体系，着力塑造具有桦川特色、时代气息的文艺品牌。挖掘和培养本土乡村文化能人，激发乡村文化内生动力，邀请专业教师授课，提升基层文化工作者和文艺爱好者的专业素养。精心编创原创舞蹈《扇影欢歌》《水脉长歌》，以灵动舞姿展现地方民俗风情，</w:t>
      </w:r>
      <w:r>
        <w:rPr>
          <w:rFonts w:hint="default" w:ascii="Times New Roman" w:hAnsi="Times New Roman" w:eastAsia="仿宋_GB2312" w:cs="Times New Roman"/>
          <w:b w:val="0"/>
          <w:bCs w:val="0"/>
          <w:sz w:val="32"/>
          <w:szCs w:val="32"/>
          <w:lang w:val="en-US" w:eastAsia="zh-CN"/>
        </w:rPr>
        <w:t>创作快板书《八女投江》等红色文艺精品</w:t>
      </w:r>
      <w:r>
        <w:rPr>
          <w:rFonts w:hint="default" w:ascii="Times New Roman" w:hAnsi="Times New Roman" w:eastAsia="仿宋_GB2312" w:cs="Times New Roman"/>
          <w:b w:val="0"/>
          <w:bCs w:val="0"/>
          <w:color w:val="auto"/>
          <w:sz w:val="32"/>
          <w:szCs w:val="32"/>
          <w:highlight w:val="none"/>
          <w:lang w:eastAsia="zh"/>
        </w:rPr>
        <w:t>，用鲜活演绎传承红色基因、弘扬英雄精神。深入实施文化惠民工程，常态化开展“送戏曲进乡村”“送电影下乡”“送图书入户”等系列文化活动，精心组织“我们的中国梦”“农民文化艺术节”等主题群众文化活动，年均举办各类文化惠民活动超百场，对上积极争取国家、省、市级文化活动落地桦川实现文化悦民、文化育民。</w:t>
      </w:r>
    </w:p>
    <w:p w14:paraId="0A019104">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678" w:name="_Toc2003424985"/>
      <w:bookmarkStart w:id="1679" w:name="_Toc21099"/>
      <w:bookmarkStart w:id="1680" w:name="_Toc29427"/>
      <w:bookmarkStart w:id="1681" w:name="_Toc22216"/>
      <w:bookmarkStart w:id="1682" w:name="_Toc3649"/>
      <w:bookmarkStart w:id="1683" w:name="_Toc11726"/>
      <w:bookmarkStart w:id="1684" w:name="_Toc18844"/>
      <w:bookmarkStart w:id="1685" w:name="_Toc2053173130"/>
      <w:bookmarkStart w:id="1686" w:name="_Toc9114"/>
      <w:bookmarkStart w:id="1687" w:name="_Toc28784"/>
      <w:bookmarkStart w:id="1688" w:name="_Toc4907"/>
      <w:r>
        <w:rPr>
          <w:rFonts w:hint="default" w:ascii="Times New Roman" w:hAnsi="Times New Roman" w:eastAsia="仿宋_GB2312" w:cs="Times New Roman"/>
          <w:b w:val="0"/>
          <w:bCs w:val="0"/>
          <w:color w:val="auto"/>
          <w:sz w:val="32"/>
          <w:szCs w:val="32"/>
          <w:highlight w:val="none"/>
          <w:u w:val="none"/>
          <w:lang w:eastAsia="zh" w:bidi="ar"/>
          <w:woUserID w:val="0"/>
        </w:rPr>
        <w:t>第二节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加强文化遗产保护与传承</w:t>
      </w:r>
      <w:bookmarkEnd w:id="1678"/>
      <w:bookmarkEnd w:id="1679"/>
      <w:bookmarkEnd w:id="1680"/>
      <w:bookmarkEnd w:id="1681"/>
      <w:bookmarkEnd w:id="1682"/>
      <w:bookmarkEnd w:id="1683"/>
      <w:bookmarkEnd w:id="1684"/>
      <w:bookmarkEnd w:id="1685"/>
      <w:bookmarkEnd w:id="1686"/>
      <w:bookmarkEnd w:id="1687"/>
      <w:bookmarkEnd w:id="1688"/>
    </w:p>
    <w:p w14:paraId="7F1F931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深入挖掘并整合桦川深厚的历史文化资源，聚焦朝鲜族民俗文化、东北抗联红色文化、辽金历史文化三大核心板块，构建具有鲜明桦川标识的地域文化体系。强化历史文化资源保护与活化利用，以第四次全国文物普查为契机，加强对瓦里霍吞城址、希尔哈城址等重点文物遗址的系统保护与价值挖掘，延续城市文脉，彰显文化自信，推动桦川文化事业繁荣发展，赋能城市软实力提升。加强文物安全防范设施建设，升级打造数字化博物馆，精心策划精细化陈列展览，推进珍贵文物认定和博物馆定级工作。积极对上争取数字化展陈项目以及文物保护和预防性保护项目。加大对</w:t>
      </w:r>
      <w:r>
        <w:rPr>
          <w:rFonts w:hint="eastAsia" w:eastAsia="仿宋_GB2312" w:cs="Times New Roman"/>
          <w:b w:val="0"/>
          <w:bCs w:val="0"/>
          <w:color w:val="auto"/>
          <w:sz w:val="32"/>
          <w:szCs w:val="32"/>
          <w:highlight w:val="none"/>
          <w:lang w:eastAsia="zh-CN"/>
        </w:rPr>
        <w:t>非物质文化遗产保护传承</w:t>
      </w:r>
      <w:r>
        <w:rPr>
          <w:rFonts w:hint="default" w:ascii="Times New Roman" w:hAnsi="Times New Roman" w:eastAsia="仿宋_GB2312" w:cs="Times New Roman"/>
          <w:b w:val="0"/>
          <w:bCs w:val="0"/>
          <w:color w:val="auto"/>
          <w:sz w:val="32"/>
          <w:szCs w:val="32"/>
          <w:highlight w:val="none"/>
          <w:lang w:eastAsia="zh"/>
        </w:rPr>
        <w:t>力度，推出反映桦川历史文化、民俗风情、革命历史等主题的原创性展览，让文化遗产“活”起来。开发具有桦川特色的历史文物、非遗手工品等文创产品。</w:t>
      </w:r>
    </w:p>
    <w:tbl>
      <w:tblPr>
        <w:tblStyle w:val="25"/>
        <w:tblW w:w="0" w:type="auto"/>
        <w:jc w:val="center"/>
        <w:tblLayout w:type="autofit"/>
        <w:tblCellMar>
          <w:top w:w="0" w:type="dxa"/>
          <w:left w:w="108" w:type="dxa"/>
          <w:bottom w:w="0" w:type="dxa"/>
          <w:right w:w="108" w:type="dxa"/>
        </w:tblCellMar>
      </w:tblPr>
      <w:tblGrid>
        <w:gridCol w:w="8296"/>
      </w:tblGrid>
      <w:tr w14:paraId="6898EEB7">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40C1DF1B">
            <w:pPr>
              <w:spacing w:line="360" w:lineRule="exact"/>
              <w:jc w:val="center"/>
              <w:rPr>
                <w:rFonts w:hint="default" w:ascii="Times New Roman" w:hAnsi="Times New Roman" w:eastAsia="楷体_GB2312" w:cs="Times New Roman"/>
                <w:b w:val="0"/>
                <w:bCs w:val="0"/>
                <w:color w:val="auto"/>
                <w:sz w:val="24"/>
                <w:szCs w:val="24"/>
                <w:highlight w:val="none"/>
                <w14:ligatures w14:val="standardContextual"/>
              </w:rPr>
            </w:pPr>
            <w:r>
              <w:rPr>
                <w:rFonts w:hint="default" w:ascii="Times New Roman" w:hAnsi="Times New Roman" w:eastAsia="楷体_GB2312" w:cs="Times New Roman"/>
                <w:b w:val="0"/>
                <w:bCs w:val="0"/>
                <w:color w:val="auto"/>
                <w:sz w:val="24"/>
                <w:highlight w:val="none"/>
                <w14:ligatures w14:val="standardContextual"/>
              </w:rPr>
              <w:t>专栏7-6 历史与红色文化传承保护利用重大工程项目</w:t>
            </w:r>
          </w:p>
        </w:tc>
      </w:tr>
      <w:tr w14:paraId="2CF46A1C">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05FACE32">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桦川县瓦里霍吞城址保护利用设施项目</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抢救性保护措施包括（浇筑混凝土护坡、护堤，修复受损墙体和冲沟）护坡长度1800米，受损墙体15处6000立方米，水冲沟11处8000立方米。修建文物保护管理设施（文物保护监护用房）。建设游客服务中心一处，游客服务中心建筑面积400平方米。建设数字化遗址博物馆一处，建筑面积1000平方米。建设环古城步行道路一条，长度2939米，宽度为1.2米。建设路径指示标识、标牌、标志。停车场1万平方米。建设文物风貌改善设施（环卫设施2处、巡护道路3公里、绿化2万平方米、周边环境整治3万平方米）。</w:t>
            </w:r>
          </w:p>
          <w:p w14:paraId="1B692D1D">
            <w:pPr>
              <w:spacing w:line="360" w:lineRule="exact"/>
              <w:ind w:firstLine="420" w:firstLineChars="200"/>
              <w:rPr>
                <w:rFonts w:hint="default" w:ascii="Times New Roman" w:hAnsi="Times New Roman" w:eastAsia="仿宋"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桦川县敬夫红色研学基地建设项目</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占地面积3000平方米，主要建设内容：改造敬夫烈士纪念展厅、革命文物展陈、红色研学报告厅、抗联精神模拟体验区、红色文化手工体验区、红色研学氛围景观及其附属配套设施。</w:t>
            </w:r>
          </w:p>
        </w:tc>
      </w:tr>
    </w:tbl>
    <w:p w14:paraId="4D794935">
      <w:pPr>
        <w:keepNext w:val="0"/>
        <w:keepLines w:val="0"/>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689" w:name="_Toc27542"/>
      <w:bookmarkStart w:id="1690" w:name="_Toc28384"/>
      <w:bookmarkStart w:id="1691" w:name="_Toc28941"/>
      <w:bookmarkStart w:id="1692" w:name="_Toc21114"/>
      <w:bookmarkStart w:id="1693" w:name="_Toc615851578"/>
      <w:bookmarkStart w:id="1694" w:name="_Toc9356"/>
      <w:bookmarkStart w:id="1695" w:name="_Toc1844479647"/>
      <w:bookmarkStart w:id="1696" w:name="_Toc28410"/>
      <w:bookmarkStart w:id="1697" w:name="_Toc31183"/>
      <w:bookmarkStart w:id="1698" w:name="_Toc13614"/>
      <w:bookmarkStart w:id="1699" w:name="_Toc3385"/>
      <w:r>
        <w:rPr>
          <w:rFonts w:hint="default" w:ascii="Times New Roman" w:hAnsi="Times New Roman" w:eastAsia="仿宋_GB2312" w:cs="Times New Roman"/>
          <w:b w:val="0"/>
          <w:bCs w:val="0"/>
          <w:color w:val="auto"/>
          <w:sz w:val="32"/>
          <w:szCs w:val="32"/>
          <w:highlight w:val="none"/>
          <w:u w:val="none"/>
          <w:lang w:eastAsia="zh" w:bidi="ar"/>
          <w:woUserID w:val="0"/>
        </w:rPr>
        <w:t>第三节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发展公共体育事业</w:t>
      </w:r>
      <w:bookmarkEnd w:id="1689"/>
      <w:bookmarkEnd w:id="1690"/>
      <w:bookmarkEnd w:id="1691"/>
      <w:bookmarkEnd w:id="1692"/>
      <w:bookmarkEnd w:id="1693"/>
      <w:bookmarkEnd w:id="1694"/>
      <w:bookmarkEnd w:id="1695"/>
      <w:bookmarkEnd w:id="1696"/>
      <w:bookmarkEnd w:id="1697"/>
      <w:bookmarkEnd w:id="1698"/>
      <w:bookmarkEnd w:id="1699"/>
    </w:p>
    <w:p w14:paraId="6E0DFBA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加快全民健身中心、体育公园、体育健身场馆等体育场地更新改扩建，完善健身器材配置，全面推进城乡公共体育健身场地和设施建设。加强青少年体育工作，规范建设青少年体育机构。丰富全民健身赛事活动，引进承办具有国际、国内、省内影响力的体育赛事。以民族体育活动为特色，打造文体旅融合品牌，推动体育与文化、旅游、教育等产业的深度融合。加快学校体育教育课程建设，培养青少年的体育兴趣和运动习惯，为全民健身事业储备人才。借助“互联网+”技术，推进体育设施智慧化改造，加快智慧化场馆建设，为居民提供便捷的健身服务。以乡镇和农村地区为重点，新建一批健身广场和多功能运动场，配备健身器材设施。重点支持老旧体育设施更新改造，提高体育设施的安全性和适用性。</w:t>
      </w:r>
    </w:p>
    <w:p w14:paraId="22B3B55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p>
    <w:tbl>
      <w:tblPr>
        <w:tblStyle w:val="25"/>
        <w:tblW w:w="0" w:type="auto"/>
        <w:jc w:val="center"/>
        <w:tblLayout w:type="autofit"/>
        <w:tblCellMar>
          <w:top w:w="0" w:type="dxa"/>
          <w:left w:w="108" w:type="dxa"/>
          <w:bottom w:w="0" w:type="dxa"/>
          <w:right w:w="108" w:type="dxa"/>
        </w:tblCellMar>
      </w:tblPr>
      <w:tblGrid>
        <w:gridCol w:w="8296"/>
      </w:tblGrid>
      <w:tr w14:paraId="381C8FF6">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3AE32C05">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专栏7-7 全民健身设施重大工程项目</w:t>
            </w:r>
          </w:p>
        </w:tc>
      </w:tr>
      <w:tr w14:paraId="0277987A">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6540227B">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桦川县公共体育场改造项目</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改造篮球场、排球场、网球场、羽毛球场地4500平方米、增加观众看台座椅1600个、看台雨棚1500平方米。</w:t>
            </w:r>
          </w:p>
          <w:p w14:paraId="6877BE65">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桦川县体育公园配套设施项目</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建设智慧健身步道、AI健身、AR智能类设施、智能健身路径及球场围网等智慧体育设施。</w:t>
            </w:r>
          </w:p>
          <w:p w14:paraId="54D0103E">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黑龙江省佳木斯市桦川县冰雪实训基地建设项目</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项目占地20000平方米，建设冰壶馆1座5000平方米、速滑馆1座5000平方米、轮滑场1座2000平方米及其他附属配套设施。</w:t>
            </w:r>
          </w:p>
          <w:p w14:paraId="4D0BF569">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黑龙江省佳木斯市桦川县冬季汽车营地建设项目</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项目占地50000平方米，包含露天电影区域、丛林帐篷区域、公共露营区域、多功能接待区域、体育活动场地区域，建设40个房车露营车位、生态停车场、厕所、水电、消防及生活垃圾处理等附属配套工程。</w:t>
            </w:r>
          </w:p>
          <w:p w14:paraId="51DCDD5D">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黑龙江省佳木斯市全民健身综合服务中心建设项目</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项目总占地面积20000平方米，建筑总面积10000平方米，其中：游泳馆一座2400平方米、短道速滑训练馆一座3200平方米，综合体育馆球类馆区1500平方米，文体项目培训区1000平方米，健身房800平方米、辅助功能区700平方米，消防水池及泵房400平方米，配套基础设施。室外球场及健身器械区5000平方米，室外照明及监控1项，绿化工程2000平方米，停车位100个。</w:t>
            </w:r>
          </w:p>
          <w:p w14:paraId="3233A617">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eastAsia="仿宋"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黑龙江省佳木斯市桦川县文体综合楼建设项目</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项目占地9000平方米，建筑面积3500㎡，包括文化展厅、文化剧院、舞蹈培训室、图书阅览室、综合器械区、瑜伽活动区、射箭区及其附属配套设施。</w:t>
            </w:r>
          </w:p>
        </w:tc>
      </w:tr>
      <w:tr w14:paraId="11BE8045">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5D9DE722">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专栏7-8 公共文化提升专项行动</w:t>
            </w:r>
          </w:p>
        </w:tc>
      </w:tr>
      <w:tr w14:paraId="72EEB694">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1D1B9430">
            <w:pPr>
              <w:spacing w:line="360" w:lineRule="exact"/>
              <w:ind w:firstLine="420" w:firstLineChars="200"/>
              <w:rPr>
                <w:rFonts w:hint="default" w:ascii="Times New Roman" w:hAnsi="Times New Roman" w:eastAsia="仿宋_GB2312" w:cs="Times New Roman"/>
                <w:b w:val="0"/>
                <w:bCs w:val="0"/>
                <w:color w:val="auto"/>
                <w:sz w:val="21"/>
                <w:szCs w:val="21"/>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强化公共文化服务体系建设。持续优化公共文化设施布局，满足群众日益增长的文化需求，提高公共文化服务效能。创新文化活动形式，引入沉浸式演出、互动体验活动等，年均开展文化活动不少于120场。实施文艺作品质量提升工程，打造具有桦川特色的文艺品牌，如以朝鲜族文化、辽金历史、红色文化为依托创作1</w:t>
            </w:r>
            <w:r>
              <w:rPr>
                <w:rFonts w:hint="eastAsia" w:eastAsia="仿宋_GB2312" w:cs="Times New Roman"/>
                <w:b w:val="0"/>
                <w:bCs w:val="0"/>
                <w:color w:val="auto"/>
                <w:sz w:val="21"/>
                <w:szCs w:val="21"/>
                <w:highlight w:val="none"/>
                <w:lang w:eastAsia="zh-CN"/>
                <w14:ligatures w14:val="standardContextual"/>
              </w:rPr>
              <w:t>—</w:t>
            </w:r>
            <w:r>
              <w:rPr>
                <w:rFonts w:hint="default" w:ascii="Times New Roman" w:hAnsi="Times New Roman" w:eastAsia="仿宋_GB2312" w:cs="Times New Roman"/>
                <w:b w:val="0"/>
                <w:bCs w:val="0"/>
                <w:color w:val="auto"/>
                <w:sz w:val="21"/>
                <w:szCs w:val="21"/>
                <w:highlight w:val="none"/>
                <w14:ligatures w14:val="standardContextual"/>
              </w:rPr>
              <w:t>3个原创作品。加强文化专业人才培养，依托高等院校、职业院校和各类培训机构，培养一批适应文化发展需要的专业人才。</w:t>
            </w:r>
          </w:p>
          <w:p w14:paraId="3D9683DE">
            <w:pPr>
              <w:spacing w:line="360" w:lineRule="exact"/>
              <w:ind w:firstLine="420" w:firstLineChars="200"/>
              <w:rPr>
                <w:rFonts w:hint="default" w:ascii="Times New Roman" w:hAnsi="Times New Roman" w:eastAsia="仿宋_GB2312" w:cs="Times New Roman"/>
                <w:b w:val="0"/>
                <w:bCs w:val="0"/>
                <w:color w:val="auto"/>
                <w:sz w:val="21"/>
                <w:szCs w:val="21"/>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加强文化遗产保护与传承。加强文物安全防范设施建设，升级打造数字化博物馆，精心策划精细化陈列展览。积极对上争取数字化展陈项目以及文物保护和预防性保护项目。加大对</w:t>
            </w:r>
            <w:r>
              <w:rPr>
                <w:rFonts w:hint="eastAsia" w:eastAsia="仿宋_GB2312" w:cs="Times New Roman"/>
                <w:b w:val="0"/>
                <w:bCs w:val="0"/>
                <w:color w:val="auto"/>
                <w:sz w:val="21"/>
                <w:szCs w:val="21"/>
                <w:highlight w:val="none"/>
                <w:lang w:eastAsia="zh-CN"/>
                <w14:ligatures w14:val="standardContextual"/>
              </w:rPr>
              <w:t>非物质文化遗产保护传承</w:t>
            </w:r>
            <w:r>
              <w:rPr>
                <w:rFonts w:hint="default" w:ascii="Times New Roman" w:hAnsi="Times New Roman" w:eastAsia="仿宋_GB2312" w:cs="Times New Roman"/>
                <w:b w:val="0"/>
                <w:bCs w:val="0"/>
                <w:color w:val="auto"/>
                <w:sz w:val="21"/>
                <w:szCs w:val="21"/>
                <w:highlight w:val="none"/>
                <w14:ligatures w14:val="standardContextual"/>
              </w:rPr>
              <w:t>力度，推出反映桦川历史文化、民俗风情、革命历史等主题的原创性展览，让文化遗产“活”起来。开发具有桦川特色的历史文物、非遗手工品等文创产品。</w:t>
            </w:r>
          </w:p>
          <w:p w14:paraId="3AF7635C">
            <w:pPr>
              <w:spacing w:line="360" w:lineRule="exact"/>
              <w:ind w:firstLine="420" w:firstLineChars="200"/>
              <w:rPr>
                <w:rFonts w:hint="default" w:ascii="Times New Roman" w:hAnsi="Times New Roman" w:eastAsia="楷体_GB2312" w:cs="Times New Roman"/>
                <w:b w:val="0"/>
                <w:bCs w:val="0"/>
                <w:color w:val="auto"/>
                <w:sz w:val="24"/>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建立健全全民健身体系。完善全民健身设施，增加</w:t>
            </w:r>
            <w:r>
              <w:rPr>
                <w:rFonts w:hint="default" w:ascii="Times New Roman" w:hAnsi="Times New Roman" w:eastAsia="仿宋_GB2312" w:cs="Times New Roman"/>
                <w:b w:val="0"/>
                <w:bCs w:val="0"/>
                <w:color w:val="auto"/>
                <w:sz w:val="21"/>
                <w:szCs w:val="21"/>
                <w:highlight w:val="none"/>
                <w:lang w:eastAsia="zh"/>
                <w14:ligatures w14:val="standardContextual"/>
              </w:rPr>
              <w:t>全民健身中心、体育公园等</w:t>
            </w:r>
            <w:r>
              <w:rPr>
                <w:rFonts w:hint="default" w:ascii="Times New Roman" w:hAnsi="Times New Roman" w:eastAsia="仿宋_GB2312" w:cs="Times New Roman"/>
                <w:b w:val="0"/>
                <w:bCs w:val="0"/>
                <w:color w:val="auto"/>
                <w:sz w:val="21"/>
                <w:szCs w:val="21"/>
                <w:highlight w:val="none"/>
                <w14:ligatures w14:val="standardContextual"/>
              </w:rPr>
              <w:t>体育场地设施供给，打造城区“15分钟体育健身圈”。大力开展运动会、骑行等全民健身活动，广泛开展篮球、排球、滑冰等体育邀请赛，扩大体育促消费影响力，推动体育产业成为经济增长的新亮点。打造桦川轮滑场地，推出“一县一品”体育赛事品牌。深化“体教融合”，实施青少年体育活动促进计划，重点发展速滑、游泳、篮球、足球、乒乓球、羽毛球等体育项目，拓宽体育后备人才培育渠道。</w:t>
            </w:r>
          </w:p>
        </w:tc>
      </w:tr>
    </w:tbl>
    <w:p w14:paraId="0A04F1F2">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outlineLvl w:val="0"/>
        <w:rPr>
          <w:rFonts w:hint="default" w:ascii="Times New Roman" w:hAnsi="Times New Roman" w:eastAsia="黑体" w:cs="Times New Roman"/>
          <w:color w:val="auto"/>
          <w:sz w:val="32"/>
          <w:szCs w:val="32"/>
          <w:highlight w:val="none"/>
          <w14:ligatures w14:val="standardContextual"/>
        </w:rPr>
      </w:pPr>
      <w:bookmarkStart w:id="1700" w:name="_Toc14189"/>
      <w:bookmarkStart w:id="1701" w:name="_Toc21969"/>
      <w:bookmarkStart w:id="1702" w:name="_Toc1669550615"/>
      <w:bookmarkStart w:id="1703" w:name="_Toc23425"/>
      <w:bookmarkStart w:id="1704" w:name="_Toc11699"/>
      <w:bookmarkStart w:id="1705" w:name="_Toc2475"/>
      <w:bookmarkStart w:id="1706" w:name="_Toc9959"/>
      <w:bookmarkStart w:id="1707" w:name="_Toc27013"/>
      <w:bookmarkStart w:id="1708" w:name="_Toc16695"/>
      <w:bookmarkStart w:id="1709" w:name="_Toc6060"/>
      <w:bookmarkStart w:id="1710" w:name="_Toc585064776"/>
      <w:bookmarkStart w:id="1711" w:name="_Toc26599"/>
      <w:bookmarkStart w:id="1712" w:name="_Toc5708"/>
      <w:bookmarkStart w:id="1713" w:name="_Toc30199"/>
      <w:r>
        <w:rPr>
          <w:rFonts w:hint="default" w:ascii="Times New Roman" w:hAnsi="Times New Roman" w:eastAsia="黑体" w:cs="Times New Roman"/>
          <w:color w:val="auto"/>
          <w:sz w:val="32"/>
          <w:szCs w:val="32"/>
          <w:highlight w:val="none"/>
          <w14:ligatures w14:val="standardContextual"/>
        </w:rPr>
        <w:t>第八</w:t>
      </w:r>
      <w:r>
        <w:rPr>
          <w:rFonts w:hint="default" w:ascii="Times New Roman" w:hAnsi="Times New Roman" w:eastAsia="黑体" w:cs="Times New Roman"/>
          <w:color w:val="auto"/>
          <w:sz w:val="32"/>
          <w:szCs w:val="32"/>
          <w:highlight w:val="none"/>
          <w:lang w:eastAsia="zh"/>
          <w14:ligatures w14:val="standardContextual"/>
          <w:woUserID w:val="0"/>
        </w:rPr>
        <w:t>篇</w:t>
      </w:r>
      <w:r>
        <w:rPr>
          <w:rFonts w:hint="default" w:ascii="Times New Roman" w:hAnsi="Times New Roman" w:eastAsia="黑体" w:cs="Times New Roman"/>
          <w:color w:val="auto"/>
          <w:sz w:val="32"/>
          <w:szCs w:val="32"/>
          <w:highlight w:val="none"/>
          <w14:ligatures w14:val="standardContextual"/>
        </w:rPr>
        <w:t xml:space="preserve"> </w:t>
      </w:r>
      <w:r>
        <w:rPr>
          <w:rFonts w:hint="default" w:ascii="Times New Roman" w:hAnsi="Times New Roman" w:eastAsia="黑体" w:cs="Times New Roman"/>
          <w:color w:val="auto"/>
          <w:sz w:val="32"/>
          <w:szCs w:val="32"/>
          <w:highlight w:val="none"/>
          <w:lang w:val="en-US" w:eastAsia="zh-CN"/>
          <w14:ligatures w14:val="standardContextual"/>
        </w:rPr>
        <w:t>加快绿色转型升级</w:t>
      </w:r>
      <w:r>
        <w:rPr>
          <w:rFonts w:hint="default" w:ascii="Times New Roman" w:hAnsi="Times New Roman" w:eastAsia="黑体" w:cs="Times New Roman"/>
          <w:color w:val="auto"/>
          <w:sz w:val="32"/>
          <w:szCs w:val="32"/>
          <w:highlight w:val="none"/>
          <w14:ligatures w14:val="standardContextual"/>
        </w:rPr>
        <w:t xml:space="preserve">  争创生态文明建设示范区</w:t>
      </w:r>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p>
    <w:p w14:paraId="0026A44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坚持以习近平生态文明思想引领经济社会发展全面转型，加强全领域、全地域、全过程、全方位生态文明建设，强化重点流域生态保护修复，推动全县生态环境质量稳定向好，努力建设人与自然和谐共生的现代化美丽桦川。</w:t>
      </w:r>
    </w:p>
    <w:p w14:paraId="2F575E42">
      <w:pPr>
        <w:pStyle w:val="3"/>
        <w:keepNext/>
        <w:keepLines/>
        <w:pageBreakBefore w:val="0"/>
        <w:widowControl w:val="0"/>
        <w:kinsoku/>
        <w:wordWrap/>
        <w:overflowPunct/>
        <w:topLinePunct w:val="0"/>
        <w:autoSpaceDE/>
        <w:autoSpaceDN/>
        <w:bidi w:val="0"/>
        <w:adjustRightInd/>
        <w:spacing w:before="0" w:after="0" w:line="560" w:lineRule="exact"/>
        <w:jc w:val="center"/>
        <w:textAlignment w:val="auto"/>
        <w:outlineLvl w:val="1"/>
        <w:rPr>
          <w:rFonts w:hint="default" w:ascii="Times New Roman" w:hAnsi="Times New Roman" w:eastAsia="楷体" w:cs="Times New Roman"/>
          <w:b w:val="0"/>
          <w:bCs/>
          <w:color w:val="auto"/>
          <w:sz w:val="32"/>
          <w:szCs w:val="32"/>
          <w:highlight w:val="none"/>
          <w14:ligatures w14:val="standardContextual"/>
        </w:rPr>
      </w:pPr>
      <w:bookmarkStart w:id="1714" w:name="_Toc31824"/>
      <w:bookmarkStart w:id="1715" w:name="_Toc12978"/>
      <w:bookmarkStart w:id="1716" w:name="_Toc15119"/>
      <w:bookmarkStart w:id="1717" w:name="_Toc1946101519"/>
      <w:bookmarkStart w:id="1718" w:name="_Toc2068533241"/>
      <w:bookmarkStart w:id="1719" w:name="_Toc10145"/>
      <w:bookmarkStart w:id="1720" w:name="_Toc10482"/>
      <w:bookmarkStart w:id="1721" w:name="_Toc22798"/>
      <w:bookmarkStart w:id="1722" w:name="_Toc23845"/>
      <w:bookmarkStart w:id="1723" w:name="_Toc20345"/>
      <w:bookmarkStart w:id="1724" w:name="_Toc25202"/>
      <w:bookmarkStart w:id="1725" w:name="_Toc10337"/>
      <w:bookmarkStart w:id="1726" w:name="_Toc19916"/>
      <w:bookmarkStart w:id="1727" w:name="_Toc20823"/>
      <w:r>
        <w:rPr>
          <w:rFonts w:hint="default" w:ascii="Times New Roman" w:hAnsi="Times New Roman" w:eastAsia="楷体" w:cs="Times New Roman"/>
          <w:b w:val="0"/>
          <w:bCs/>
          <w:color w:val="auto"/>
          <w:sz w:val="32"/>
          <w:szCs w:val="32"/>
          <w:highlight w:val="none"/>
          <w14:ligatures w14:val="standardContextual"/>
        </w:rPr>
        <w:t>第</w:t>
      </w:r>
      <w:r>
        <w:rPr>
          <w:rFonts w:hint="default" w:ascii="Times New Roman" w:hAnsi="Times New Roman" w:eastAsia="楷体" w:cs="Times New Roman"/>
          <w:b w:val="0"/>
          <w:bCs/>
          <w:color w:val="auto"/>
          <w:sz w:val="32"/>
          <w:szCs w:val="32"/>
          <w:highlight w:val="none"/>
          <w:lang w:eastAsia="zh"/>
          <w14:ligatures w14:val="standardContextual"/>
        </w:rPr>
        <w:t>一</w:t>
      </w:r>
      <w:r>
        <w:rPr>
          <w:rFonts w:hint="default" w:ascii="Times New Roman" w:hAnsi="Times New Roman" w:eastAsia="楷体" w:cs="Times New Roman"/>
          <w:b w:val="0"/>
          <w:bCs/>
          <w:color w:val="auto"/>
          <w:sz w:val="32"/>
          <w:szCs w:val="32"/>
          <w:highlight w:val="none"/>
          <w:lang w:eastAsia="zh"/>
          <w14:ligatures w14:val="standardContextual"/>
          <w:woUserID w:val="0"/>
        </w:rPr>
        <w:t>章</w:t>
      </w:r>
      <w:r>
        <w:rPr>
          <w:rFonts w:hint="default" w:ascii="Times New Roman" w:hAnsi="Times New Roman" w:eastAsia="楷体" w:cs="Times New Roman"/>
          <w:b w:val="0"/>
          <w:bCs/>
          <w:color w:val="auto"/>
          <w:sz w:val="32"/>
          <w:szCs w:val="32"/>
          <w:highlight w:val="none"/>
          <w14:ligatures w14:val="standardContextual"/>
        </w:rPr>
        <w:t xml:space="preserve"> 打造生态宜居新样板</w:t>
      </w:r>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p>
    <w:p w14:paraId="26D15AA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坚持精准治污、科学治污、依法治污，深入打好污染防治攻坚战，持续开展大气、水、土壤等污染防治行动，有效防控重大环境风险，实现减污降碳协同效应，推动生态环境质量持续改善。</w:t>
      </w:r>
    </w:p>
    <w:p w14:paraId="0A12B6F7">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728" w:name="_Toc28472"/>
      <w:bookmarkStart w:id="1729" w:name="_Toc1865804859"/>
      <w:bookmarkStart w:id="1730" w:name="_Toc17114"/>
      <w:bookmarkStart w:id="1731" w:name="_Toc8822"/>
      <w:bookmarkStart w:id="1732" w:name="_Toc23336"/>
      <w:bookmarkStart w:id="1733" w:name="_Toc28016"/>
      <w:bookmarkStart w:id="1734" w:name="_Toc1944635928"/>
      <w:bookmarkStart w:id="1735" w:name="_Toc15709"/>
      <w:bookmarkStart w:id="1736" w:name="_Toc12860"/>
      <w:bookmarkStart w:id="1737" w:name="_Toc9334"/>
      <w:bookmarkStart w:id="1738" w:name="_Toc18051"/>
      <w:r>
        <w:rPr>
          <w:rFonts w:hint="default" w:ascii="Times New Roman" w:hAnsi="Times New Roman" w:eastAsia="仿宋_GB2312" w:cs="Times New Roman"/>
          <w:b w:val="0"/>
          <w:bCs w:val="0"/>
          <w:color w:val="auto"/>
          <w:sz w:val="32"/>
          <w:szCs w:val="32"/>
          <w:highlight w:val="none"/>
          <w:u w:val="none"/>
          <w:lang w:eastAsia="zh" w:bidi="ar"/>
          <w:woUserID w:val="0"/>
        </w:rPr>
        <w:t>第一节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深入打好蓝天保卫战</w:t>
      </w:r>
      <w:bookmarkEnd w:id="1728"/>
      <w:bookmarkEnd w:id="1729"/>
      <w:bookmarkEnd w:id="1730"/>
      <w:bookmarkEnd w:id="1731"/>
      <w:bookmarkEnd w:id="1732"/>
      <w:bookmarkEnd w:id="1733"/>
      <w:bookmarkEnd w:id="1734"/>
      <w:bookmarkEnd w:id="1735"/>
      <w:bookmarkEnd w:id="1736"/>
      <w:bookmarkEnd w:id="1737"/>
      <w:bookmarkEnd w:id="1738"/>
    </w:p>
    <w:p w14:paraId="0F02DC9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深入实施空气质量改善行动，强化源头管控，加强多污染物协同控制和区域协同治理。深入开展大气污染综合治理工作，加强大气污染联防联控联治体系建设，强化多污染物协同控制，强化臭氧、挥发性有机物等大气污染执法和监测，提高VOCs、移动源污染、城市面源污染治理水平。建立健全生态、气象等部门联合会商预测机制，根据气象条件和污染物排放状况，及时启动重污染天气应急预警响应机制。聚焦“一区两园”重点区域，强化工业污染全过程控制，深化重点行业企业挥发性有机物综合整治，实现全行业全要素达标排放。强化机动车、非道路移动机械排放达标监管，推广使用新能源车，加强扬尘、油烟等大气面源污染精细化管理。加大餐饮油烟污染防治力度，加强餐饮业执法检查，深化秸秆禁烧与综合利用。</w:t>
      </w:r>
    </w:p>
    <w:p w14:paraId="436F05A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p>
    <w:tbl>
      <w:tblPr>
        <w:tblStyle w:val="25"/>
        <w:tblW w:w="0" w:type="auto"/>
        <w:jc w:val="center"/>
        <w:tblLayout w:type="autofit"/>
        <w:tblCellMar>
          <w:top w:w="0" w:type="dxa"/>
          <w:left w:w="108" w:type="dxa"/>
          <w:bottom w:w="0" w:type="dxa"/>
          <w:right w:w="108" w:type="dxa"/>
        </w:tblCellMar>
      </w:tblPr>
      <w:tblGrid>
        <w:gridCol w:w="8296"/>
      </w:tblGrid>
      <w:tr w14:paraId="7BB44F26">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601A7A12">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专栏8-1 大气污染减排专项行动</w:t>
            </w:r>
          </w:p>
        </w:tc>
      </w:tr>
      <w:tr w14:paraId="1E774DA8">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48C22800">
            <w:pPr>
              <w:spacing w:line="360" w:lineRule="exact"/>
              <w:ind w:firstLine="420" w:firstLineChars="200"/>
              <w:rPr>
                <w:rFonts w:hint="default" w:ascii="Times New Roman" w:hAnsi="Times New Roman" w:eastAsia="仿宋_GB2312" w:cs="Times New Roman"/>
                <w:b w:val="0"/>
                <w:bCs w:val="0"/>
                <w:color w:val="auto"/>
                <w:sz w:val="21"/>
                <w:szCs w:val="21"/>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机动车作业车辆减排专项行动。加强机动车检验机构检查，规范机动车检验机构环境执行标准，机动车尾气达标排放。</w:t>
            </w:r>
          </w:p>
          <w:p w14:paraId="691695AF">
            <w:pPr>
              <w:spacing w:line="360" w:lineRule="exact"/>
              <w:ind w:firstLine="420" w:firstLineChars="200"/>
              <w:rPr>
                <w:rFonts w:hint="default" w:ascii="Times New Roman" w:hAnsi="Times New Roman" w:eastAsia="仿宋_GB2312" w:cs="Times New Roman"/>
                <w:b w:val="0"/>
                <w:bCs w:val="0"/>
                <w:color w:val="auto"/>
                <w:sz w:val="21"/>
                <w:szCs w:val="21"/>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扬尘污染整治减排专项行动。实行施工工地、物料运输、城市道路、工业企业、露天堆场等扬尘防治分类施治。</w:t>
            </w:r>
          </w:p>
          <w:p w14:paraId="5843AA84">
            <w:pPr>
              <w:spacing w:line="360" w:lineRule="exact"/>
              <w:ind w:firstLine="420" w:firstLineChars="200"/>
              <w:rPr>
                <w:rFonts w:hint="default" w:ascii="Times New Roman" w:hAnsi="Times New Roman" w:eastAsia="仿宋_GB2312" w:cs="Times New Roman"/>
                <w:b w:val="0"/>
                <w:bCs w:val="0"/>
                <w:color w:val="auto"/>
                <w:sz w:val="21"/>
                <w:szCs w:val="21"/>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餐饮油烟污染防治减排专项行动。严格执行《佳木斯市餐饮业油烟污染防治条例》，加</w:t>
            </w:r>
            <w:r>
              <w:rPr>
                <w:rFonts w:hint="eastAsia" w:eastAsia="仿宋_GB2312" w:cs="Times New Roman"/>
                <w:b w:val="0"/>
                <w:bCs w:val="0"/>
                <w:color w:val="auto"/>
                <w:sz w:val="21"/>
                <w:szCs w:val="21"/>
                <w:highlight w:val="none"/>
                <w:lang w:eastAsia="zh-CN"/>
                <w14:ligatures w14:val="standardContextual"/>
              </w:rPr>
              <w:t>强对</w:t>
            </w:r>
            <w:r>
              <w:rPr>
                <w:rFonts w:hint="default" w:ascii="Times New Roman" w:hAnsi="Times New Roman" w:eastAsia="仿宋_GB2312" w:cs="Times New Roman"/>
                <w:b w:val="0"/>
                <w:bCs w:val="0"/>
                <w:color w:val="auto"/>
                <w:sz w:val="21"/>
                <w:szCs w:val="21"/>
                <w:highlight w:val="none"/>
                <w14:ligatures w14:val="standardContextual"/>
              </w:rPr>
              <w:t>居民楼附近餐饮服务单位布局管理，加强油烟扰民源头控制。</w:t>
            </w:r>
          </w:p>
          <w:p w14:paraId="774E5376">
            <w:pPr>
              <w:spacing w:line="360" w:lineRule="exact"/>
              <w:ind w:firstLine="420" w:firstLineChars="200"/>
              <w:rPr>
                <w:rFonts w:hint="default" w:ascii="Times New Roman" w:hAnsi="Times New Roman" w:eastAsia="仿宋_GB2312" w:cs="Times New Roman"/>
                <w:b w:val="0"/>
                <w:bCs w:val="0"/>
                <w:color w:val="auto"/>
                <w:sz w:val="21"/>
                <w:szCs w:val="21"/>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涉气工业企业污染减排专项行动。</w:t>
            </w:r>
            <w:r>
              <w:rPr>
                <w:rFonts w:hint="eastAsia" w:eastAsia="仿宋_GB2312" w:cs="Times New Roman"/>
                <w:b w:val="0"/>
                <w:bCs w:val="0"/>
                <w:color w:val="auto"/>
                <w:sz w:val="21"/>
                <w:szCs w:val="21"/>
                <w:highlight w:val="none"/>
                <w:lang w:val="en-US" w:eastAsia="zh-CN"/>
                <w14:ligatures w14:val="standardContextual"/>
              </w:rPr>
              <w:t>加强</w:t>
            </w:r>
            <w:r>
              <w:rPr>
                <w:rFonts w:hint="default" w:ascii="Times New Roman" w:hAnsi="Times New Roman" w:eastAsia="仿宋_GB2312" w:cs="Times New Roman"/>
                <w:b w:val="0"/>
                <w:bCs w:val="0"/>
                <w:color w:val="auto"/>
                <w:sz w:val="21"/>
                <w:szCs w:val="21"/>
                <w:highlight w:val="none"/>
                <w14:ligatures w14:val="standardContextual"/>
              </w:rPr>
              <w:t>涉气工业企业污染治理设施监管，确保稳定达标排放，推进协联热电备用燃煤锅炉实施超低排放改造，推进供热管网覆盖地区工业企业纳入集中供热。</w:t>
            </w:r>
          </w:p>
          <w:p w14:paraId="4A4400A1">
            <w:pPr>
              <w:spacing w:line="360" w:lineRule="exact"/>
              <w:ind w:firstLine="420" w:firstLineChars="200"/>
              <w:rPr>
                <w:rFonts w:hint="default" w:ascii="Times New Roman" w:hAnsi="Times New Roman" w:eastAsia="楷体_GB2312" w:cs="Times New Roman"/>
                <w:b w:val="0"/>
                <w:bCs w:val="0"/>
                <w:color w:val="auto"/>
                <w:sz w:val="24"/>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秸秆禁烧管控减排专项行动。严格落实“调度研判、审批备案”机制，合理安排计划烧除区域和轮次，按照“空间分开、时间间隔、插花式烧除”工作原则，依照“阻隔设施、防范人员、扑火机具”三到位原则，采取多种科学点烧法，确保烧除作业安全高效，加强秸秆禁烧管控督查督导，坚决守住不发生重污染天气底线。</w:t>
            </w:r>
          </w:p>
        </w:tc>
      </w:tr>
    </w:tbl>
    <w:p w14:paraId="1D05FAEB">
      <w:pPr>
        <w:keepNext w:val="0"/>
        <w:keepLines w:val="0"/>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739" w:name="_Toc14897"/>
      <w:bookmarkStart w:id="1740" w:name="_Toc1718264210"/>
      <w:bookmarkStart w:id="1741" w:name="_Toc1221"/>
      <w:bookmarkStart w:id="1742" w:name="_Toc2816"/>
      <w:bookmarkStart w:id="1743" w:name="_Toc25182"/>
      <w:bookmarkStart w:id="1744" w:name="_Toc20173"/>
      <w:bookmarkStart w:id="1745" w:name="_Toc13636"/>
      <w:bookmarkStart w:id="1746" w:name="_Toc30731"/>
      <w:bookmarkStart w:id="1747" w:name="_Toc787"/>
      <w:bookmarkStart w:id="1748" w:name="_Toc353484233"/>
      <w:bookmarkStart w:id="1749" w:name="_Toc8455"/>
      <w:r>
        <w:rPr>
          <w:rFonts w:hint="default" w:ascii="Times New Roman" w:hAnsi="Times New Roman" w:eastAsia="仿宋_GB2312" w:cs="Times New Roman"/>
          <w:b w:val="0"/>
          <w:bCs w:val="0"/>
          <w:color w:val="auto"/>
          <w:sz w:val="32"/>
          <w:szCs w:val="32"/>
          <w:highlight w:val="none"/>
          <w:u w:val="none"/>
          <w:lang w:eastAsia="zh" w:bidi="ar"/>
          <w:woUserID w:val="0"/>
        </w:rPr>
        <w:t>第二节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深入打好碧水保卫战</w:t>
      </w:r>
      <w:bookmarkEnd w:id="1739"/>
      <w:bookmarkEnd w:id="1740"/>
      <w:bookmarkEnd w:id="1741"/>
      <w:bookmarkEnd w:id="1742"/>
      <w:bookmarkEnd w:id="1743"/>
      <w:bookmarkEnd w:id="1744"/>
      <w:bookmarkEnd w:id="1745"/>
      <w:bookmarkEnd w:id="1746"/>
      <w:bookmarkEnd w:id="1747"/>
      <w:bookmarkEnd w:id="1748"/>
      <w:bookmarkEnd w:id="1749"/>
    </w:p>
    <w:p w14:paraId="1703C37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统筹水环境、水生态、水资源、水安全治理，持续推进水污染治理、水生态修复、水资源保护“三水共治”长效管护机制。持续开展城乡污水治理、黑臭水体、工业废水等治理，强化饮用水源治理与保护。完善水环境治理监管体系，加强湖泊河流本体调查，推进美丽河湖建设，加强松花江干支流、城市河道和农村水体污染防治。加大水质监测和预警，全面完成乡镇级水源保护区划定，建成应急备用水源地，确保饮用水水源安全。巩固提升水环境整治成效，强化河湖生态修复治理。推动城镇污水管网全覆盖和城区截流设施功能改造。持续开展城市黑臭水体整治环境保护行动。加大重点水域黑臭水体治理力度，加强入河排污口整治，推进城镇污水管网全覆盖。加强畜禽养殖、水产养殖、农业面源等农业农村污染管控，加强污水管网摸排、修复和改造，对入湖港渠进行清淤等系统治理，加快推进河湖排污口规范化建设，对重点排污口建设监控监测站点。加强地下水污染源头防控，持续推进废弃矿山生态修复工程。到2030年，全县主要江河湖库水功能区水质显著提升，国控考核断面达到或优于Ⅲ类水体占地表水比例保持100%。</w:t>
      </w:r>
    </w:p>
    <w:tbl>
      <w:tblPr>
        <w:tblStyle w:val="25"/>
        <w:tblW w:w="0" w:type="auto"/>
        <w:jc w:val="center"/>
        <w:tblLayout w:type="autofit"/>
        <w:tblCellMar>
          <w:top w:w="0" w:type="dxa"/>
          <w:left w:w="108" w:type="dxa"/>
          <w:bottom w:w="0" w:type="dxa"/>
          <w:right w:w="108" w:type="dxa"/>
        </w:tblCellMar>
      </w:tblPr>
      <w:tblGrid>
        <w:gridCol w:w="8296"/>
      </w:tblGrid>
      <w:tr w14:paraId="3B503CFF">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483553B2">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专栏8-2 水环境质量排查整治专项行动</w:t>
            </w:r>
          </w:p>
        </w:tc>
      </w:tr>
      <w:tr w14:paraId="5FA9212F">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7894748C">
            <w:pPr>
              <w:spacing w:line="360" w:lineRule="exact"/>
              <w:ind w:firstLine="420" w:firstLineChars="200"/>
              <w:rPr>
                <w:rFonts w:hint="default" w:ascii="Times New Roman" w:hAnsi="Times New Roman" w:eastAsia="仿宋_GB2312" w:cs="Times New Roman"/>
                <w:b w:val="0"/>
                <w:bCs w:val="0"/>
                <w:color w:val="auto"/>
                <w:sz w:val="21"/>
                <w:szCs w:val="21"/>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水环境质量排查整治专项行动。全面排查涉镉等重金属重点行业企业。开展国控考核点位周边污染源排查整治，保障地下水环境质量达标。严格农用地分类管理和安全利用，明确永久基本农田集中区域不得规划新建可能造成土壤污染的建设项目。围绕河流、河道、排干、沟渠等区域，全面开展生活垃圾、农药包装废弃物、作物秸秆、畜禽粪污等问题排查整治，开展污染源监督检查。</w:t>
            </w:r>
          </w:p>
          <w:p w14:paraId="25B908B7">
            <w:pPr>
              <w:spacing w:line="360" w:lineRule="exact"/>
              <w:ind w:firstLine="420" w:firstLineChars="200"/>
              <w:rPr>
                <w:rFonts w:hint="default" w:ascii="Times New Roman" w:hAnsi="Times New Roman" w:eastAsia="楷体_GB2312" w:cs="Times New Roman"/>
                <w:b w:val="0"/>
                <w:bCs w:val="0"/>
                <w:color w:val="auto"/>
                <w:sz w:val="24"/>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入河排污口排查整治专项行动。构建入河排污口排查整治联防联控机制，常态化开展入河排污口排查溯源整治，落实入河排污口责任部门和监管部门，建立“一口一档”动态管理台账，定期开展“回头看”检查，有效控制入河污染物排放。</w:t>
            </w:r>
          </w:p>
        </w:tc>
      </w:tr>
    </w:tbl>
    <w:p w14:paraId="7D99B677">
      <w:pPr>
        <w:keepNext w:val="0"/>
        <w:keepLines w:val="0"/>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bCs/>
          <w:color w:val="auto"/>
          <w:sz w:val="32"/>
          <w:szCs w:val="32"/>
          <w:highlight w:val="none"/>
          <w:u w:val="none"/>
          <w:lang w:eastAsia="zh" w:bidi="ar"/>
          <w:woUserID w:val="0"/>
        </w:rPr>
      </w:pPr>
      <w:bookmarkStart w:id="1750" w:name="_Toc1536"/>
      <w:bookmarkStart w:id="1751" w:name="_Toc32141"/>
      <w:bookmarkStart w:id="1752" w:name="_Toc16523"/>
      <w:bookmarkStart w:id="1753" w:name="_Toc17189"/>
      <w:bookmarkStart w:id="1754" w:name="_Toc1531976488"/>
      <w:bookmarkStart w:id="1755" w:name="_Toc24198"/>
      <w:bookmarkStart w:id="1756" w:name="_Toc1402654722"/>
      <w:bookmarkStart w:id="1757" w:name="_Toc19357"/>
      <w:bookmarkStart w:id="1758" w:name="_Toc29334"/>
      <w:bookmarkStart w:id="1759" w:name="_Toc11923"/>
      <w:bookmarkStart w:id="1760" w:name="_Toc18644"/>
      <w:r>
        <w:rPr>
          <w:rFonts w:hint="default" w:ascii="Times New Roman" w:hAnsi="Times New Roman" w:eastAsia="仿宋_GB2312" w:cs="Times New Roman"/>
          <w:b w:val="0"/>
          <w:bCs w:val="0"/>
          <w:color w:val="auto"/>
          <w:sz w:val="32"/>
          <w:szCs w:val="32"/>
          <w:highlight w:val="none"/>
          <w:u w:val="none"/>
          <w:lang w:eastAsia="zh" w:bidi="ar"/>
          <w:woUserID w:val="0"/>
        </w:rPr>
        <w:t>第三节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深入打好净土保卫战</w:t>
      </w:r>
      <w:bookmarkEnd w:id="1750"/>
      <w:bookmarkEnd w:id="1751"/>
      <w:bookmarkEnd w:id="1752"/>
      <w:bookmarkEnd w:id="1753"/>
      <w:bookmarkEnd w:id="1754"/>
      <w:bookmarkEnd w:id="1755"/>
      <w:bookmarkEnd w:id="1756"/>
      <w:bookmarkEnd w:id="1757"/>
      <w:bookmarkEnd w:id="1758"/>
      <w:bookmarkEnd w:id="1759"/>
      <w:bookmarkEnd w:id="1760"/>
    </w:p>
    <w:p w14:paraId="49C97CA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深入开展土壤污染状况详查，建立全县土壤环境基础数据库和信息管理平台，建立污染地块名录及其开发利用负面清单，加强污染源监管，防范建设项目新增土壤污染，有序开展建设用地污染地块的治理与修复。推行垃圾分类和减量化、资源化，建立生活垃圾处理收费与分类政策激励并行机制，实现原生生活垃圾零填埋。强化建设用地准入管理，加强工业企业搬迁遗留地块、垃圾填埋场的土壤修复，严控重金属污染物排放。争取历史遗留矿山生态修复二期项目。开展危险废物专项整治，强化医疗废物处置监管，加强医疗等危险废物全流程监控，加强白色污染治理。强化土壤和地下水保护风险防控和安全利用，重点建设用地安全利用率保持100%。加强重点建设用地安全利用，在土地用途变更前进行土壤污染状况调查。持续开展农村黑臭水体排查整治。开展固体废物综合治理行动。持续推进新污染物治理行动，严格落实新化学物质环境管理登记制度。</w:t>
      </w:r>
    </w:p>
    <w:tbl>
      <w:tblPr>
        <w:tblStyle w:val="25"/>
        <w:tblW w:w="0" w:type="auto"/>
        <w:jc w:val="center"/>
        <w:tblLayout w:type="autofit"/>
        <w:tblCellMar>
          <w:top w:w="0" w:type="dxa"/>
          <w:left w:w="108" w:type="dxa"/>
          <w:bottom w:w="0" w:type="dxa"/>
          <w:right w:w="108" w:type="dxa"/>
        </w:tblCellMar>
      </w:tblPr>
      <w:tblGrid>
        <w:gridCol w:w="8296"/>
      </w:tblGrid>
      <w:tr w14:paraId="18851E39">
        <w:trPr>
          <w:jc w:val="center"/>
        </w:trPr>
        <w:tc>
          <w:tcPr>
            <w:tcW w:w="8296" w:type="dxa"/>
            <w:tcBorders>
              <w:top w:val="single" w:color="auto" w:sz="4" w:space="0"/>
              <w:left w:val="single" w:color="auto" w:sz="4" w:space="0"/>
              <w:bottom w:val="single" w:color="auto" w:sz="4" w:space="0"/>
              <w:right w:val="single" w:color="auto" w:sz="4" w:space="0"/>
            </w:tcBorders>
          </w:tcPr>
          <w:p w14:paraId="329A0A65">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专栏8-3 土壤污染风险管控专项行动</w:t>
            </w:r>
          </w:p>
        </w:tc>
      </w:tr>
      <w:tr w14:paraId="7E3C44DB">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76304B55">
            <w:pPr>
              <w:spacing w:line="360" w:lineRule="exact"/>
              <w:ind w:firstLine="420" w:firstLineChars="200"/>
              <w:rPr>
                <w:rFonts w:hint="default" w:ascii="Times New Roman" w:hAnsi="Times New Roman" w:eastAsia="仿宋_GB2312" w:cs="Times New Roman"/>
                <w:b w:val="0"/>
                <w:bCs w:val="0"/>
                <w:color w:val="auto"/>
                <w:sz w:val="21"/>
                <w:szCs w:val="21"/>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开展土壤污染源头防控专项行动。全面排查涉镉等重金属重点行业企业。开展国控考核点位周边污染源排查整治，保障地下水环境质量达标。严格农用地分类管理和安全利用，明确永久基本农田集中区域不得规划新建可能造成土壤污染的建设项目。</w:t>
            </w:r>
          </w:p>
          <w:p w14:paraId="1FF80F29">
            <w:pPr>
              <w:spacing w:line="360" w:lineRule="exact"/>
              <w:ind w:firstLine="420" w:firstLineChars="200"/>
              <w:rPr>
                <w:rFonts w:hint="default" w:ascii="Times New Roman" w:hAnsi="Times New Roman" w:eastAsia="楷体_GB2312" w:cs="Times New Roman"/>
                <w:b w:val="0"/>
                <w:bCs w:val="0"/>
                <w:color w:val="auto"/>
                <w:sz w:val="24"/>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建设用地土壤安全利用专项行动。用途变更为“一住两公”地块土壤污染状况调查评估实现全覆盖，建立分级评审机制，严格落实准入管理，重点建设用地安全利用得到有效保障，确保重点建设用地安全利用率达到100%。</w:t>
            </w:r>
          </w:p>
        </w:tc>
      </w:tr>
    </w:tbl>
    <w:p w14:paraId="1789E656">
      <w:pPr>
        <w:pStyle w:val="3"/>
        <w:keepNext/>
        <w:keepLines/>
        <w:pageBreakBefore w:val="0"/>
        <w:widowControl w:val="0"/>
        <w:kinsoku/>
        <w:wordWrap/>
        <w:overflowPunct/>
        <w:topLinePunct w:val="0"/>
        <w:autoSpaceDE/>
        <w:autoSpaceDN/>
        <w:bidi w:val="0"/>
        <w:adjustRightInd/>
        <w:spacing w:before="0" w:after="0" w:line="560" w:lineRule="exact"/>
        <w:ind w:firstLine="0" w:firstLineChars="0"/>
        <w:jc w:val="center"/>
        <w:textAlignment w:val="auto"/>
        <w:outlineLvl w:val="1"/>
        <w:rPr>
          <w:rFonts w:hint="default" w:ascii="Times New Roman" w:hAnsi="Times New Roman" w:eastAsia="楷体" w:cs="Times New Roman"/>
          <w:b w:val="0"/>
          <w:bCs/>
          <w:color w:val="auto"/>
          <w:sz w:val="32"/>
          <w:szCs w:val="32"/>
          <w:highlight w:val="none"/>
          <w14:ligatures w14:val="standardContextual"/>
        </w:rPr>
      </w:pPr>
      <w:bookmarkStart w:id="1761" w:name="_Toc9121"/>
      <w:bookmarkStart w:id="1762" w:name="_Toc3875"/>
      <w:bookmarkStart w:id="1763" w:name="_Toc11230"/>
      <w:bookmarkStart w:id="1764" w:name="_Toc20758"/>
      <w:bookmarkStart w:id="1765" w:name="_Toc625992783"/>
      <w:bookmarkStart w:id="1766" w:name="_Toc3467"/>
      <w:bookmarkStart w:id="1767" w:name="_Toc19988"/>
      <w:bookmarkStart w:id="1768" w:name="_Toc3339"/>
      <w:bookmarkStart w:id="1769" w:name="_Toc29205"/>
      <w:bookmarkStart w:id="1770" w:name="_Toc19172"/>
      <w:bookmarkStart w:id="1771" w:name="_Toc2082378299"/>
      <w:bookmarkStart w:id="1772" w:name="_Toc23678"/>
      <w:bookmarkStart w:id="1773" w:name="_Toc28499"/>
      <w:bookmarkStart w:id="1774" w:name="_Toc17773"/>
      <w:r>
        <w:rPr>
          <w:rFonts w:hint="default" w:ascii="Times New Roman" w:hAnsi="Times New Roman" w:eastAsia="楷体" w:cs="Times New Roman"/>
          <w:b w:val="0"/>
          <w:bCs/>
          <w:color w:val="auto"/>
          <w:sz w:val="32"/>
          <w:szCs w:val="32"/>
          <w:highlight w:val="none"/>
          <w:lang w:eastAsia="zh"/>
          <w14:ligatures w14:val="standardContextual"/>
        </w:rPr>
        <w:t>第二章</w:t>
      </w:r>
      <w:r>
        <w:rPr>
          <w:rFonts w:hint="default" w:ascii="Times New Roman" w:hAnsi="Times New Roman" w:eastAsia="楷体" w:cs="Times New Roman"/>
          <w:b w:val="0"/>
          <w:bCs/>
          <w:color w:val="auto"/>
          <w:sz w:val="32"/>
          <w:szCs w:val="32"/>
          <w:highlight w:val="none"/>
          <w14:ligatures w14:val="standardContextual"/>
        </w:rPr>
        <w:t xml:space="preserve"> 提升重点流域水系生态质量</w:t>
      </w:r>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p>
    <w:p w14:paraId="24D260F4">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1775" w:name="_Toc6304"/>
      <w:bookmarkStart w:id="1776" w:name="_Toc18419"/>
      <w:bookmarkStart w:id="1777" w:name="_Toc20581"/>
      <w:bookmarkStart w:id="1778" w:name="_Toc8144"/>
      <w:bookmarkStart w:id="1779" w:name="_Toc955508896"/>
      <w:bookmarkStart w:id="1780" w:name="_Toc2922"/>
      <w:bookmarkStart w:id="1781" w:name="_Toc25446"/>
      <w:bookmarkStart w:id="1782" w:name="_Toc1862256496"/>
      <w:bookmarkStart w:id="1783" w:name="_Toc3623"/>
      <w:bookmarkStart w:id="1784" w:name="_Toc30390"/>
      <w:bookmarkStart w:id="1785" w:name="_Toc22308"/>
      <w:r>
        <w:rPr>
          <w:rFonts w:hint="default" w:ascii="Times New Roman" w:hAnsi="Times New Roman" w:eastAsia="仿宋_GB2312" w:cs="Times New Roman"/>
          <w:b w:val="0"/>
          <w:bCs/>
          <w:color w:val="auto"/>
          <w:sz w:val="32"/>
          <w:szCs w:val="32"/>
          <w:highlight w:val="none"/>
          <w:u w:val="none"/>
          <w:lang w:eastAsia="zh" w:bidi="ar"/>
          <w:woUserID w:val="0"/>
        </w:rPr>
        <w:t>第一节</w:t>
      </w:r>
      <w:r>
        <w:rPr>
          <w:rFonts w:hint="default" w:ascii="Times New Roman" w:hAnsi="Times New Roman" w:eastAsia="仿宋_GB2312" w:cs="Times New Roman"/>
          <w:b w:val="0"/>
          <w:bCs/>
          <w:color w:val="auto"/>
          <w:sz w:val="32"/>
          <w:szCs w:val="32"/>
          <w:highlight w:val="none"/>
          <w:u w:val="none"/>
          <w:lang w:eastAsia="zh-CN" w:bidi="ar"/>
          <w:woUserID w:val="0"/>
        </w:rPr>
        <w:t xml:space="preserve"> </w:t>
      </w:r>
      <w:r>
        <w:rPr>
          <w:rFonts w:hint="default" w:ascii="Times New Roman" w:hAnsi="Times New Roman" w:eastAsia="仿宋_GB2312" w:cs="Times New Roman"/>
          <w:b w:val="0"/>
          <w:bCs/>
          <w:color w:val="auto"/>
          <w:sz w:val="32"/>
          <w:szCs w:val="32"/>
          <w:highlight w:val="none"/>
          <w:u w:val="none"/>
          <w:lang w:eastAsia="zh" w:bidi="ar"/>
          <w:woUserID w:val="0"/>
        </w:rPr>
        <w:t>加强重点流域生态环境保护</w:t>
      </w:r>
      <w:bookmarkEnd w:id="1775"/>
      <w:bookmarkEnd w:id="1776"/>
      <w:bookmarkEnd w:id="1777"/>
      <w:bookmarkEnd w:id="1778"/>
      <w:bookmarkEnd w:id="1779"/>
      <w:bookmarkEnd w:id="1780"/>
      <w:bookmarkEnd w:id="1781"/>
      <w:bookmarkEnd w:id="1782"/>
      <w:bookmarkEnd w:id="1783"/>
      <w:bookmarkEnd w:id="1784"/>
      <w:bookmarkEnd w:id="1785"/>
    </w:p>
    <w:p w14:paraId="23360FB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推进松花江流域山水林田湖草生态保护和修复，科学划定并严格管控生态保护红线和生态空间管控区域，加强自然保护区、森林公园、饮用水源保护区重点生态地区建设，着力构建自然保护地体系，守住自然生态安全边界。严格实施松花江流域综合治理与生态修复工程，全面推进松花江流域沿线排污口溯源整治与规范化管理，构建全覆盖的排污口监督管理制度体系。开展河湖水域岸线生态化改造行动，推广柔性生态护岸技术与自然修复模式。加大湿地生态保护力度，重点加强对湿地生态系统典型、珍稀濒危物种集中分布的自然湿地保护，加强珍稀濒危等关键物种栖息地保护建设，逐步构建覆盖面广、连通性强、层级合理的区域湿地保护体系，持续巩固以湿地自然保护区为主体的生态保护体系建设。</w:t>
      </w:r>
    </w:p>
    <w:p w14:paraId="6E834BCA">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786" w:name="_Toc2059544095"/>
      <w:bookmarkStart w:id="1787" w:name="_Toc32092"/>
      <w:bookmarkStart w:id="1788" w:name="_Toc24322"/>
      <w:bookmarkStart w:id="1789" w:name="_Toc25797"/>
      <w:bookmarkStart w:id="1790" w:name="_Toc29913"/>
      <w:bookmarkStart w:id="1791" w:name="_Toc26001"/>
      <w:bookmarkStart w:id="1792" w:name="_Toc671622290"/>
      <w:bookmarkStart w:id="1793" w:name="_Toc12902"/>
      <w:bookmarkStart w:id="1794" w:name="_Toc29827"/>
      <w:bookmarkStart w:id="1795" w:name="_Toc15161"/>
      <w:bookmarkStart w:id="1796" w:name="_Toc8386"/>
      <w:r>
        <w:rPr>
          <w:rFonts w:hint="default" w:ascii="Times New Roman" w:hAnsi="Times New Roman" w:eastAsia="仿宋_GB2312" w:cs="Times New Roman"/>
          <w:b w:val="0"/>
          <w:bCs w:val="0"/>
          <w:color w:val="auto"/>
          <w:sz w:val="32"/>
          <w:szCs w:val="32"/>
          <w:highlight w:val="none"/>
          <w:u w:val="none"/>
          <w:lang w:eastAsia="zh" w:bidi="ar"/>
          <w:woUserID w:val="0"/>
        </w:rPr>
        <w:t>第二节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深入推进重点流域水系综合治理</w:t>
      </w:r>
      <w:bookmarkEnd w:id="1786"/>
      <w:bookmarkEnd w:id="1787"/>
      <w:bookmarkEnd w:id="1788"/>
      <w:bookmarkEnd w:id="1789"/>
      <w:bookmarkEnd w:id="1790"/>
      <w:bookmarkEnd w:id="1791"/>
      <w:bookmarkEnd w:id="1792"/>
      <w:bookmarkEnd w:id="1793"/>
      <w:bookmarkEnd w:id="1794"/>
      <w:bookmarkEnd w:id="1795"/>
      <w:bookmarkEnd w:id="1796"/>
    </w:p>
    <w:p w14:paraId="04643BF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保护修复江河湖库湿地生态系统，着力治理松花江干支流水污染，推进河湖水系连通、水质提升和生态修复工程。推进松花江重点水系综合治理，实施清淤扩挖、港渠连通及岸线整治工程，确保湖泊数量、面积与蓄水量“三不减”。全面落实“一湖一策”精准治理，针对总磷等关键指标开展专项防控，强化沿湖排污口溯源整治与规范化监管。实施松花江流域水系生态修复工程，开展岸线生态化整治，修复受损岸线，种植水生植物构建滨岸缓冲带，恢复水生植被群落，建设人工浮岛、生态驳岸等生态设施。加强松花江流域水利设施建设与管护，实施堤防加固、河道疏浚、节制闸站更新改造等工程，完善水环境监测网络，构建“空天地”一体化监测体系，实时监控水质、水量、水位等指标，建立监测数据共享机制。</w:t>
      </w:r>
    </w:p>
    <w:p w14:paraId="50DFC250">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797" w:name="_Toc18265"/>
      <w:bookmarkStart w:id="1798" w:name="_Toc30387"/>
      <w:bookmarkStart w:id="1799" w:name="_Toc1646344166"/>
      <w:bookmarkStart w:id="1800" w:name="_Toc15622"/>
      <w:bookmarkStart w:id="1801" w:name="_Toc20455"/>
      <w:bookmarkStart w:id="1802" w:name="_Toc28165"/>
      <w:bookmarkStart w:id="1803" w:name="_Toc89164942"/>
      <w:bookmarkStart w:id="1804" w:name="_Toc17551"/>
      <w:bookmarkStart w:id="1805" w:name="_Toc28964"/>
      <w:bookmarkStart w:id="1806" w:name="_Toc27894"/>
      <w:bookmarkStart w:id="1807" w:name="_Toc30422"/>
      <w:r>
        <w:rPr>
          <w:rFonts w:hint="default" w:ascii="Times New Roman" w:hAnsi="Times New Roman" w:eastAsia="仿宋_GB2312" w:cs="Times New Roman"/>
          <w:b w:val="0"/>
          <w:bCs w:val="0"/>
          <w:color w:val="auto"/>
          <w:sz w:val="32"/>
          <w:szCs w:val="32"/>
          <w:highlight w:val="none"/>
          <w:u w:val="none"/>
          <w:lang w:eastAsia="zh" w:bidi="ar"/>
          <w:woUserID w:val="0"/>
        </w:rPr>
        <w:t>第三节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加强重点河湖流域生物多样性保护</w:t>
      </w:r>
      <w:bookmarkEnd w:id="1797"/>
      <w:bookmarkEnd w:id="1798"/>
      <w:bookmarkEnd w:id="1799"/>
      <w:bookmarkEnd w:id="1800"/>
      <w:bookmarkEnd w:id="1801"/>
      <w:bookmarkEnd w:id="1802"/>
      <w:bookmarkEnd w:id="1803"/>
      <w:bookmarkEnd w:id="1804"/>
      <w:bookmarkEnd w:id="1805"/>
      <w:bookmarkEnd w:id="1806"/>
      <w:bookmarkEnd w:id="1807"/>
    </w:p>
    <w:p w14:paraId="3722577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cs="Times New Roman"/>
          <w:lang w:eastAsia="zh"/>
        </w:rPr>
      </w:pPr>
      <w:r>
        <w:rPr>
          <w:rFonts w:hint="default" w:ascii="Times New Roman" w:hAnsi="Times New Roman" w:eastAsia="仿宋_GB2312" w:cs="Times New Roman"/>
          <w:color w:val="auto"/>
          <w:sz w:val="32"/>
          <w:szCs w:val="32"/>
          <w:highlight w:val="none"/>
          <w:lang w:eastAsia="zh"/>
        </w:rPr>
        <w:t>加强重点物种保护，实施濒危物种救护与繁育工程，规范野生动物放生行为，保护鱼类洄游通道，维护河湖生态系统连通性。科学开展松花江沿岸宜林地段造林绿化与生态修复，严格保护松花江沿岸天然林资源，推进生态防护林带与退化林修复与低效林改造工程。全面建立县、</w:t>
      </w:r>
      <w:r>
        <w:rPr>
          <w:rFonts w:hint="default" w:ascii="Times New Roman" w:hAnsi="Times New Roman" w:eastAsia="仿宋_GB2312" w:cs="Times New Roman"/>
          <w:color w:val="auto"/>
          <w:sz w:val="32"/>
          <w:szCs w:val="32"/>
          <w:highlight w:val="none"/>
          <w:lang w:val="en-US" w:eastAsia="zh-CN"/>
        </w:rPr>
        <w:t>乡、</w:t>
      </w:r>
      <w:r>
        <w:rPr>
          <w:rFonts w:hint="default" w:ascii="Times New Roman" w:hAnsi="Times New Roman" w:eastAsia="仿宋_GB2312" w:cs="Times New Roman"/>
          <w:color w:val="auto"/>
          <w:sz w:val="32"/>
          <w:szCs w:val="32"/>
          <w:highlight w:val="none"/>
          <w:lang w:eastAsia="zh"/>
        </w:rPr>
        <w:t>村三级林长组织体系，明确各级林长责任区域与管护职责，建立林长制信息管理平台。推进</w:t>
      </w:r>
      <w:commentRangeStart w:id="26"/>
      <w:r>
        <w:rPr>
          <w:rFonts w:hint="default" w:ascii="Times New Roman" w:hAnsi="Times New Roman" w:eastAsia="仿宋_GB2312" w:cs="Times New Roman"/>
          <w:color w:val="auto"/>
          <w:sz w:val="32"/>
          <w:szCs w:val="32"/>
          <w:highlight w:val="none"/>
          <w:lang w:eastAsia="zh"/>
        </w:rPr>
        <w:t>湿地</w:t>
      </w:r>
      <w:commentRangeEnd w:id="26"/>
      <w:r>
        <w:rPr>
          <w:rFonts w:hint="default" w:ascii="Times New Roman" w:hAnsi="Times New Roman" w:eastAsia="仿宋_GB2312" w:cs="Times New Roman"/>
          <w:color w:val="auto"/>
          <w:sz w:val="32"/>
          <w:szCs w:val="32"/>
          <w:highlight w:val="none"/>
          <w:lang w:eastAsia="zh"/>
        </w:rPr>
        <w:commentReference w:id="26"/>
      </w:r>
      <w:r>
        <w:rPr>
          <w:rFonts w:hint="default" w:ascii="Times New Roman" w:hAnsi="Times New Roman" w:eastAsia="仿宋_GB2312" w:cs="Times New Roman"/>
          <w:color w:val="auto"/>
          <w:sz w:val="32"/>
          <w:szCs w:val="32"/>
          <w:highlight w:val="none"/>
          <w:lang w:eastAsia="zh"/>
        </w:rPr>
        <w:commentReference w:id="27"/>
      </w:r>
      <w:r>
        <w:rPr>
          <w:rFonts w:hint="default" w:ascii="Times New Roman" w:hAnsi="Times New Roman" w:eastAsia="仿宋_GB2312" w:cs="Times New Roman"/>
          <w:color w:val="auto"/>
          <w:sz w:val="32"/>
          <w:szCs w:val="32"/>
          <w:highlight w:val="none"/>
          <w:lang w:eastAsia="zh"/>
        </w:rPr>
        <w:t>栖息地保护与生物多样性恢复，保护鱼类等水生生物栖息地，投放土著鱼类、底栖生物等，实施珍稀鸟类栖息地修复、实施水生植被恢复与增殖放流等项目。强化森林防火与病虫害防治，加强火源管控、监测预警、应急队伍建设，切实提升综合防控能力。加强林业有害生物监测预报和科学防治，防止松材线虫病等重大疫情入侵。持续开展专项执法行动，严厉打击乱砍滥伐、非法侵占林地及野生动植物等行为。适度培育坚果、浆果、药用植物等特色经济林基地，鼓励发展林菌、林药、林禽、林蜂等林下</w:t>
      </w:r>
      <w:r>
        <w:rPr>
          <w:rFonts w:hint="eastAsia" w:eastAsia="仿宋_GB2312" w:cs="Times New Roman"/>
          <w:color w:val="auto"/>
          <w:sz w:val="32"/>
          <w:szCs w:val="32"/>
          <w:highlight w:val="none"/>
          <w:lang w:eastAsia="zh-CN"/>
        </w:rPr>
        <w:t>种植养殖</w:t>
      </w:r>
      <w:r>
        <w:rPr>
          <w:rFonts w:hint="default" w:ascii="Times New Roman" w:hAnsi="Times New Roman" w:eastAsia="仿宋_GB2312" w:cs="Times New Roman"/>
          <w:color w:val="auto"/>
          <w:sz w:val="32"/>
          <w:szCs w:val="32"/>
          <w:highlight w:val="none"/>
          <w:lang w:eastAsia="zh"/>
        </w:rPr>
        <w:t>模式。“十五五”时期，全县林下种植面积增加2万亩。</w:t>
      </w:r>
    </w:p>
    <w:tbl>
      <w:tblPr>
        <w:tblStyle w:val="25"/>
        <w:tblW w:w="0" w:type="auto"/>
        <w:jc w:val="center"/>
        <w:tblLayout w:type="autofit"/>
        <w:tblCellMar>
          <w:top w:w="0" w:type="dxa"/>
          <w:left w:w="108" w:type="dxa"/>
          <w:bottom w:w="0" w:type="dxa"/>
          <w:right w:w="108" w:type="dxa"/>
        </w:tblCellMar>
      </w:tblPr>
      <w:tblGrid>
        <w:gridCol w:w="8306"/>
      </w:tblGrid>
      <w:tr w14:paraId="1BD750BE">
        <w:trPr>
          <w:jc w:val="center"/>
        </w:trPr>
        <w:tc>
          <w:tcPr>
            <w:tcW w:w="8470" w:type="dxa"/>
            <w:tcBorders>
              <w:top w:val="single" w:color="auto" w:sz="4" w:space="0"/>
              <w:left w:val="single" w:color="auto" w:sz="4" w:space="0"/>
              <w:bottom w:val="single" w:color="auto" w:sz="4" w:space="0"/>
              <w:right w:val="single" w:color="auto" w:sz="4" w:space="0"/>
            </w:tcBorders>
            <w:vAlign w:val="center"/>
          </w:tcPr>
          <w:p w14:paraId="791E5607">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专栏8-4 湿地生态修复重大工程项目</w:t>
            </w:r>
          </w:p>
        </w:tc>
      </w:tr>
      <w:tr w14:paraId="19536372">
        <w:tblPrEx>
          <w:tblCellMar>
            <w:top w:w="0" w:type="dxa"/>
            <w:left w:w="108" w:type="dxa"/>
            <w:bottom w:w="0" w:type="dxa"/>
            <w:right w:w="108" w:type="dxa"/>
          </w:tblCellMar>
        </w:tblPrEx>
        <w:trPr>
          <w:trHeight w:val="2074" w:hRule="atLeast"/>
          <w:jc w:val="center"/>
        </w:trPr>
        <w:tc>
          <w:tcPr>
            <w:tcW w:w="8470" w:type="dxa"/>
            <w:tcBorders>
              <w:top w:val="single" w:color="auto" w:sz="4" w:space="0"/>
              <w:left w:val="single" w:color="auto" w:sz="4" w:space="0"/>
              <w:bottom w:val="single" w:color="auto" w:sz="4" w:space="0"/>
              <w:right w:val="single" w:color="auto" w:sz="4" w:space="0"/>
            </w:tcBorders>
            <w:vAlign w:val="center"/>
          </w:tcPr>
          <w:p w14:paraId="7B0A429F">
            <w:pPr>
              <w:spacing w:line="360" w:lineRule="exact"/>
              <w:ind w:firstLine="420" w:firstLineChars="200"/>
              <w:jc w:val="both"/>
              <w:rPr>
                <w:rFonts w:hint="default" w:ascii="Times New Roman" w:hAnsi="Times New Roman" w:eastAsia="仿宋_GB2312" w:cs="Times New Roman"/>
                <w:b w:val="0"/>
                <w:bCs w:val="0"/>
                <w:color w:val="auto"/>
                <w:sz w:val="21"/>
                <w:szCs w:val="21"/>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桦川县湿地保护区植被恢复项目</w:t>
            </w:r>
            <w:r>
              <w:rPr>
                <w:rFonts w:hint="default" w:ascii="Times New Roman" w:hAnsi="Times New Roman" w:eastAsia="仿宋_GB2312" w:cs="Times New Roman"/>
                <w:b w:val="0"/>
                <w:bCs w:val="0"/>
                <w:color w:val="auto"/>
                <w:sz w:val="21"/>
                <w:szCs w:val="21"/>
                <w:highlight w:val="none"/>
                <w:lang w:eastAsia="zh-CN"/>
                <w14:ligatures w14:val="standardContextual"/>
              </w:rPr>
              <w:t>。</w:t>
            </w:r>
            <w:r>
              <w:rPr>
                <w:rFonts w:hint="default" w:ascii="Times New Roman" w:hAnsi="Times New Roman" w:eastAsia="仿宋_GB2312" w:cs="Times New Roman"/>
                <w:b w:val="0"/>
                <w:bCs w:val="0"/>
                <w:color w:val="auto"/>
                <w:sz w:val="21"/>
                <w:szCs w:val="21"/>
                <w:highlight w:val="none"/>
                <w14:ligatures w14:val="standardContextual"/>
              </w:rPr>
              <w:t>项目区建设总面积74公顷，湿地植被恢复面积74公顷。项目位于黑龙江桦川湿地保护区，桦川县新城镇沿江村东北部松花江滩地上，主要建设任务是</w:t>
            </w:r>
            <w:r>
              <w:rPr>
                <w:rFonts w:hint="eastAsia" w:eastAsia="仿宋_GB2312" w:cs="Times New Roman"/>
                <w:b w:val="0"/>
                <w:bCs w:val="0"/>
                <w:color w:val="auto"/>
                <w:sz w:val="21"/>
                <w:szCs w:val="21"/>
                <w:highlight w:val="none"/>
                <w:lang w:eastAsia="zh-CN"/>
                <w14:ligatures w14:val="standardContextual"/>
              </w:rPr>
              <w:t>湿地保护修复</w:t>
            </w:r>
            <w:r>
              <w:rPr>
                <w:rFonts w:hint="default" w:ascii="Times New Roman" w:hAnsi="Times New Roman" w:eastAsia="仿宋_GB2312" w:cs="Times New Roman"/>
                <w:b w:val="0"/>
                <w:bCs w:val="0"/>
                <w:color w:val="auto"/>
                <w:sz w:val="21"/>
                <w:szCs w:val="21"/>
                <w:highlight w:val="none"/>
                <w14:ligatures w14:val="standardContextual"/>
              </w:rPr>
              <w:t>。</w:t>
            </w:r>
          </w:p>
          <w:p w14:paraId="199236F7">
            <w:pPr>
              <w:spacing w:line="360" w:lineRule="exact"/>
              <w:ind w:firstLine="420" w:firstLineChars="200"/>
              <w:jc w:val="both"/>
              <w:rPr>
                <w:rFonts w:hint="default" w:ascii="Times New Roman" w:hAnsi="Times New Roman" w:eastAsia="楷体_GB2312" w:cs="Times New Roman"/>
                <w:b w:val="0"/>
                <w:bCs w:val="0"/>
                <w:color w:val="auto"/>
                <w:sz w:val="24"/>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湿地保护区野生动植物疫源疫病监测防控及救护项目</w:t>
            </w:r>
            <w:r>
              <w:rPr>
                <w:rFonts w:hint="default" w:ascii="Times New Roman" w:hAnsi="Times New Roman" w:eastAsia="仿宋_GB2312" w:cs="Times New Roman"/>
                <w:b w:val="0"/>
                <w:bCs w:val="0"/>
                <w:color w:val="auto"/>
                <w:sz w:val="21"/>
                <w:szCs w:val="21"/>
                <w:highlight w:val="none"/>
                <w:lang w:eastAsia="zh-CN"/>
                <w14:ligatures w14:val="standardContextual"/>
              </w:rPr>
              <w:t>。</w:t>
            </w:r>
            <w:r>
              <w:rPr>
                <w:rFonts w:hint="default" w:ascii="Times New Roman" w:hAnsi="Times New Roman" w:eastAsia="仿宋_GB2312" w:cs="Times New Roman"/>
                <w:b w:val="0"/>
                <w:bCs w:val="0"/>
                <w:color w:val="auto"/>
                <w:sz w:val="21"/>
                <w:szCs w:val="21"/>
                <w:highlight w:val="none"/>
                <w14:ligatures w14:val="standardContextual"/>
              </w:rPr>
              <w:t>购置野生动植物疫源疫病监测防控及救护设备，监测、救护应急物资及科普宣传用品等。</w:t>
            </w:r>
          </w:p>
        </w:tc>
      </w:tr>
    </w:tbl>
    <w:p w14:paraId="54C9E9C2">
      <w:pPr>
        <w:pStyle w:val="3"/>
        <w:keepNext/>
        <w:keepLines/>
        <w:pageBreakBefore w:val="0"/>
        <w:widowControl w:val="0"/>
        <w:kinsoku/>
        <w:wordWrap/>
        <w:overflowPunct/>
        <w:topLinePunct w:val="0"/>
        <w:autoSpaceDE/>
        <w:autoSpaceDN/>
        <w:bidi w:val="0"/>
        <w:adjustRightInd/>
        <w:spacing w:before="0" w:after="0" w:line="560" w:lineRule="exact"/>
        <w:ind w:firstLine="0" w:firstLineChars="0"/>
        <w:jc w:val="center"/>
        <w:textAlignment w:val="auto"/>
        <w:outlineLvl w:val="1"/>
        <w:rPr>
          <w:rFonts w:hint="default" w:ascii="Times New Roman" w:hAnsi="Times New Roman" w:eastAsia="楷体" w:cs="Times New Roman"/>
          <w:b w:val="0"/>
          <w:bCs/>
          <w:color w:val="auto"/>
          <w:sz w:val="32"/>
          <w:szCs w:val="32"/>
          <w:highlight w:val="none"/>
          <w14:ligatures w14:val="standardContextual"/>
        </w:rPr>
      </w:pPr>
      <w:bookmarkStart w:id="1808" w:name="_Toc3365"/>
      <w:bookmarkStart w:id="1809" w:name="_Toc10574"/>
      <w:bookmarkStart w:id="1810" w:name="_Toc23931"/>
      <w:bookmarkStart w:id="1811" w:name="_Toc14595"/>
      <w:bookmarkStart w:id="1812" w:name="_Toc180070497"/>
      <w:bookmarkStart w:id="1813" w:name="_Toc7731"/>
      <w:bookmarkStart w:id="1814" w:name="_Toc12484"/>
      <w:bookmarkStart w:id="1815" w:name="_Toc8303"/>
      <w:bookmarkStart w:id="1816" w:name="_Toc27646"/>
      <w:bookmarkStart w:id="1817" w:name="_Toc7810"/>
      <w:bookmarkStart w:id="1818" w:name="_Toc21228"/>
      <w:bookmarkStart w:id="1819" w:name="_Toc8738"/>
      <w:bookmarkStart w:id="1820" w:name="_Toc901977728"/>
      <w:bookmarkStart w:id="1821" w:name="_Toc32552"/>
      <w:r>
        <w:rPr>
          <w:rFonts w:hint="default" w:ascii="Times New Roman" w:hAnsi="Times New Roman" w:eastAsia="楷体" w:cs="Times New Roman"/>
          <w:b w:val="0"/>
          <w:bCs/>
          <w:color w:val="auto"/>
          <w:sz w:val="32"/>
          <w:szCs w:val="32"/>
          <w:highlight w:val="none"/>
          <w:lang w:eastAsia="zh"/>
          <w14:ligatures w14:val="standardContextual"/>
        </w:rPr>
        <w:t>第三章</w:t>
      </w:r>
      <w:r>
        <w:rPr>
          <w:rFonts w:hint="default" w:ascii="Times New Roman" w:hAnsi="Times New Roman" w:eastAsia="楷体" w:cs="Times New Roman"/>
          <w:b w:val="0"/>
          <w:bCs/>
          <w:color w:val="auto"/>
          <w:sz w:val="32"/>
          <w:szCs w:val="32"/>
          <w:highlight w:val="none"/>
          <w14:ligatures w14:val="standardContextual"/>
        </w:rPr>
        <w:t xml:space="preserve"> 探索生态价值转化新路径</w:t>
      </w:r>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p>
    <w:p w14:paraId="6764CE6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坚持“绿水青山就是金山银山”理念，加快建设碳排放权交易市场，建立健全生态产品价值实现机制，探索生态价值转化新路径。</w:t>
      </w:r>
    </w:p>
    <w:p w14:paraId="00F1CB85">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822" w:name="_Toc4005"/>
      <w:bookmarkStart w:id="1823" w:name="_Toc10289"/>
      <w:bookmarkStart w:id="1824" w:name="_Toc881021223"/>
      <w:bookmarkStart w:id="1825" w:name="_Toc21608"/>
      <w:bookmarkStart w:id="1826" w:name="_Toc1653"/>
      <w:bookmarkStart w:id="1827" w:name="_Toc1667820095"/>
      <w:bookmarkStart w:id="1828" w:name="_Toc30074"/>
      <w:bookmarkStart w:id="1829" w:name="_Toc26908"/>
      <w:bookmarkStart w:id="1830" w:name="_Toc25249"/>
      <w:bookmarkStart w:id="1831" w:name="_Toc3182"/>
      <w:bookmarkStart w:id="1832" w:name="_Toc25474"/>
      <w:r>
        <w:rPr>
          <w:rFonts w:hint="default" w:ascii="Times New Roman" w:hAnsi="Times New Roman" w:eastAsia="仿宋_GB2312" w:cs="Times New Roman"/>
          <w:b w:val="0"/>
          <w:bCs w:val="0"/>
          <w:color w:val="auto"/>
          <w:sz w:val="32"/>
          <w:szCs w:val="32"/>
          <w:highlight w:val="none"/>
          <w:u w:val="none"/>
          <w:lang w:val="en-US" w:eastAsia="zh" w:bidi="ar"/>
          <w:woUserID w:val="0"/>
        </w:rPr>
        <w:t xml:space="preserve">第一节 </w:t>
      </w:r>
      <w:r>
        <w:rPr>
          <w:rFonts w:hint="default" w:ascii="Times New Roman" w:hAnsi="Times New Roman" w:eastAsia="仿宋_GB2312" w:cs="Times New Roman"/>
          <w:b w:val="0"/>
          <w:bCs w:val="0"/>
          <w:color w:val="auto"/>
          <w:sz w:val="32"/>
          <w:szCs w:val="32"/>
          <w:highlight w:val="none"/>
          <w:u w:val="none"/>
          <w:lang w:eastAsia="zh" w:bidi="ar"/>
          <w:woUserID w:val="0"/>
        </w:rPr>
        <w:t>建立健全生态产品价值实现机制</w:t>
      </w:r>
      <w:bookmarkEnd w:id="1822"/>
      <w:bookmarkEnd w:id="1823"/>
      <w:bookmarkEnd w:id="1824"/>
      <w:bookmarkEnd w:id="1825"/>
      <w:bookmarkEnd w:id="1826"/>
      <w:bookmarkEnd w:id="1827"/>
      <w:bookmarkEnd w:id="1828"/>
      <w:bookmarkEnd w:id="1829"/>
      <w:bookmarkEnd w:id="1830"/>
      <w:bookmarkEnd w:id="1831"/>
      <w:bookmarkEnd w:id="1832"/>
    </w:p>
    <w:p w14:paraId="1571ADC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加快推进星火景区、森林公园等项目高品质建设，大力发展生态农业、大健康产业、文教产业、旅游观光、体育运动产业，打造农文旅康体融合发展示范带。依托桦川资源优势，积极发展生态旅游、休闲康养、绿色农业等产业，培育生态产品龙头企业，打造生态农产品品牌，推行生态产品认证制度，发展生态产品电商平台，拓宽生态产品销售渠道。</w:t>
      </w:r>
    </w:p>
    <w:p w14:paraId="77F8DBCB">
      <w:pPr>
        <w:pStyle w:val="3"/>
        <w:keepNext/>
        <w:keepLines/>
        <w:pageBreakBefore w:val="0"/>
        <w:widowControl w:val="0"/>
        <w:kinsoku/>
        <w:wordWrap/>
        <w:overflowPunct/>
        <w:topLinePunct w:val="0"/>
        <w:autoSpaceDE/>
        <w:autoSpaceDN/>
        <w:bidi w:val="0"/>
        <w:adjustRightInd/>
        <w:spacing w:before="0" w:after="0" w:line="560" w:lineRule="exact"/>
        <w:ind w:firstLine="0" w:firstLineChars="0"/>
        <w:jc w:val="center"/>
        <w:textAlignment w:val="auto"/>
        <w:outlineLvl w:val="1"/>
        <w:rPr>
          <w:rFonts w:hint="default" w:ascii="Times New Roman" w:hAnsi="Times New Roman" w:eastAsia="楷体" w:cs="Times New Roman"/>
          <w:b w:val="0"/>
          <w:bCs/>
          <w:color w:val="auto"/>
          <w:sz w:val="32"/>
          <w:szCs w:val="32"/>
          <w:highlight w:val="none"/>
          <w:lang w:eastAsia="zh"/>
          <w14:ligatures w14:val="standardContextual"/>
        </w:rPr>
      </w:pPr>
      <w:bookmarkStart w:id="1833" w:name="_Toc11603"/>
      <w:bookmarkStart w:id="1834" w:name="_Toc21551"/>
      <w:bookmarkStart w:id="1835" w:name="_Toc8496"/>
      <w:bookmarkStart w:id="1836" w:name="_Toc16953"/>
      <w:bookmarkStart w:id="1837" w:name="_Toc25953"/>
      <w:bookmarkStart w:id="1838" w:name="_Toc1027844420"/>
      <w:bookmarkStart w:id="1839" w:name="_Toc20450"/>
      <w:bookmarkStart w:id="1840" w:name="_Toc1763"/>
      <w:bookmarkStart w:id="1841" w:name="_Toc28089"/>
      <w:bookmarkStart w:id="1842" w:name="_Toc32053"/>
      <w:bookmarkStart w:id="1843" w:name="_Toc20688"/>
      <w:bookmarkStart w:id="1844" w:name="_Toc567"/>
      <w:bookmarkStart w:id="1845" w:name="_Toc23480"/>
      <w:bookmarkStart w:id="1846" w:name="_Toc1501267384"/>
      <w:r>
        <w:rPr>
          <w:rFonts w:hint="default" w:ascii="Times New Roman" w:hAnsi="Times New Roman" w:eastAsia="楷体" w:cs="Times New Roman"/>
          <w:b w:val="0"/>
          <w:bCs/>
          <w:color w:val="auto"/>
          <w:sz w:val="32"/>
          <w:szCs w:val="32"/>
          <w:highlight w:val="none"/>
          <w:lang w:eastAsia="zh"/>
          <w14:ligatures w14:val="standardContextual"/>
        </w:rPr>
        <w:t>第四章 加快经济社会发展全面绿色转型</w:t>
      </w:r>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p>
    <w:p w14:paraId="345D605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color w:val="auto"/>
          <w:sz w:val="32"/>
          <w:szCs w:val="32"/>
          <w:highlight w:val="none"/>
        </w:rPr>
      </w:pPr>
      <w:r>
        <w:rPr>
          <w:rFonts w:hint="default" w:ascii="Times New Roman" w:hAnsi="Times New Roman" w:eastAsia="仿宋_GB2312" w:cs="Times New Roman"/>
          <w:color w:val="auto"/>
          <w:sz w:val="32"/>
          <w:szCs w:val="32"/>
          <w:highlight w:val="none"/>
          <w:lang w:eastAsia="zh"/>
        </w:rPr>
        <w:t>牢固树立绿色发展导向，加快绿色低碳循环经济发展，大力推广绿色低碳生产生活方式，切实降低生产生活资源能源消耗强度，建设资源节约型和环境友好型社会。</w:t>
      </w:r>
    </w:p>
    <w:p w14:paraId="175B099D">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847" w:name="_Toc31886"/>
      <w:bookmarkStart w:id="1848" w:name="_Toc21331"/>
      <w:bookmarkStart w:id="1849" w:name="_Toc20654"/>
      <w:bookmarkStart w:id="1850" w:name="_Toc985971360"/>
      <w:bookmarkStart w:id="1851" w:name="_Toc5465"/>
      <w:bookmarkStart w:id="1852" w:name="_Toc6413"/>
      <w:bookmarkStart w:id="1853" w:name="_Toc876785366"/>
      <w:bookmarkStart w:id="1854" w:name="_Toc25790"/>
      <w:bookmarkStart w:id="1855" w:name="_Toc10540"/>
      <w:bookmarkStart w:id="1856" w:name="_Toc3283"/>
      <w:bookmarkStart w:id="1857" w:name="_Toc17635"/>
      <w:r>
        <w:rPr>
          <w:rFonts w:hint="default" w:ascii="Times New Roman" w:hAnsi="Times New Roman" w:eastAsia="仿宋_GB2312" w:cs="Times New Roman"/>
          <w:b w:val="0"/>
          <w:bCs w:val="0"/>
          <w:color w:val="auto"/>
          <w:sz w:val="32"/>
          <w:szCs w:val="32"/>
          <w:highlight w:val="none"/>
          <w:u w:val="none"/>
          <w:lang w:eastAsia="zh" w:bidi="ar"/>
          <w:woUserID w:val="0"/>
        </w:rPr>
        <w:t>第一节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提升产业绿色低碳发展水平</w:t>
      </w:r>
      <w:bookmarkEnd w:id="1847"/>
      <w:bookmarkEnd w:id="1848"/>
      <w:bookmarkEnd w:id="1849"/>
      <w:bookmarkEnd w:id="1850"/>
      <w:bookmarkEnd w:id="1851"/>
      <w:bookmarkEnd w:id="1852"/>
      <w:bookmarkEnd w:id="1853"/>
      <w:bookmarkEnd w:id="1854"/>
      <w:bookmarkEnd w:id="1855"/>
      <w:bookmarkEnd w:id="1856"/>
      <w:bookmarkEnd w:id="1857"/>
    </w:p>
    <w:p w14:paraId="37C23C9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支持传统产业企业从节能低碳设备改造、原料结构优化调整和工艺流程再造等方面改进生产线，加快打造“零碳工厂”。严格推进固定资产投资项目节能审查，加强新建项目能耗控制。加强清洁能源在重点园区、重点企业、重点景区的应用，创建一批省级以上绿色工厂、绿色园区。发展节能环保产业，全面推行清洁生产行动。鼓励企业开展绿色厂区升级改造，加快传统行业工艺、技术和装备绿色化改造提升。持续推进建筑业绿色转型，完善太阳能光热应用场景，因地制宜推广</w:t>
      </w:r>
      <w:r>
        <w:rPr>
          <w:rFonts w:hint="eastAsia" w:eastAsia="仿宋_GB2312" w:cs="Times New Roman"/>
          <w:color w:val="auto"/>
          <w:sz w:val="32"/>
          <w:szCs w:val="32"/>
          <w:highlight w:val="none"/>
          <w:lang w:eastAsia="zh-CN"/>
        </w:rPr>
        <w:t>地热能利用</w:t>
      </w:r>
      <w:r>
        <w:rPr>
          <w:rFonts w:hint="default" w:ascii="Times New Roman" w:hAnsi="Times New Roman" w:eastAsia="仿宋_GB2312" w:cs="Times New Roman"/>
          <w:color w:val="auto"/>
          <w:sz w:val="32"/>
          <w:szCs w:val="32"/>
          <w:highlight w:val="none"/>
          <w:lang w:eastAsia="zh"/>
        </w:rPr>
        <w:t>。深入实施节水政策措施，严格落实水资源有偿使用制度和非居民用水超定额超计划累进加价制度。严格落实“两高一低”项目环境准入政策，强化重大规划和重大项目环评保障服务。</w:t>
      </w:r>
    </w:p>
    <w:p w14:paraId="5E0D396F">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858" w:name="_Toc3570"/>
      <w:bookmarkStart w:id="1859" w:name="_Toc28336"/>
      <w:bookmarkStart w:id="1860" w:name="_Toc77817995"/>
      <w:bookmarkStart w:id="1861" w:name="_Toc24927"/>
      <w:bookmarkStart w:id="1862" w:name="_Toc18785"/>
      <w:bookmarkStart w:id="1863" w:name="_Toc333125306"/>
      <w:bookmarkStart w:id="1864" w:name="_Toc23181"/>
      <w:bookmarkStart w:id="1865" w:name="_Toc32357"/>
      <w:bookmarkStart w:id="1866" w:name="_Toc1444"/>
      <w:bookmarkStart w:id="1867" w:name="_Toc11458"/>
      <w:bookmarkStart w:id="1868" w:name="_Toc16813"/>
      <w:r>
        <w:rPr>
          <w:rFonts w:hint="default" w:ascii="Times New Roman" w:hAnsi="Times New Roman" w:eastAsia="仿宋_GB2312" w:cs="Times New Roman"/>
          <w:b w:val="0"/>
          <w:bCs w:val="0"/>
          <w:color w:val="auto"/>
          <w:sz w:val="32"/>
          <w:szCs w:val="32"/>
          <w:highlight w:val="none"/>
          <w:u w:val="none"/>
          <w:lang w:eastAsia="zh" w:bidi="ar"/>
          <w:woUserID w:val="0"/>
        </w:rPr>
        <w:t>第二节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倡导绿色生活方式</w:t>
      </w:r>
      <w:bookmarkEnd w:id="1858"/>
      <w:bookmarkEnd w:id="1859"/>
      <w:bookmarkEnd w:id="1860"/>
      <w:bookmarkEnd w:id="1861"/>
      <w:bookmarkEnd w:id="1862"/>
      <w:bookmarkEnd w:id="1863"/>
      <w:bookmarkEnd w:id="1864"/>
      <w:bookmarkEnd w:id="1865"/>
      <w:bookmarkEnd w:id="1866"/>
      <w:bookmarkEnd w:id="1867"/>
      <w:bookmarkEnd w:id="1868"/>
    </w:p>
    <w:p w14:paraId="63E5FF5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推广简约适度、绿色低碳、文明健康的生活理念和生活方式，大力弘扬厉行节约、反对浪费的社会风尚，引导全社会自觉践行节约适度、绿色低碳、文明健康的生活方式和消费模式。开展绿色出行创建行动，构建便捷的公共交通网络体系。提倡绿色居住和绿色办公，推行“无纸化办公”，率先推动政府办公建筑节能监管体系建设，实行能耗统计与能源审计制度。积极开展节约型机关、绿色家庭、绿色学校、绿色社区、绿色出行、绿色商场、绿色建筑创建活动。推行绿色消费，出台快递业、共享经济等新业态的规范标准，推进塑料污染治理工作。推广太阳能光伏建筑应用，积极发展光伏瓦、光伏幕墙、采光天窗、遮阳板等建材型光伏技术在城镇建筑中一体化应用。以城市更新为主，加快老城区城市功能提升，改善基础设施和居住环境，提升各类公共服务设施，打造老旧小区绿色化改造示范样板。</w:t>
      </w:r>
    </w:p>
    <w:p w14:paraId="3D963884">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outlineLvl w:val="0"/>
        <w:rPr>
          <w:rFonts w:hint="default" w:ascii="Times New Roman" w:hAnsi="Times New Roman" w:eastAsia="黑体" w:cs="Times New Roman"/>
          <w:color w:val="auto"/>
          <w:sz w:val="32"/>
          <w:szCs w:val="32"/>
          <w:highlight w:val="none"/>
          <w14:ligatures w14:val="standardContextual"/>
        </w:rPr>
      </w:pPr>
      <w:bookmarkStart w:id="1869" w:name="_Toc28048"/>
      <w:bookmarkStart w:id="1870" w:name="_Toc13982"/>
      <w:bookmarkStart w:id="1871" w:name="_Toc750474737"/>
      <w:bookmarkStart w:id="1872" w:name="_Toc21535"/>
      <w:bookmarkStart w:id="1873" w:name="_Toc2572"/>
      <w:bookmarkStart w:id="1874" w:name="_Toc1313147523"/>
      <w:bookmarkStart w:id="1875" w:name="_Toc7190"/>
      <w:bookmarkStart w:id="1876" w:name="_Toc19272"/>
      <w:bookmarkStart w:id="1877" w:name="_Toc22882"/>
      <w:bookmarkStart w:id="1878" w:name="_Toc22238"/>
      <w:bookmarkStart w:id="1879" w:name="_Toc27469"/>
      <w:bookmarkStart w:id="1880" w:name="_Toc14104"/>
      <w:bookmarkStart w:id="1881" w:name="_Toc25217"/>
      <w:bookmarkStart w:id="1882" w:name="_Toc19884"/>
      <w:r>
        <w:rPr>
          <w:rFonts w:hint="default" w:ascii="Times New Roman" w:hAnsi="Times New Roman" w:eastAsia="黑体" w:cs="Times New Roman"/>
          <w:color w:val="auto"/>
          <w:sz w:val="32"/>
          <w:szCs w:val="32"/>
          <w:highlight w:val="none"/>
          <w14:ligatures w14:val="standardContextual"/>
        </w:rPr>
        <w:t>第九</w:t>
      </w:r>
      <w:r>
        <w:rPr>
          <w:rFonts w:hint="default" w:ascii="Times New Roman" w:hAnsi="Times New Roman" w:eastAsia="黑体" w:cs="Times New Roman"/>
          <w:color w:val="auto"/>
          <w:sz w:val="32"/>
          <w:szCs w:val="32"/>
          <w:highlight w:val="none"/>
          <w:lang w:eastAsia="zh"/>
          <w14:ligatures w14:val="standardContextual"/>
          <w:woUserID w:val="0"/>
        </w:rPr>
        <w:t>篇</w:t>
      </w:r>
      <w:r>
        <w:rPr>
          <w:rFonts w:hint="default" w:ascii="Times New Roman" w:hAnsi="Times New Roman" w:eastAsia="黑体" w:cs="Times New Roman"/>
          <w:color w:val="auto"/>
          <w:sz w:val="32"/>
          <w:szCs w:val="32"/>
          <w:highlight w:val="none"/>
          <w14:ligatures w14:val="standardContextual"/>
        </w:rPr>
        <w:t xml:space="preserve"> </w:t>
      </w:r>
      <w:r>
        <w:rPr>
          <w:rFonts w:hint="default" w:ascii="Times New Roman" w:hAnsi="Times New Roman" w:eastAsia="黑体" w:cs="Times New Roman"/>
          <w:color w:val="auto"/>
          <w:sz w:val="32"/>
          <w:szCs w:val="32"/>
          <w:highlight w:val="none"/>
          <w:lang w:val="en-US" w:eastAsia="zh-CN"/>
          <w14:ligatures w14:val="standardContextual"/>
        </w:rPr>
        <w:t>服务建设国内市场</w:t>
      </w:r>
      <w:r>
        <w:rPr>
          <w:rFonts w:hint="default" w:ascii="Times New Roman" w:hAnsi="Times New Roman" w:eastAsia="黑体" w:cs="Times New Roman"/>
          <w:color w:val="auto"/>
          <w:sz w:val="32"/>
          <w:szCs w:val="32"/>
          <w:highlight w:val="none"/>
          <w14:ligatures w14:val="standardContextual"/>
        </w:rPr>
        <w:t xml:space="preserve">  </w:t>
      </w:r>
      <w:r>
        <w:rPr>
          <w:rFonts w:hint="default" w:ascii="Times New Roman" w:hAnsi="Times New Roman" w:eastAsia="黑体" w:cs="Times New Roman"/>
          <w:color w:val="auto"/>
          <w:sz w:val="32"/>
          <w:szCs w:val="32"/>
          <w:highlight w:val="none"/>
          <w:lang w:val="en-US" w:eastAsia="zh-CN"/>
          <w14:ligatures w14:val="standardContextual"/>
        </w:rPr>
        <w:t>积极融入新发展格局</w:t>
      </w:r>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p>
    <w:p w14:paraId="04E6A87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按照“传统产业转型升级、新兴产业发展壮大、未来产业抢滩布局”思路，千方百计抓招商、抢项目、拼投资</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促贸易</w:t>
      </w:r>
      <w:r>
        <w:rPr>
          <w:rFonts w:hint="default" w:ascii="Times New Roman" w:hAnsi="Times New Roman" w:eastAsia="仿宋_GB2312" w:cs="Times New Roman"/>
          <w:color w:val="auto"/>
          <w:sz w:val="32"/>
          <w:szCs w:val="32"/>
          <w:highlight w:val="none"/>
          <w:lang w:eastAsia="zh"/>
        </w:rPr>
        <w:t>，压茬推进项目落地，不断拓展消费场景，完善县域消费短板，实施扩大内需战略，做大货物贸易主体规模、创新服务贸易、拓展数字贸易空间，推动内外贸一体化发展，全面提升对外开放水平，为县域经济社会高质量发展注入强劲动能。</w:t>
      </w:r>
    </w:p>
    <w:p w14:paraId="40D76946">
      <w:pPr>
        <w:pStyle w:val="3"/>
        <w:keepNext/>
        <w:keepLines/>
        <w:pageBreakBefore w:val="0"/>
        <w:widowControl w:val="0"/>
        <w:kinsoku/>
        <w:wordWrap/>
        <w:overflowPunct/>
        <w:topLinePunct w:val="0"/>
        <w:autoSpaceDE/>
        <w:autoSpaceDN/>
        <w:bidi w:val="0"/>
        <w:adjustRightInd/>
        <w:spacing w:before="0" w:after="0" w:line="560" w:lineRule="exact"/>
        <w:ind w:firstLine="0" w:firstLineChars="0"/>
        <w:jc w:val="center"/>
        <w:textAlignment w:val="auto"/>
        <w:outlineLvl w:val="1"/>
        <w:rPr>
          <w:rFonts w:hint="default" w:ascii="Times New Roman" w:hAnsi="Times New Roman" w:eastAsia="楷体" w:cs="Times New Roman"/>
          <w:b w:val="0"/>
          <w:bCs/>
          <w:color w:val="auto"/>
          <w:sz w:val="32"/>
          <w:szCs w:val="32"/>
          <w:highlight w:val="none"/>
          <w14:ligatures w14:val="standardContextual"/>
        </w:rPr>
      </w:pPr>
      <w:bookmarkStart w:id="1883" w:name="_Toc12414"/>
      <w:bookmarkStart w:id="1884" w:name="_Toc309"/>
      <w:bookmarkStart w:id="1885" w:name="_Toc1841581744"/>
      <w:bookmarkStart w:id="1886" w:name="_Toc20475"/>
      <w:bookmarkStart w:id="1887" w:name="_Toc26963"/>
      <w:bookmarkStart w:id="1888" w:name="_Toc24483"/>
      <w:bookmarkStart w:id="1889" w:name="_Toc7397"/>
      <w:bookmarkStart w:id="1890" w:name="_Toc24007"/>
      <w:bookmarkStart w:id="1891" w:name="_Toc1683725248"/>
      <w:bookmarkStart w:id="1892" w:name="_Toc4282"/>
      <w:bookmarkStart w:id="1893" w:name="_Toc10493"/>
      <w:bookmarkStart w:id="1894" w:name="_Toc15752"/>
      <w:bookmarkStart w:id="1895" w:name="_Toc15912"/>
      <w:bookmarkStart w:id="1896" w:name="_Toc25545"/>
      <w:r>
        <w:rPr>
          <w:rFonts w:hint="default" w:ascii="Times New Roman" w:hAnsi="Times New Roman" w:eastAsia="楷体" w:cs="Times New Roman"/>
          <w:b w:val="0"/>
          <w:bCs/>
          <w:color w:val="auto"/>
          <w:sz w:val="32"/>
          <w:szCs w:val="32"/>
          <w:highlight w:val="none"/>
          <w14:ligatures w14:val="standardContextual"/>
        </w:rPr>
        <w:t>第一</w:t>
      </w:r>
      <w:r>
        <w:rPr>
          <w:rFonts w:hint="default" w:ascii="Times New Roman" w:hAnsi="Times New Roman" w:eastAsia="楷体" w:cs="Times New Roman"/>
          <w:b w:val="0"/>
          <w:bCs/>
          <w:color w:val="auto"/>
          <w:sz w:val="32"/>
          <w:szCs w:val="32"/>
          <w:highlight w:val="none"/>
          <w:lang w:eastAsia="zh"/>
          <w14:ligatures w14:val="standardContextual"/>
          <w:woUserID w:val="0"/>
        </w:rPr>
        <w:t>章</w:t>
      </w:r>
      <w:r>
        <w:rPr>
          <w:rFonts w:hint="default" w:ascii="Times New Roman" w:hAnsi="Times New Roman" w:eastAsia="楷体" w:cs="Times New Roman"/>
          <w:b w:val="0"/>
          <w:bCs/>
          <w:color w:val="auto"/>
          <w:sz w:val="32"/>
          <w:szCs w:val="32"/>
          <w:highlight w:val="none"/>
          <w14:ligatures w14:val="standardContextual"/>
        </w:rPr>
        <w:t xml:space="preserve"> 着力扩大有效投资</w:t>
      </w:r>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p>
    <w:p w14:paraId="6E1C45E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以优化投资结构、推进重大项目为重点，聚焦民生补短板、生态环保、基础设施建设等重点领域，着力扩大有效投资，以精准投资</w:t>
      </w:r>
      <w:r>
        <w:rPr>
          <w:rFonts w:hint="eastAsia" w:eastAsia="仿宋_GB2312" w:cs="Times New Roman"/>
          <w:color w:val="auto"/>
          <w:sz w:val="32"/>
          <w:szCs w:val="32"/>
          <w:highlight w:val="none"/>
          <w:lang w:eastAsia="zh-CN"/>
        </w:rPr>
        <w:t>优</w:t>
      </w:r>
      <w:r>
        <w:rPr>
          <w:rFonts w:hint="default" w:ascii="Times New Roman" w:hAnsi="Times New Roman" w:eastAsia="仿宋_GB2312" w:cs="Times New Roman"/>
          <w:color w:val="auto"/>
          <w:sz w:val="32"/>
          <w:szCs w:val="32"/>
          <w:highlight w:val="none"/>
          <w:lang w:eastAsia="zh"/>
        </w:rPr>
        <w:t>供给、稳增长、惠民生，全面开展消费升级，为全力实施扩大内需战略发展筑牢坚实根基。</w:t>
      </w:r>
    </w:p>
    <w:p w14:paraId="6FB57612">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bCs/>
          <w:color w:val="auto"/>
          <w:sz w:val="32"/>
          <w:szCs w:val="32"/>
          <w:highlight w:val="none"/>
          <w:u w:val="none"/>
          <w:lang w:eastAsia="zh" w:bidi="ar"/>
          <w:woUserID w:val="0"/>
        </w:rPr>
      </w:pPr>
      <w:bookmarkStart w:id="1897" w:name="_Toc17270"/>
      <w:bookmarkStart w:id="1898" w:name="_Toc13437"/>
      <w:bookmarkStart w:id="1899" w:name="_Toc13623"/>
      <w:bookmarkStart w:id="1900" w:name="_Toc2033601276"/>
      <w:bookmarkStart w:id="1901" w:name="_Toc18015"/>
      <w:bookmarkStart w:id="1902" w:name="_Toc1185"/>
      <w:bookmarkStart w:id="1903" w:name="_Toc1235755284"/>
      <w:bookmarkStart w:id="1904" w:name="_Toc32618"/>
      <w:bookmarkStart w:id="1905" w:name="_Toc9170"/>
      <w:bookmarkStart w:id="1906" w:name="_Toc19404"/>
      <w:bookmarkStart w:id="1907" w:name="_Toc19698"/>
      <w:r>
        <w:rPr>
          <w:rFonts w:hint="default" w:ascii="Times New Roman" w:hAnsi="Times New Roman" w:eastAsia="仿宋_GB2312" w:cs="Times New Roman"/>
          <w:b w:val="0"/>
          <w:bCs w:val="0"/>
          <w:color w:val="auto"/>
          <w:sz w:val="32"/>
          <w:szCs w:val="32"/>
          <w:highlight w:val="none"/>
          <w:u w:val="none"/>
          <w:lang w:eastAsia="zh" w:bidi="ar"/>
          <w:woUserID w:val="0"/>
        </w:rPr>
        <w:t>第一节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切实加大政府投资力度</w:t>
      </w:r>
      <w:bookmarkEnd w:id="1897"/>
      <w:bookmarkEnd w:id="1898"/>
      <w:bookmarkEnd w:id="1899"/>
      <w:bookmarkEnd w:id="1900"/>
      <w:bookmarkEnd w:id="1901"/>
      <w:bookmarkEnd w:id="1902"/>
      <w:bookmarkEnd w:id="1903"/>
      <w:bookmarkEnd w:id="1904"/>
      <w:bookmarkEnd w:id="1905"/>
      <w:bookmarkEnd w:id="1906"/>
      <w:bookmarkEnd w:id="1907"/>
    </w:p>
    <w:p w14:paraId="1650C06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抢抓国家政策机遇窗口期，全力争取中央预算内投资、中央财政资金、地方政府专项债券、超长期特别国债等政策性资金。适应人口结构变化和流动趋势，加强人力资源开发和人的全面发展投资。聚焦民生与公共服务补短板，支持财政支出和政府投资重点向民生领域倾斜，优先保障教育、医疗、养老、托育、住房等基本公共服务项目建设。实施学校维修改造项目，提升校舍及附属设施质效，改扩建县人民医院等县级医疗项目，实现乡镇卫生院医疗设备标准化配置，推动综合养老服务中心、服务网点建设，改造升级办公养老机构服务设施，构建覆盖城乡的公共服务保障体系。争取老旧小区改造、排水雨污分流、供热燃气等老化管网更新改造和建筑垃圾治理项目，加快城市智慧管网、市政公共服务设施更新，提升城市综合承载能力。聚焦交通、市政、农业农村等基础设施短板，完善城乡路网体系，加快建设农村供水保障、高标准农田建设及农产品仓储保鲜冷链物流设施。聚焦生态文明建设，加大生态治理修复和环境治理投入，推进循环经济、清洁生产和生态园区建设，完善环保技术、设备和产业体系。</w:t>
      </w:r>
    </w:p>
    <w:p w14:paraId="3AA9951F">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908" w:name="_Toc10469"/>
      <w:bookmarkStart w:id="1909" w:name="_Toc1771472893"/>
      <w:bookmarkStart w:id="1910" w:name="_Toc26932"/>
      <w:bookmarkStart w:id="1911" w:name="_Toc9234"/>
      <w:bookmarkStart w:id="1912" w:name="_Toc14406"/>
      <w:bookmarkStart w:id="1913" w:name="_Toc28761"/>
      <w:bookmarkStart w:id="1914" w:name="_Toc768026916"/>
      <w:bookmarkStart w:id="1915" w:name="_Toc22112"/>
      <w:bookmarkStart w:id="1916" w:name="_Toc121"/>
      <w:bookmarkStart w:id="1917" w:name="_Toc15143"/>
      <w:bookmarkStart w:id="1918" w:name="_Toc16635"/>
      <w:r>
        <w:rPr>
          <w:rFonts w:hint="default" w:ascii="Times New Roman" w:hAnsi="Times New Roman" w:eastAsia="仿宋_GB2312" w:cs="Times New Roman"/>
          <w:b w:val="0"/>
          <w:bCs w:val="0"/>
          <w:color w:val="auto"/>
          <w:sz w:val="32"/>
          <w:szCs w:val="32"/>
          <w:highlight w:val="none"/>
          <w:u w:val="none"/>
          <w:lang w:eastAsia="zh" w:bidi="ar"/>
          <w:woUserID w:val="0"/>
        </w:rPr>
        <w:t>第二节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激发社会投资活力和潜力</w:t>
      </w:r>
      <w:bookmarkEnd w:id="1908"/>
      <w:bookmarkEnd w:id="1909"/>
      <w:bookmarkEnd w:id="1910"/>
      <w:bookmarkEnd w:id="1911"/>
      <w:bookmarkEnd w:id="1912"/>
      <w:bookmarkEnd w:id="1913"/>
      <w:bookmarkEnd w:id="1914"/>
      <w:bookmarkEnd w:id="1915"/>
      <w:bookmarkEnd w:id="1916"/>
      <w:bookmarkEnd w:id="1917"/>
      <w:bookmarkEnd w:id="1918"/>
    </w:p>
    <w:p w14:paraId="1A34826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积极主动融入全国统一大市场，按照基础制度规则要求，完善产权保护、市场准入、信息披露、社会信用、市场退出等制度，消除要素获取、资质认定、招标投标、政府采购等方面壁垒。完善社会投资政策体系，建立社会投资项目库，引导社会资本重点投向先进制造业、现代服务业、战略性新兴产业和未来产业。对投资规模大、带动作用强的项目，实行“一企一策”精准服务，解决项目落地中的用地、融资、审批等难题。培育壮大文旅康养产业，支持社会资本投资星火景区、森林公园景区提质改造、康养社区建设、在线旅游、直播电商等新兴业态。以农机零部件制造、化工、文旅康养、市政服务等领域为重点，推出一批特许经营项目，支持社会资本参与项目建设和运营。推动企业大规模设备更新与技术改造，重点支持传统产业与高耗能产业开展数字化、绿色化改造。</w:t>
      </w:r>
    </w:p>
    <w:p w14:paraId="5030F3ED">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919" w:name="_Toc31227"/>
      <w:bookmarkStart w:id="1920" w:name="_Toc22450"/>
      <w:bookmarkStart w:id="1921" w:name="_Toc2086110628"/>
      <w:bookmarkStart w:id="1922" w:name="_Toc10075"/>
      <w:bookmarkStart w:id="1923" w:name="_Toc21109"/>
      <w:bookmarkStart w:id="1924" w:name="_Toc30522"/>
      <w:bookmarkStart w:id="1925" w:name="_Toc23188"/>
      <w:bookmarkStart w:id="1926" w:name="_Toc15481"/>
      <w:bookmarkStart w:id="1927" w:name="_Toc22235"/>
      <w:bookmarkStart w:id="1928" w:name="_Toc23158"/>
      <w:bookmarkStart w:id="1929" w:name="_Toc1580654905"/>
      <w:r>
        <w:rPr>
          <w:rFonts w:hint="default" w:ascii="Times New Roman" w:hAnsi="Times New Roman" w:eastAsia="仿宋_GB2312" w:cs="Times New Roman"/>
          <w:b w:val="0"/>
          <w:bCs w:val="0"/>
          <w:color w:val="auto"/>
          <w:sz w:val="32"/>
          <w:szCs w:val="32"/>
          <w:highlight w:val="none"/>
          <w:u w:val="none"/>
          <w:lang w:eastAsia="zh" w:bidi="ar"/>
          <w:woUserID w:val="0"/>
        </w:rPr>
        <w:t>第三节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扎实推动重大项目建设</w:t>
      </w:r>
      <w:bookmarkEnd w:id="1919"/>
      <w:bookmarkEnd w:id="1920"/>
      <w:bookmarkEnd w:id="1921"/>
      <w:bookmarkEnd w:id="1922"/>
      <w:bookmarkEnd w:id="1923"/>
      <w:bookmarkEnd w:id="1924"/>
      <w:bookmarkEnd w:id="1925"/>
      <w:bookmarkEnd w:id="1926"/>
      <w:bookmarkEnd w:id="1927"/>
      <w:bookmarkEnd w:id="1928"/>
      <w:bookmarkEnd w:id="1929"/>
    </w:p>
    <w:p w14:paraId="0FC0CE4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统筹用好各类政府投资，探索编制全口径政府投资计划，加强政府投资全过程管理。前瞻性系统性谋划储备一批具有全局性、基础性、战略性的重大项目。统筹推进“硬投资”与“软建设”，重点布局一批重大产业、重大基础设施、重大民生与生态项目，精准谋划符合条件的重大项目，构建“储备一批、开工一批、建设一批、竣工一批”的项目滚动推进机制。鼓励社会资本采取特许经营、股权投资、公建民营、民办公助等方式参与重大项目建设。强化项目要素保障，统筹能源供应，建立重大项目要素保障协调机制，实行“用地指标跟着项目走”，优先保障重大项目用地、用能、资金需求，对重点产业项目实行用能优先保障。加大财政金融、资金整合力度，支持企业拓宽融资渠道，确保项目建设要素供应稳定。加强重大项目监督管理，健全项目动态监测机制，搭建“十五五”重大项目监测调度平台，对项目前期、建设、竣工等全周期环节进行实时监测，动态掌握项目投资完成情况。</w:t>
      </w:r>
    </w:p>
    <w:p w14:paraId="3C6B5A9E">
      <w:pPr>
        <w:pStyle w:val="3"/>
        <w:keepNext/>
        <w:keepLines/>
        <w:pageBreakBefore w:val="0"/>
        <w:widowControl w:val="0"/>
        <w:kinsoku/>
        <w:wordWrap/>
        <w:overflowPunct/>
        <w:topLinePunct w:val="0"/>
        <w:autoSpaceDE/>
        <w:autoSpaceDN/>
        <w:bidi w:val="0"/>
        <w:adjustRightInd/>
        <w:spacing w:before="0" w:after="0" w:line="560" w:lineRule="exact"/>
        <w:ind w:firstLine="0" w:firstLineChars="0"/>
        <w:jc w:val="center"/>
        <w:textAlignment w:val="auto"/>
        <w:outlineLvl w:val="1"/>
        <w:rPr>
          <w:rFonts w:hint="default" w:ascii="Times New Roman" w:hAnsi="Times New Roman" w:eastAsia="楷体" w:cs="Times New Roman"/>
          <w:b w:val="0"/>
          <w:bCs/>
          <w:color w:val="auto"/>
          <w:sz w:val="32"/>
          <w:szCs w:val="32"/>
          <w:highlight w:val="none"/>
          <w14:ligatures w14:val="standardContextual"/>
        </w:rPr>
      </w:pPr>
      <w:bookmarkStart w:id="1930" w:name="_Toc8642"/>
      <w:bookmarkStart w:id="1931" w:name="_Toc3362"/>
      <w:bookmarkStart w:id="1932" w:name="_Toc31135"/>
      <w:bookmarkStart w:id="1933" w:name="_Toc18729"/>
      <w:bookmarkStart w:id="1934" w:name="_Toc6289"/>
      <w:bookmarkStart w:id="1935" w:name="_Toc11435"/>
      <w:bookmarkStart w:id="1936" w:name="_Toc17847"/>
      <w:bookmarkStart w:id="1937" w:name="_Toc219379100"/>
      <w:bookmarkStart w:id="1938" w:name="_Toc2014114030"/>
      <w:bookmarkStart w:id="1939" w:name="_Toc21116"/>
      <w:bookmarkStart w:id="1940" w:name="_Toc29923"/>
      <w:bookmarkStart w:id="1941" w:name="_Toc1903"/>
      <w:bookmarkStart w:id="1942" w:name="_Toc17081"/>
      <w:bookmarkStart w:id="1943" w:name="_Toc18931"/>
      <w:r>
        <w:rPr>
          <w:rFonts w:hint="default" w:ascii="Times New Roman" w:hAnsi="Times New Roman" w:eastAsia="楷体" w:cs="Times New Roman"/>
          <w:b w:val="0"/>
          <w:bCs/>
          <w:color w:val="auto"/>
          <w:sz w:val="32"/>
          <w:szCs w:val="32"/>
          <w:highlight w:val="none"/>
          <w14:ligatures w14:val="standardContextual"/>
        </w:rPr>
        <w:t>第二</w:t>
      </w:r>
      <w:r>
        <w:rPr>
          <w:rFonts w:hint="default" w:ascii="Times New Roman" w:hAnsi="Times New Roman" w:eastAsia="楷体" w:cs="Times New Roman"/>
          <w:b w:val="0"/>
          <w:bCs/>
          <w:color w:val="auto"/>
          <w:sz w:val="32"/>
          <w:szCs w:val="32"/>
          <w:highlight w:val="none"/>
          <w:lang w:eastAsia="zh"/>
          <w14:ligatures w14:val="standardContextual"/>
          <w:woUserID w:val="2"/>
        </w:rPr>
        <w:t>章</w:t>
      </w:r>
      <w:r>
        <w:rPr>
          <w:rFonts w:hint="default" w:ascii="Times New Roman" w:hAnsi="Times New Roman" w:eastAsia="楷体" w:cs="Times New Roman"/>
          <w:b w:val="0"/>
          <w:bCs/>
          <w:color w:val="auto"/>
          <w:sz w:val="32"/>
          <w:szCs w:val="32"/>
          <w:highlight w:val="none"/>
          <w14:ligatures w14:val="standardContextual"/>
        </w:rPr>
        <w:t xml:space="preserve"> 全面促进消费升级</w:t>
      </w:r>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p>
    <w:p w14:paraId="4445879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bookmarkStart w:id="1944" w:name="_Toc1447044665"/>
      <w:bookmarkStart w:id="1945" w:name="_Toc533371898"/>
      <w:r>
        <w:rPr>
          <w:rFonts w:hint="default" w:ascii="Times New Roman" w:hAnsi="Times New Roman" w:eastAsia="仿宋_GB2312" w:cs="Times New Roman"/>
          <w:color w:val="auto"/>
          <w:sz w:val="32"/>
          <w:szCs w:val="32"/>
          <w:highlight w:val="none"/>
          <w:lang w:eastAsia="zh"/>
        </w:rPr>
        <w:t>坚持把恢复和扩大消费摆在优先位置，扩大优质消费品和服务供给，提振传统消费，激发新型消费，优化消费环境，促进县域消费扩容升级。</w:t>
      </w:r>
    </w:p>
    <w:p w14:paraId="361ED38F">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946" w:name="_Toc21160"/>
      <w:bookmarkStart w:id="1947" w:name="_Toc32115"/>
      <w:bookmarkStart w:id="1948" w:name="_Toc11068"/>
      <w:bookmarkStart w:id="1949" w:name="_Toc5856"/>
      <w:bookmarkStart w:id="1950" w:name="_Toc13116"/>
      <w:bookmarkStart w:id="1951" w:name="_Toc1737"/>
      <w:bookmarkStart w:id="1952" w:name="_Toc6657"/>
      <w:bookmarkStart w:id="1953" w:name="_Toc26817"/>
      <w:bookmarkStart w:id="1954" w:name="_Toc14326"/>
      <w:r>
        <w:rPr>
          <w:rFonts w:hint="default" w:ascii="Times New Roman" w:hAnsi="Times New Roman" w:eastAsia="仿宋_GB2312" w:cs="Times New Roman"/>
          <w:b w:val="0"/>
          <w:bCs w:val="0"/>
          <w:color w:val="auto"/>
          <w:sz w:val="32"/>
          <w:szCs w:val="32"/>
          <w:highlight w:val="none"/>
          <w:u w:val="none"/>
          <w:lang w:eastAsia="zh" w:bidi="ar"/>
          <w:woUserID w:val="0"/>
        </w:rPr>
        <w:t>第一节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持续提升传统消费</w:t>
      </w:r>
      <w:bookmarkEnd w:id="1944"/>
      <w:bookmarkEnd w:id="1945"/>
      <w:bookmarkEnd w:id="1946"/>
      <w:bookmarkEnd w:id="1947"/>
      <w:bookmarkEnd w:id="1948"/>
      <w:bookmarkEnd w:id="1949"/>
      <w:bookmarkEnd w:id="1950"/>
      <w:bookmarkEnd w:id="1951"/>
      <w:bookmarkEnd w:id="1952"/>
      <w:bookmarkEnd w:id="1953"/>
      <w:bookmarkEnd w:id="1954"/>
    </w:p>
    <w:p w14:paraId="6A5B18D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以“智能、绿色、健康、安全”为导向，聚焦居民吃穿用住行等高频消费领域，推动传统消费从“满足基本需求”向“追求品质体验”转型，夯实传统消费增长基本盘。推动居住类产品消费质量持续提升，推动智能家居适老化改造，持续改善城乡居民居住品质。细化落实提振消费专项行动，加力扩围落实“两新”政策，清理汽车、住房等消费不合理限制性措施。采取发放购房补贴、契税补贴等措施，支持人才购房落户和城乡居民合理住房消费需求。促进餐饮住宿消费，扩大托育托幼消费，提质文化体育旅游休闲消费，完善健康养老消费，放宽服务消费领域市场准入。推动一刻钟便民生活圈建设，补全小修小补等功能，结合城市更新，完善中心城区商业网点设施布局打造集购物、娱乐、美食于一体的特色商业街区，提升高端消费能级。实施首店引进、新品首发等专项行动，大力吸引知名品牌首店、旗舰店、体验店、连锁店入驻。挖掘桦川优质农产品与朝鲜族手工艺品潜力，打造区域特色产品消费品牌。充分发挥“政府+企业”促消费模式，开展政府促消费活动。鼓励指导商贸企业开展形式丰富、内容多样促消费活动，充分激发市场潜力活力。</w:t>
      </w:r>
    </w:p>
    <w:p w14:paraId="0BD84F7E">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955" w:name="_Toc1198789216"/>
      <w:bookmarkStart w:id="1956" w:name="_Toc21981"/>
      <w:bookmarkStart w:id="1957" w:name="_Toc11340"/>
      <w:bookmarkStart w:id="1958" w:name="_Toc21384"/>
      <w:bookmarkStart w:id="1959" w:name="_Toc28271"/>
      <w:bookmarkStart w:id="1960" w:name="_Toc67089127"/>
      <w:bookmarkStart w:id="1961" w:name="_Toc32432"/>
      <w:bookmarkStart w:id="1962" w:name="_Toc22490"/>
      <w:bookmarkStart w:id="1963" w:name="_Toc22948"/>
      <w:bookmarkStart w:id="1964" w:name="_Toc18535"/>
      <w:bookmarkStart w:id="1965" w:name="_Toc9353"/>
      <w:r>
        <w:rPr>
          <w:rFonts w:hint="default" w:ascii="Times New Roman" w:hAnsi="Times New Roman" w:eastAsia="仿宋_GB2312" w:cs="Times New Roman"/>
          <w:b w:val="0"/>
          <w:bCs w:val="0"/>
          <w:color w:val="auto"/>
          <w:sz w:val="32"/>
          <w:szCs w:val="32"/>
          <w:highlight w:val="none"/>
          <w:u w:val="none"/>
          <w:lang w:eastAsia="zh" w:bidi="ar"/>
          <w:woUserID w:val="0"/>
        </w:rPr>
        <w:t>第二节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扎实培育新型消费场景</w:t>
      </w:r>
      <w:bookmarkEnd w:id="1955"/>
      <w:bookmarkEnd w:id="1956"/>
      <w:bookmarkEnd w:id="1957"/>
      <w:bookmarkEnd w:id="1958"/>
      <w:bookmarkEnd w:id="1959"/>
      <w:bookmarkEnd w:id="1960"/>
      <w:bookmarkEnd w:id="1961"/>
      <w:bookmarkEnd w:id="1962"/>
      <w:bookmarkEnd w:id="1963"/>
      <w:bookmarkEnd w:id="1964"/>
      <w:bookmarkEnd w:id="1965"/>
    </w:p>
    <w:p w14:paraId="298AD2F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lang w:eastAsia="zh-CN"/>
        </w:rPr>
      </w:pPr>
      <w:r>
        <w:rPr>
          <w:rFonts w:hint="default" w:ascii="Times New Roman" w:hAnsi="Times New Roman" w:eastAsia="仿宋_GB2312" w:cs="Times New Roman"/>
          <w:color w:val="auto"/>
          <w:sz w:val="32"/>
          <w:szCs w:val="32"/>
          <w:highlight w:val="none"/>
          <w:lang w:eastAsia="zh"/>
        </w:rPr>
        <w:t>深入实施商贸、文化、体育、休闲、度假消费升级行动，强化品牌引领、标准升级、新技术应用，加快实物消费、服务消费提质升级打造一批带动面广、显示度高的消费新场景，以放宽准入、业态融合为重点扩大服务消费，打造消费新业态新模式新场景。实施新型消费高质量发展行动，创新消费场景，培育在线消费、体验消费、时尚消费等消费新热点、新模式、新业态，推动消费从“线下为主”向“线上线下融合”、从“单一消费”向“多元业态”转变。积极发展智慧商圈，大力发展在线定制、直播电商、即时零售、社区服务等消费新业态，培育发展在线教育、互联网医院、在线文娱、智能体育等“互联网+社会服务”新模式。深入开展家政服务业提质扩容“领跑者”行动，发展员工制家政企业，推进家政服务进社区。创新文旅促消费模式，通过举办5·19文化旅游季、非遗美食文化等特色推广活动，指导星火景区丰富餐饮、住宿等消费业态，发放政府消费券，促进商文旅融合，激发文旅市场消费潜力。鼓励实体商业借助新技术或第三方平台拓展即时零售、直播卖货、社群营销等新模式，创新无接触消费模式，发展智慧商圈街区、智能商超小店等新零售业态，推动线上线下消费有机融合、双向提速。依托优质农产品资源，积极组织企业参与哈洽会等展会，集中展示优质农产品，促进农产品销售</w:t>
      </w:r>
      <w:r>
        <w:rPr>
          <w:rFonts w:hint="eastAsia" w:eastAsia="仿宋_GB2312" w:cs="Times New Roman"/>
          <w:color w:val="auto"/>
          <w:sz w:val="32"/>
          <w:szCs w:val="32"/>
          <w:highlight w:val="none"/>
          <w:lang w:eastAsia="zh-CN"/>
        </w:rPr>
        <w:t>。</w:t>
      </w:r>
    </w:p>
    <w:tbl>
      <w:tblPr>
        <w:tblStyle w:val="25"/>
        <w:tblW w:w="0" w:type="auto"/>
        <w:jc w:val="center"/>
        <w:tblLayout w:type="autofit"/>
        <w:tblCellMar>
          <w:top w:w="0" w:type="dxa"/>
          <w:left w:w="108" w:type="dxa"/>
          <w:bottom w:w="0" w:type="dxa"/>
          <w:right w:w="108" w:type="dxa"/>
        </w:tblCellMar>
      </w:tblPr>
      <w:tblGrid>
        <w:gridCol w:w="8296"/>
      </w:tblGrid>
      <w:tr w14:paraId="419C9162">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5FF6E116">
            <w:pPr>
              <w:spacing w:line="360" w:lineRule="exact"/>
              <w:ind w:firstLine="480" w:firstLineChars="200"/>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专栏9-1 桦川县消费提质扩容专项行动</w:t>
            </w:r>
          </w:p>
        </w:tc>
      </w:tr>
      <w:tr w14:paraId="1F2C2F94">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49734C34">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推动传统商业模式升级。依托万福源、正大、百货大楼商圈</w:t>
            </w:r>
            <w:r>
              <w:rPr>
                <w:rFonts w:hint="default" w:ascii="Times New Roman" w:hAnsi="Times New Roman" w:eastAsia="仿宋_GB2312" w:cs="Times New Roman"/>
                <w:b w:val="0"/>
                <w:bCs w:val="0"/>
                <w:color w:val="auto"/>
                <w:szCs w:val="21"/>
                <w:highlight w:val="none"/>
                <w:lang w:eastAsia="zh"/>
              </w:rPr>
              <w:t>以及星火稻香旅游景区</w:t>
            </w:r>
            <w:r>
              <w:rPr>
                <w:rFonts w:hint="default" w:ascii="Times New Roman" w:hAnsi="Times New Roman" w:eastAsia="仿宋_GB2312" w:cs="Times New Roman"/>
                <w:b w:val="0"/>
                <w:bCs w:val="0"/>
                <w:color w:val="auto"/>
                <w:szCs w:val="21"/>
                <w:highlight w:val="none"/>
              </w:rPr>
              <w:t>，谋划建设商业街区升级改造工程，以“油坊胡同”“春光巷”为范本，打造集购物、娱乐、美食于一体的特色商业街区。</w:t>
            </w:r>
            <w:r>
              <w:rPr>
                <w:rFonts w:hint="default" w:ascii="Times New Roman" w:hAnsi="Times New Roman" w:eastAsia="仿宋_GB2312" w:cs="Times New Roman"/>
                <w:b w:val="0"/>
                <w:bCs w:val="0"/>
                <w:color w:val="auto"/>
                <w:szCs w:val="21"/>
                <w:highlight w:val="none"/>
                <w:lang w:eastAsia="zh"/>
              </w:rPr>
              <w:t>结合城市更新工作，</w:t>
            </w:r>
            <w:r>
              <w:rPr>
                <w:rFonts w:hint="default" w:ascii="Times New Roman" w:hAnsi="Times New Roman" w:eastAsia="仿宋_GB2312" w:cs="Times New Roman"/>
                <w:b w:val="0"/>
                <w:bCs w:val="0"/>
                <w:color w:val="auto"/>
                <w:szCs w:val="21"/>
                <w:highlight w:val="none"/>
              </w:rPr>
              <w:t>采用具有地方特色的建筑风格元素，升级改造万福源、正大、百货大楼等商场外立面，美化城市环境，提升城市品位。支持实体零售企业拓展线上业务，培育“智慧商店”“数字商圈”，助力大型商场、超市开展线上线下融合业务，发展智慧零售、无人零售等新业态。</w:t>
            </w:r>
          </w:p>
          <w:p w14:paraId="6E57B274">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推动一刻钟便民生活圈建设。通过开展实地调研，精准锚定老旧小区、新建社区等重点区域，综合交通路网、人口密度、商圈等基础条件，科学规划生活圈布局。按照“必备+特色”双轨配置模式，在圈内合理布局超市、菜店、药店等基础商业设施。依托线上平台配送后同步增设老年助餐点、社区卫生服务站、驿站等特色服务网点，满足居民多元化生活，融入社区服务体系，整合圈内商户资源，实现线上预约、线下配送、服务评价一体化。建立商户信用评价体系，定期开展服务质量评比，营造商居和谐氛围。力争在“十五五”期间建成不少于2个布局科学、服务优质、便捷高效的便民生活圈，切实以完善的便民服务链提升民生幸福指数，增强群众获得感与幸福感。</w:t>
            </w:r>
          </w:p>
          <w:p w14:paraId="562AF384">
            <w:pPr>
              <w:spacing w:line="360" w:lineRule="exact"/>
              <w:ind w:firstLine="420" w:firstLineChars="200"/>
              <w:rPr>
                <w:rFonts w:hint="default" w:ascii="Times New Roman" w:hAnsi="Times New Roman" w:eastAsia="仿宋"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推动电子商务集群发展。依托电子商务商会，整合优质农副产品、酒产品、工业品等资源，</w:t>
            </w:r>
            <w:r>
              <w:rPr>
                <w:rFonts w:hint="default" w:ascii="Times New Roman" w:hAnsi="Times New Roman" w:eastAsia="仿宋_GB2312" w:cs="Times New Roman"/>
                <w:b w:val="0"/>
                <w:bCs w:val="0"/>
                <w:color w:val="auto"/>
                <w:szCs w:val="21"/>
                <w:highlight w:val="none"/>
                <w:lang w:eastAsia="zh"/>
              </w:rPr>
              <w:t>指导企业依托头部电商平台开展网络销售，</w:t>
            </w:r>
            <w:r>
              <w:rPr>
                <w:rFonts w:hint="default" w:ascii="Times New Roman" w:hAnsi="Times New Roman" w:eastAsia="仿宋_GB2312" w:cs="Times New Roman"/>
                <w:b w:val="0"/>
                <w:bCs w:val="0"/>
                <w:color w:val="auto"/>
                <w:szCs w:val="21"/>
                <w:highlight w:val="none"/>
              </w:rPr>
              <w:t>展示桦川县特色优质好物，形成外销合力。聘请全国知名专业MCN团队，加强与东北农大、佳木斯大学等院校合作，打造电商培训基地，为全县电商企业人员及村级电商带头人开展短视频和直播平台技能培训。落实相关扶持政策，引进外地大型电商企业到桦川县投资兴业，引进先进的管理经验和技术，支持小微电商企业健康发展，促进全县电商产业集群化、规模化发展，力争“十五五”期间新增限额以上零售电商主体5户。</w:t>
            </w:r>
          </w:p>
        </w:tc>
      </w:tr>
    </w:tbl>
    <w:p w14:paraId="178FDFEA">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1966" w:name="_Toc5532"/>
      <w:bookmarkStart w:id="1967" w:name="_Toc22430"/>
      <w:bookmarkStart w:id="1968" w:name="_Toc9110"/>
      <w:bookmarkStart w:id="1969" w:name="_Toc1520912901"/>
      <w:bookmarkStart w:id="1970" w:name="_Toc512"/>
      <w:bookmarkStart w:id="1971" w:name="_Toc3217"/>
      <w:bookmarkStart w:id="1972" w:name="_Toc24948"/>
      <w:bookmarkStart w:id="1973" w:name="_Toc27262"/>
      <w:bookmarkStart w:id="1974" w:name="_Toc27379"/>
      <w:bookmarkStart w:id="1975" w:name="_Toc260213938"/>
      <w:bookmarkStart w:id="1976" w:name="_Toc22107"/>
      <w:r>
        <w:rPr>
          <w:rFonts w:hint="default" w:ascii="Times New Roman" w:hAnsi="Times New Roman" w:eastAsia="仿宋_GB2312" w:cs="Times New Roman"/>
          <w:b w:val="0"/>
          <w:bCs w:val="0"/>
          <w:color w:val="auto"/>
          <w:sz w:val="32"/>
          <w:szCs w:val="32"/>
          <w:highlight w:val="none"/>
          <w:u w:val="none"/>
          <w:lang w:eastAsia="zh" w:bidi="ar"/>
          <w:woUserID w:val="0"/>
        </w:rPr>
        <w:t>第三节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切实优化消费环境</w:t>
      </w:r>
      <w:bookmarkEnd w:id="1966"/>
      <w:bookmarkEnd w:id="1967"/>
      <w:bookmarkEnd w:id="1968"/>
      <w:bookmarkEnd w:id="1969"/>
      <w:bookmarkEnd w:id="1970"/>
      <w:bookmarkEnd w:id="1971"/>
      <w:bookmarkEnd w:id="1972"/>
      <w:bookmarkEnd w:id="1973"/>
      <w:bookmarkEnd w:id="1974"/>
      <w:bookmarkEnd w:id="1975"/>
      <w:bookmarkEnd w:id="1976"/>
    </w:p>
    <w:p w14:paraId="51C5112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提升中心城区高端消费产业链，高标准打造一批现代商圈、特色步行街、商旅文融合发展示范区，全面落实首发经济政策，支持知名品牌连锁企业“进县城”。繁荣发展夜间经济，规范发展地摊经济，提升城市消费品质。统筹促就业、增收入、稳预期，合理提高公共服务支出占财政支出比重，加大直达消费者的普惠政策力度，增加政府资金用于民生保障支出。拓宽商贸文旅体育等跨界融合消费渠道，落实带薪错峰休假。加大食品安全、药品安全、特种设备安全、工业产品质量安全监管力度，全面运用好“佳木斯食品药品数智一体化云平台”，推动智慧化监管向所有市场监管职能领域拓展延伸，建立健全适应消费新业态新模式新场景发展的管理模式。强化消费者权益保护，完善多元化消费纠纷解决机制，加强消费信用体系建设，鼓励和规范消费金融创新，严厉打击线上线下销售侵权假冒商品、发布虚假广告、滥用霸王条款等违法行为，强化治理滥用“仅退款”机制、“自动跟价”“最低价承诺”等不正当竞争行为，推动线下实体店无理由退货承诺全覆盖，营造安全放心的消费环境。</w:t>
      </w:r>
    </w:p>
    <w:p w14:paraId="4B40545D">
      <w:pPr>
        <w:pStyle w:val="3"/>
        <w:keepNext/>
        <w:keepLines/>
        <w:pageBreakBefore w:val="0"/>
        <w:widowControl w:val="0"/>
        <w:kinsoku/>
        <w:wordWrap/>
        <w:overflowPunct/>
        <w:topLinePunct w:val="0"/>
        <w:autoSpaceDE/>
        <w:autoSpaceDN/>
        <w:bidi w:val="0"/>
        <w:adjustRightInd/>
        <w:spacing w:before="0" w:after="0" w:line="560" w:lineRule="exact"/>
        <w:ind w:firstLine="0" w:firstLineChars="0"/>
        <w:jc w:val="center"/>
        <w:textAlignment w:val="auto"/>
        <w:outlineLvl w:val="1"/>
        <w:rPr>
          <w:rFonts w:hint="default" w:ascii="Times New Roman" w:hAnsi="Times New Roman" w:eastAsia="楷体" w:cs="Times New Roman"/>
          <w:b w:val="0"/>
          <w:bCs/>
          <w:color w:val="auto"/>
          <w:sz w:val="32"/>
          <w:szCs w:val="32"/>
          <w:highlight w:val="none"/>
          <w14:ligatures w14:val="standardContextual"/>
        </w:rPr>
      </w:pPr>
      <w:bookmarkStart w:id="1977" w:name="_Toc1583037027"/>
      <w:bookmarkStart w:id="1978" w:name="_Toc125633936"/>
      <w:bookmarkStart w:id="1979" w:name="_Toc3492"/>
      <w:bookmarkStart w:id="1980" w:name="_Toc4615"/>
      <w:bookmarkStart w:id="1981" w:name="_Toc23589"/>
      <w:bookmarkStart w:id="1982" w:name="_Toc8749"/>
      <w:bookmarkStart w:id="1983" w:name="_Toc3384"/>
      <w:bookmarkStart w:id="1984" w:name="_Toc27369"/>
      <w:bookmarkStart w:id="1985" w:name="_Toc14888"/>
      <w:bookmarkStart w:id="1986" w:name="_Toc28045"/>
      <w:bookmarkStart w:id="1987" w:name="_Toc6627"/>
      <w:bookmarkStart w:id="1988" w:name="_Toc15149"/>
      <w:bookmarkStart w:id="1989" w:name="_Toc18592"/>
      <w:bookmarkStart w:id="1990" w:name="_Toc3423"/>
      <w:r>
        <w:rPr>
          <w:rFonts w:hint="default" w:ascii="Times New Roman" w:hAnsi="Times New Roman" w:eastAsia="楷体" w:cs="Times New Roman"/>
          <w:b w:val="0"/>
          <w:bCs/>
          <w:color w:val="auto"/>
          <w:sz w:val="32"/>
          <w:szCs w:val="32"/>
          <w:highlight w:val="none"/>
          <w:lang w:eastAsia="zh"/>
          <w14:ligatures w14:val="standardContextual"/>
        </w:rPr>
        <w:t>第三章</w:t>
      </w:r>
      <w:r>
        <w:rPr>
          <w:rFonts w:hint="default" w:ascii="Times New Roman" w:hAnsi="Times New Roman" w:eastAsia="楷体" w:cs="Times New Roman"/>
          <w:b w:val="0"/>
          <w:bCs/>
          <w:color w:val="auto"/>
          <w:sz w:val="32"/>
          <w:szCs w:val="32"/>
          <w:highlight w:val="none"/>
          <w14:ligatures w14:val="standardContextual"/>
        </w:rPr>
        <w:t xml:space="preserve"> 奋力推进高水平开放</w:t>
      </w:r>
      <w:bookmarkEnd w:id="1977"/>
      <w:bookmarkEnd w:id="1978"/>
      <w:bookmarkStart w:id="1991" w:name="_Toc4228681"/>
      <w:bookmarkStart w:id="1992" w:name="_Toc1870213499"/>
      <w:r>
        <w:rPr>
          <w:rFonts w:hint="default" w:ascii="Times New Roman" w:hAnsi="Times New Roman" w:eastAsia="楷体" w:cs="Times New Roman"/>
          <w:b w:val="0"/>
          <w:bCs/>
          <w:color w:val="auto"/>
          <w:sz w:val="32"/>
          <w:szCs w:val="32"/>
          <w:highlight w:val="none"/>
          <w14:ligatures w14:val="standardContextual"/>
        </w:rPr>
        <w:t>合作</w:t>
      </w:r>
      <w:bookmarkEnd w:id="1979"/>
      <w:bookmarkEnd w:id="1980"/>
      <w:bookmarkEnd w:id="1981"/>
      <w:bookmarkEnd w:id="1982"/>
      <w:bookmarkEnd w:id="1983"/>
      <w:bookmarkEnd w:id="1984"/>
      <w:bookmarkEnd w:id="1985"/>
      <w:bookmarkEnd w:id="1986"/>
      <w:bookmarkEnd w:id="1987"/>
      <w:bookmarkEnd w:id="1988"/>
      <w:bookmarkEnd w:id="1989"/>
      <w:bookmarkEnd w:id="1990"/>
    </w:p>
    <w:p w14:paraId="479FC086">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1993" w:name="_Toc28342"/>
      <w:bookmarkStart w:id="1994" w:name="_Toc7457"/>
      <w:bookmarkStart w:id="1995" w:name="_Toc21193"/>
      <w:bookmarkStart w:id="1996" w:name="_Toc20404"/>
      <w:bookmarkStart w:id="1997" w:name="_Toc19801"/>
      <w:bookmarkStart w:id="1998" w:name="_Toc26632"/>
      <w:bookmarkStart w:id="1999" w:name="_Toc5877"/>
      <w:bookmarkStart w:id="2000" w:name="_Toc1223"/>
      <w:bookmarkStart w:id="2001" w:name="_Toc6027"/>
      <w:r>
        <w:rPr>
          <w:rFonts w:hint="default" w:ascii="Times New Roman" w:hAnsi="Times New Roman" w:eastAsia="仿宋_GB2312" w:cs="Times New Roman"/>
          <w:b w:val="0"/>
          <w:bCs/>
          <w:color w:val="auto"/>
          <w:sz w:val="32"/>
          <w:szCs w:val="32"/>
          <w:highlight w:val="none"/>
          <w:u w:val="none"/>
          <w:lang w:eastAsia="zh" w:bidi="ar"/>
          <w:woUserID w:val="0"/>
        </w:rPr>
        <w:t>第一节</w:t>
      </w:r>
      <w:r>
        <w:rPr>
          <w:rFonts w:hint="default" w:ascii="Times New Roman" w:hAnsi="Times New Roman" w:eastAsia="仿宋_GB2312" w:cs="Times New Roman"/>
          <w:b w:val="0"/>
          <w:bCs/>
          <w:color w:val="auto"/>
          <w:sz w:val="32"/>
          <w:szCs w:val="32"/>
          <w:highlight w:val="none"/>
          <w:u w:val="none"/>
          <w:lang w:eastAsia="zh-CN" w:bidi="ar"/>
          <w:woUserID w:val="0"/>
        </w:rPr>
        <w:t xml:space="preserve"> </w:t>
      </w:r>
      <w:r>
        <w:rPr>
          <w:rFonts w:hint="default" w:ascii="Times New Roman" w:hAnsi="Times New Roman" w:eastAsia="仿宋_GB2312" w:cs="Times New Roman"/>
          <w:b w:val="0"/>
          <w:bCs/>
          <w:color w:val="auto"/>
          <w:sz w:val="32"/>
          <w:szCs w:val="32"/>
          <w:highlight w:val="none"/>
          <w:u w:val="none"/>
          <w:lang w:eastAsia="zh" w:bidi="ar"/>
          <w:woUserID w:val="0"/>
        </w:rPr>
        <w:t>创新开展国际服务贸易</w:t>
      </w:r>
      <w:bookmarkEnd w:id="1991"/>
      <w:bookmarkEnd w:id="1992"/>
      <w:bookmarkEnd w:id="1993"/>
      <w:bookmarkEnd w:id="1994"/>
      <w:bookmarkEnd w:id="1995"/>
      <w:bookmarkEnd w:id="1996"/>
      <w:bookmarkEnd w:id="1997"/>
      <w:bookmarkEnd w:id="1998"/>
      <w:bookmarkEnd w:id="1999"/>
      <w:bookmarkEnd w:id="2000"/>
      <w:bookmarkEnd w:id="2001"/>
    </w:p>
    <w:p w14:paraId="3DBC731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加强与“一带一路”沿线国家和地区在现代服务业领域的合作，重点推动商业服务、旅游、娱乐文化与体育服务、运输服务等领域对外开放。推动与俄罗斯远东地区建立友好城市，加大与韩国东海市文化、教育交流，依托星火稻香国家4A级旅游景区优势，开展国际文化旅游交流活动，展示桦川朝鲜族民俗文化、红色文化等特色文化，吸引国际游客前来旅游、购物，推动桦川文化旅游产业国际化发展。主动融入佳富同抚经济带、松花江流域经济带、“哈—佳—伯”跨境发展走廊，构建“陆江海”联运格局，打造跨境物流通道，提升农产品等货物进出口运输效率。发挥哈巴亚太公司纽带作用，引导加工型企业将服务出口与货物出口结合，逐步从产品制造商发展成为综合服务提供商，提升综合附加值</w:t>
      </w:r>
      <w:r>
        <w:rPr>
          <w:rFonts w:hint="eastAsia"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
        </w:rPr>
        <w:t>优化营商环境，加强知识产权保护，为国内外企业在桦川投资兴业创造良好条件，推动现代服务业对外开放水平持续提升。</w:t>
      </w:r>
    </w:p>
    <w:p w14:paraId="5080B2BB">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002" w:name="_Toc8244"/>
      <w:bookmarkStart w:id="2003" w:name="_Toc27304"/>
      <w:bookmarkStart w:id="2004" w:name="_Toc31399"/>
      <w:bookmarkStart w:id="2005" w:name="_Toc18147"/>
      <w:bookmarkStart w:id="2006" w:name="_Toc25070"/>
      <w:bookmarkStart w:id="2007" w:name="_Toc1238522895"/>
      <w:bookmarkStart w:id="2008" w:name="_Toc9662"/>
      <w:bookmarkStart w:id="2009" w:name="_Toc16798"/>
      <w:bookmarkStart w:id="2010" w:name="_Toc1681002432"/>
      <w:bookmarkStart w:id="2011" w:name="_Toc28548"/>
      <w:bookmarkStart w:id="2012" w:name="_Toc337"/>
      <w:r>
        <w:rPr>
          <w:rFonts w:hint="default" w:ascii="Times New Roman" w:hAnsi="Times New Roman" w:eastAsia="仿宋_GB2312" w:cs="Times New Roman"/>
          <w:b w:val="0"/>
          <w:bCs w:val="0"/>
          <w:color w:val="auto"/>
          <w:sz w:val="32"/>
          <w:szCs w:val="32"/>
          <w:highlight w:val="none"/>
          <w:u w:val="none"/>
          <w:lang w:eastAsia="zh" w:bidi="ar"/>
          <w:woUserID w:val="0"/>
        </w:rPr>
        <w:t>第二节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融入中蒙俄经济走廊</w:t>
      </w:r>
      <w:bookmarkEnd w:id="2002"/>
      <w:bookmarkEnd w:id="2003"/>
      <w:bookmarkEnd w:id="2004"/>
      <w:bookmarkEnd w:id="2005"/>
      <w:bookmarkEnd w:id="2006"/>
      <w:bookmarkEnd w:id="2007"/>
      <w:bookmarkEnd w:id="2008"/>
      <w:bookmarkEnd w:id="2009"/>
      <w:bookmarkEnd w:id="2010"/>
      <w:bookmarkEnd w:id="2011"/>
      <w:bookmarkEnd w:id="2012"/>
    </w:p>
    <w:p w14:paraId="1EDEA3E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发挥中蒙俄经济走廊重要节点城市的区位优势，深度融入黑龙江陆上丝绸之路经济带建设大局。依托哈佳高铁、牡佳高铁及佳木斯港的交通优势，强化与同江口岸的联动协作，构建公铁水多式联运体系，提升对俄货物运输效能。积极参与跨境产业园区建设，以工业园区为核心平台，加大招商引资攻坚力度，靶向吸引国内外跨境加工类企业入驻，重点培育农产品加工、农机装备制造等特色产业，构建与俄罗斯远东地区优势互补、协同发展的产业生态。深化对俄农业领域务实合作，围绕土地资源开发、作物栽培技术创新等开展区域性合作，推动桦川优质农副产品进入俄罗斯市场。到2030年，实现外贸进出口总额突破3.48亿元，年均增幅8%以上。实际利用内资、实际利用外资逐年实现正增长，签约项目每年不低于20个，项目落地率50%以上，竣工投产率50%以上。</w:t>
      </w:r>
    </w:p>
    <w:tbl>
      <w:tblPr>
        <w:tblStyle w:val="25"/>
        <w:tblW w:w="0" w:type="auto"/>
        <w:jc w:val="center"/>
        <w:tblLayout w:type="autofit"/>
        <w:tblCellMar>
          <w:top w:w="0" w:type="dxa"/>
          <w:left w:w="108" w:type="dxa"/>
          <w:bottom w:w="0" w:type="dxa"/>
          <w:right w:w="108" w:type="dxa"/>
        </w:tblCellMar>
      </w:tblPr>
      <w:tblGrid>
        <w:gridCol w:w="8296"/>
      </w:tblGrid>
      <w:tr w14:paraId="0A8763B0">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0C15C846">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w:t>
            </w:r>
            <w:r>
              <w:rPr>
                <w:rFonts w:hint="default" w:ascii="Times New Roman" w:hAnsi="Times New Roman" w:eastAsia="楷体_GB2312" w:cs="Times New Roman"/>
                <w:b w:val="0"/>
                <w:bCs w:val="0"/>
                <w:color w:val="auto"/>
                <w:sz w:val="24"/>
                <w:highlight w:val="none"/>
                <w:lang w:eastAsia="zh"/>
                <w14:ligatures w14:val="standardContextual"/>
              </w:rPr>
              <w:t>9</w:t>
            </w:r>
            <w:r>
              <w:rPr>
                <w:rFonts w:hint="default" w:ascii="Times New Roman" w:hAnsi="Times New Roman" w:eastAsia="楷体_GB2312" w:cs="Times New Roman"/>
                <w:b w:val="0"/>
                <w:bCs w:val="0"/>
                <w:color w:val="auto"/>
                <w:sz w:val="24"/>
                <w:highlight w:val="none"/>
                <w14:ligatures w14:val="standardContextual"/>
              </w:rPr>
              <w:t>-</w:t>
            </w:r>
            <w:r>
              <w:rPr>
                <w:rFonts w:hint="default" w:ascii="Times New Roman" w:hAnsi="Times New Roman" w:eastAsia="楷体_GB2312" w:cs="Times New Roman"/>
                <w:b w:val="0"/>
                <w:bCs w:val="0"/>
                <w:color w:val="auto"/>
                <w:sz w:val="24"/>
                <w:highlight w:val="none"/>
                <w:lang w:eastAsia="zh"/>
                <w14:ligatures w14:val="standardContextual"/>
              </w:rPr>
              <w:t>2</w:t>
            </w:r>
            <w:r>
              <w:rPr>
                <w:rFonts w:hint="default" w:ascii="Times New Roman" w:hAnsi="Times New Roman" w:eastAsia="楷体_GB2312" w:cs="Times New Roman"/>
                <w:b w:val="0"/>
                <w:bCs w:val="0"/>
                <w:color w:val="auto"/>
                <w:sz w:val="24"/>
                <w:highlight w:val="none"/>
                <w14:ligatures w14:val="standardContextual"/>
              </w:rPr>
              <w:t xml:space="preserve"> 联动中蒙俄经济走廊发展重点任务</w:t>
            </w:r>
          </w:p>
        </w:tc>
      </w:tr>
      <w:tr w14:paraId="1E40FFB0">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536771CF">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锚定产业发展方向</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结合县区位优势和产业基础，以打造向北开放新高地为目标，根据《佳木斯市全域口岸规划》编制《桦川县对外贸易高质量发展五年规划》，明确发展定位和发展方向。</w:t>
            </w:r>
          </w:p>
          <w:p w14:paraId="26C24165">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培育外贸新增长点</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创新构建“政府主导+外事协同+产业联动”的立体化推进体系。与省外事办外业处建立常态化对接机制，加强与哈巴罗夫斯克市行政区在种子研发、农机配套两大核心领域交流，同步拓展跨境电商等新兴业态合作，形成“2+N”产业合作矩阵。并依托中俄博览会等国际平台促成双方企业建立合作关系，实现贸易额新的突破。</w:t>
            </w:r>
          </w:p>
          <w:p w14:paraId="184616CA">
            <w:pPr>
              <w:spacing w:line="360" w:lineRule="exact"/>
              <w:ind w:firstLine="420" w:firstLineChars="200"/>
              <w:rPr>
                <w:rFonts w:hint="default" w:ascii="Times New Roman" w:hAnsi="Times New Roman" w:eastAsia="仿宋"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促进内外贸深度融合</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整合企业优势资源，每两年组建经贸代表团，锚定哈巴罗夫斯克核心市场，携富尔农艺、春生农机、明瑞机械等优质企业赴哈巴罗夫斯克开展全链条对接，通过“产业图谱分析+定制化洽谈”模式，开拓远东联邦管区周边城市，形成“抱团出海”发展格局。用足用好上级部门出台的外经贸发展政策，主动帮助企业研究资金申请方向，鼓励企业参加哈洽会、中俄博览会等国际重要展会，不断扩大企业的“贸易圈”“朋友圈”。力争“十五五”期间新增外贸主体10户。</w:t>
            </w:r>
          </w:p>
        </w:tc>
      </w:tr>
    </w:tbl>
    <w:p w14:paraId="479D102B">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013" w:name="_Toc7182"/>
      <w:bookmarkStart w:id="2014" w:name="_Toc1382668080"/>
      <w:bookmarkStart w:id="2015" w:name="_Toc4036"/>
      <w:bookmarkStart w:id="2016" w:name="_Toc28775"/>
      <w:bookmarkStart w:id="2017" w:name="_Toc24651"/>
      <w:bookmarkStart w:id="2018" w:name="_Toc586544340"/>
      <w:bookmarkStart w:id="2019" w:name="_Toc5518"/>
      <w:bookmarkStart w:id="2020" w:name="_Toc26983"/>
      <w:bookmarkStart w:id="2021" w:name="_Toc12994"/>
      <w:bookmarkStart w:id="2022" w:name="_Toc8630"/>
      <w:bookmarkStart w:id="2023" w:name="_Toc2562"/>
      <w:r>
        <w:rPr>
          <w:rFonts w:hint="default" w:ascii="Times New Roman" w:hAnsi="Times New Roman" w:eastAsia="仿宋_GB2312" w:cs="Times New Roman"/>
          <w:b w:val="0"/>
          <w:bCs w:val="0"/>
          <w:color w:val="auto"/>
          <w:sz w:val="32"/>
          <w:szCs w:val="32"/>
          <w:highlight w:val="none"/>
          <w:u w:val="none"/>
          <w:lang w:eastAsia="zh" w:bidi="ar"/>
          <w:woUserID w:val="0"/>
        </w:rPr>
        <w:t>第三节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形成对外贸易产业集群</w:t>
      </w:r>
      <w:bookmarkEnd w:id="2013"/>
      <w:bookmarkEnd w:id="2014"/>
      <w:bookmarkEnd w:id="2015"/>
      <w:bookmarkEnd w:id="2016"/>
      <w:bookmarkEnd w:id="2017"/>
      <w:bookmarkEnd w:id="2018"/>
      <w:bookmarkEnd w:id="2019"/>
      <w:bookmarkEnd w:id="2020"/>
      <w:bookmarkEnd w:id="2021"/>
      <w:bookmarkEnd w:id="2022"/>
      <w:bookmarkEnd w:id="2023"/>
    </w:p>
    <w:p w14:paraId="0D32457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立足《佳木斯市全域口岸产业发展规划（2025年—2035年）》中角色定位，抢抓中间品贸易和绿色贸易发展契机，发展绿氢、绿醇、光伏玻璃等清洁能源上下游产业，大力招引硫基农用化学品、新能源材料、绿色化工工艺等相关领域企业，打造农药与绿色化工、下游绿色能源及终端产品、光学玻璃和光学材料基地，形成绿色贸易产业发展集群，满足俄罗斯远东地区基础设施建设及农资需求。引导企业对接国际生产标准，拓展农机配套、工程设施等产品出口，拓展海外市场。聚焦食品行业，充分利用农产品资源，引导企业调整生产方向，加快推进“双买双卖”，形成内外贸一体化格局。创新发展数字贸易，招引跨境电商、微短剧、数字动漫等企业，开展数字文化产品等领域出口。健全外商投资服务保障体系，坚持“准入又准营”，落实外商投资准入前国民待遇加负面清单管理制度，促进外资境内再投资。有效实施对外投资管理，完善涉外安全机制，加强海外利益保护，拓展境外经贸合作区功能，促进贸易投资一体化。</w:t>
      </w:r>
    </w:p>
    <w:p w14:paraId="16DE8184">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024" w:name="_Toc5742"/>
      <w:bookmarkStart w:id="2025" w:name="_Toc19199"/>
      <w:bookmarkStart w:id="2026" w:name="_Toc6040"/>
      <w:bookmarkStart w:id="2027" w:name="_Toc22740"/>
      <w:bookmarkStart w:id="2028" w:name="_Toc30958"/>
      <w:bookmarkStart w:id="2029" w:name="_Toc15806"/>
      <w:bookmarkStart w:id="2030" w:name="_Toc1976"/>
      <w:bookmarkStart w:id="2031" w:name="_Toc20761"/>
      <w:bookmarkStart w:id="2032" w:name="_Toc8288"/>
      <w:r>
        <w:rPr>
          <w:rFonts w:hint="default" w:ascii="Times New Roman" w:hAnsi="Times New Roman" w:eastAsia="仿宋_GB2312" w:cs="Times New Roman"/>
          <w:b w:val="0"/>
          <w:bCs w:val="0"/>
          <w:color w:val="auto"/>
          <w:sz w:val="32"/>
          <w:szCs w:val="32"/>
          <w:highlight w:val="none"/>
          <w:u w:val="none"/>
          <w:lang w:eastAsia="zh" w:bidi="ar"/>
          <w:woUserID w:val="0"/>
        </w:rPr>
        <w:t>第四节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深化区域协作合作</w:t>
      </w:r>
      <w:bookmarkEnd w:id="2024"/>
      <w:bookmarkEnd w:id="2025"/>
      <w:bookmarkEnd w:id="2026"/>
      <w:bookmarkEnd w:id="2027"/>
      <w:bookmarkEnd w:id="2028"/>
      <w:bookmarkEnd w:id="2029"/>
      <w:bookmarkEnd w:id="2030"/>
      <w:bookmarkEnd w:id="2031"/>
      <w:bookmarkEnd w:id="2032"/>
    </w:p>
    <w:p w14:paraId="29EDEBF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bookmarkStart w:id="2033" w:name="_Toc2007904751"/>
      <w:bookmarkStart w:id="2034" w:name="_Toc1041928206"/>
      <w:r>
        <w:rPr>
          <w:rFonts w:hint="default" w:ascii="Times New Roman" w:hAnsi="Times New Roman" w:eastAsia="仿宋_GB2312" w:cs="Times New Roman"/>
          <w:color w:val="auto"/>
          <w:sz w:val="32"/>
          <w:szCs w:val="32"/>
          <w:highlight w:val="none"/>
          <w:lang w:eastAsia="zh"/>
        </w:rPr>
        <w:t>强化与长三角、珠三角等科技要素集中区域深度合作，高质量建设运营“科创飞地”，探索在飞地内设立专项科创基金、建设专业中试基地及孵化加速空间，构建“研发孵化在外地、产业化在本地”的协同创新体系。依托托管、共建等方式，推进与中山市对口合作，积极推动先进研发成果转化落地，以“园中园”“飞地园”等形式建设中山对口合作示范区。</w:t>
      </w:r>
    </w:p>
    <w:p w14:paraId="24D8BF69">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outlineLvl w:val="0"/>
        <w:rPr>
          <w:rFonts w:hint="default" w:ascii="Times New Roman" w:hAnsi="Times New Roman" w:eastAsia="黑体" w:cs="Times New Roman"/>
          <w:color w:val="auto"/>
          <w:sz w:val="32"/>
          <w:szCs w:val="32"/>
          <w:highlight w:val="none"/>
          <w14:ligatures w14:val="standardContextual"/>
        </w:rPr>
      </w:pPr>
      <w:bookmarkStart w:id="2035" w:name="_Toc28492"/>
      <w:bookmarkStart w:id="2036" w:name="_Toc11664"/>
      <w:bookmarkStart w:id="2037" w:name="_Toc32103"/>
      <w:bookmarkStart w:id="2038" w:name="_Toc25009"/>
      <w:bookmarkStart w:id="2039" w:name="_Toc12530"/>
      <w:bookmarkStart w:id="2040" w:name="_Toc17486"/>
      <w:bookmarkStart w:id="2041" w:name="_Toc21652"/>
      <w:bookmarkStart w:id="2042" w:name="_Toc24845"/>
      <w:bookmarkStart w:id="2043" w:name="_Toc7348"/>
      <w:bookmarkStart w:id="2044" w:name="_Toc4591"/>
      <w:bookmarkStart w:id="2045" w:name="_Toc777"/>
      <w:bookmarkStart w:id="2046" w:name="_Toc26589"/>
      <w:r>
        <w:rPr>
          <w:rFonts w:hint="default" w:ascii="Times New Roman" w:hAnsi="Times New Roman" w:eastAsia="黑体" w:cs="Times New Roman"/>
          <w:color w:val="auto"/>
          <w:sz w:val="32"/>
          <w:szCs w:val="32"/>
          <w:highlight w:val="none"/>
          <w14:ligatures w14:val="standardContextual"/>
        </w:rPr>
        <w:t>第十</w:t>
      </w:r>
      <w:r>
        <w:rPr>
          <w:rFonts w:hint="default" w:ascii="Times New Roman" w:hAnsi="Times New Roman" w:eastAsia="黑体" w:cs="Times New Roman"/>
          <w:color w:val="auto"/>
          <w:sz w:val="32"/>
          <w:szCs w:val="32"/>
          <w:highlight w:val="none"/>
          <w:lang w:eastAsia="zh"/>
          <w14:ligatures w14:val="standardContextual"/>
          <w:woUserID w:val="0"/>
        </w:rPr>
        <w:t>篇</w:t>
      </w:r>
      <w:r>
        <w:rPr>
          <w:rFonts w:hint="default" w:ascii="Times New Roman" w:hAnsi="Times New Roman" w:eastAsia="黑体" w:cs="Times New Roman"/>
          <w:color w:val="auto"/>
          <w:sz w:val="32"/>
          <w:szCs w:val="32"/>
          <w:highlight w:val="none"/>
          <w14:ligatures w14:val="standardContextual"/>
        </w:rPr>
        <w:t xml:space="preserve"> </w:t>
      </w:r>
      <w:r>
        <w:rPr>
          <w:rFonts w:hint="default" w:ascii="Times New Roman" w:hAnsi="Times New Roman" w:eastAsia="黑体" w:cs="Times New Roman"/>
          <w:color w:val="auto"/>
          <w:sz w:val="32"/>
          <w:szCs w:val="32"/>
          <w:highlight w:val="none"/>
          <w:lang w:val="en-US" w:eastAsia="zh-CN"/>
          <w14:ligatures w14:val="standardContextual"/>
        </w:rPr>
        <w:t>持续</w:t>
      </w:r>
      <w:r>
        <w:rPr>
          <w:rFonts w:hint="default" w:ascii="Times New Roman" w:hAnsi="Times New Roman" w:eastAsia="黑体" w:cs="Times New Roman"/>
          <w:color w:val="auto"/>
          <w:sz w:val="32"/>
          <w:szCs w:val="32"/>
          <w:highlight w:val="none"/>
          <w14:ligatures w14:val="standardContextual"/>
        </w:rPr>
        <w:t>深化改革  激发活力桦川发展新动能</w:t>
      </w:r>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p>
    <w:p w14:paraId="38F7E34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坚持问题和目标导向，以小切口撬动大突破，打好深化改革攻坚战，不断健全与高质量发展相适应的体制机制，最大限度释放改革红利、增创发展优势，为推进桦川经济社会高质量发展持续注入强大动力。</w:t>
      </w:r>
    </w:p>
    <w:p w14:paraId="37687F24">
      <w:pPr>
        <w:pStyle w:val="3"/>
        <w:keepNext/>
        <w:keepLines/>
        <w:pageBreakBefore w:val="0"/>
        <w:widowControl w:val="0"/>
        <w:kinsoku/>
        <w:wordWrap/>
        <w:overflowPunct/>
        <w:topLinePunct w:val="0"/>
        <w:autoSpaceDE/>
        <w:autoSpaceDN/>
        <w:bidi w:val="0"/>
        <w:adjustRightInd/>
        <w:spacing w:before="0" w:after="0" w:line="560" w:lineRule="exact"/>
        <w:ind w:firstLine="0" w:firstLineChars="0"/>
        <w:jc w:val="center"/>
        <w:textAlignment w:val="auto"/>
        <w:outlineLvl w:val="1"/>
        <w:rPr>
          <w:rFonts w:hint="default" w:ascii="Times New Roman" w:hAnsi="Times New Roman" w:eastAsia="楷体" w:cs="Times New Roman"/>
          <w:b w:val="0"/>
          <w:bCs/>
          <w:color w:val="auto"/>
          <w:sz w:val="32"/>
          <w:szCs w:val="32"/>
          <w:highlight w:val="none"/>
          <w14:ligatures w14:val="standardContextual"/>
        </w:rPr>
      </w:pPr>
      <w:bookmarkStart w:id="2047" w:name="_Toc22052"/>
      <w:bookmarkStart w:id="2048" w:name="_Toc9197"/>
      <w:bookmarkStart w:id="2049" w:name="_Toc24512"/>
      <w:bookmarkStart w:id="2050" w:name="_Toc29029"/>
      <w:bookmarkStart w:id="2051" w:name="_Toc2607"/>
      <w:bookmarkStart w:id="2052" w:name="_Toc30817"/>
      <w:bookmarkStart w:id="2053" w:name="_Toc1144212377"/>
      <w:bookmarkStart w:id="2054" w:name="_Toc30484"/>
      <w:bookmarkStart w:id="2055" w:name="_Toc1210"/>
      <w:bookmarkStart w:id="2056" w:name="_Toc30301"/>
      <w:bookmarkStart w:id="2057" w:name="_Toc19320"/>
      <w:bookmarkStart w:id="2058" w:name="_Toc1536943770"/>
      <w:bookmarkStart w:id="2059" w:name="_Toc25541"/>
      <w:bookmarkStart w:id="2060" w:name="_Toc17863"/>
      <w:r>
        <w:rPr>
          <w:rFonts w:hint="default" w:ascii="Times New Roman" w:hAnsi="Times New Roman" w:eastAsia="楷体" w:cs="Times New Roman"/>
          <w:b w:val="0"/>
          <w:bCs/>
          <w:color w:val="auto"/>
          <w:sz w:val="32"/>
          <w:szCs w:val="32"/>
          <w:highlight w:val="none"/>
          <w14:ligatures w14:val="standardContextual"/>
        </w:rPr>
        <w:t>第一</w:t>
      </w:r>
      <w:r>
        <w:rPr>
          <w:rFonts w:hint="default" w:ascii="Times New Roman" w:hAnsi="Times New Roman" w:eastAsia="楷体" w:cs="Times New Roman"/>
          <w:b w:val="0"/>
          <w:bCs/>
          <w:color w:val="auto"/>
          <w:sz w:val="32"/>
          <w:szCs w:val="32"/>
          <w:highlight w:val="none"/>
          <w:lang w:eastAsia="zh"/>
          <w14:ligatures w14:val="standardContextual"/>
          <w:woUserID w:val="0"/>
        </w:rPr>
        <w:t>章</w:t>
      </w:r>
      <w:r>
        <w:rPr>
          <w:rFonts w:hint="default" w:ascii="Times New Roman" w:hAnsi="Times New Roman" w:eastAsia="楷体" w:cs="Times New Roman"/>
          <w:b w:val="0"/>
          <w:bCs/>
          <w:color w:val="auto"/>
          <w:sz w:val="32"/>
          <w:szCs w:val="32"/>
          <w:highlight w:val="none"/>
          <w:lang w:eastAsia="zh-CN"/>
          <w14:ligatures w14:val="standardContextual"/>
        </w:rPr>
        <w:t xml:space="preserve"> </w:t>
      </w:r>
      <w:r>
        <w:rPr>
          <w:rFonts w:hint="default" w:ascii="Times New Roman" w:hAnsi="Times New Roman" w:eastAsia="楷体" w:cs="Times New Roman"/>
          <w:b w:val="0"/>
          <w:bCs/>
          <w:color w:val="auto"/>
          <w:sz w:val="32"/>
          <w:szCs w:val="32"/>
          <w:highlight w:val="none"/>
          <w14:ligatures w14:val="standardContextual"/>
        </w:rPr>
        <w:t>支持市场主体发展壮大</w:t>
      </w:r>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p>
    <w:p w14:paraId="02C1B08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探索建立市场主体培育机制，促进辖区国资国企改革和民营经济发展壮大，推动国企民企协同发展，形成大中小企业蓬勃发展的良好生态。</w:t>
      </w:r>
      <w:bookmarkStart w:id="2061" w:name="_Toc1079664079"/>
      <w:bookmarkStart w:id="2062" w:name="_Toc1202395918"/>
    </w:p>
    <w:p w14:paraId="3AC44C2A">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063" w:name="_Toc9653"/>
      <w:bookmarkStart w:id="2064" w:name="_Toc20057"/>
      <w:bookmarkStart w:id="2065" w:name="_Toc8049"/>
      <w:bookmarkStart w:id="2066" w:name="_Toc25012"/>
      <w:bookmarkStart w:id="2067" w:name="_Toc26186"/>
      <w:bookmarkStart w:id="2068" w:name="_Toc19737"/>
      <w:bookmarkStart w:id="2069" w:name="_Toc17293"/>
      <w:bookmarkStart w:id="2070" w:name="_Toc25225"/>
      <w:bookmarkStart w:id="2071" w:name="_Toc11674"/>
      <w:r>
        <w:rPr>
          <w:rFonts w:hint="default" w:ascii="Times New Roman" w:hAnsi="Times New Roman" w:eastAsia="仿宋_GB2312" w:cs="Times New Roman"/>
          <w:b w:val="0"/>
          <w:bCs w:val="0"/>
          <w:color w:val="auto"/>
          <w:sz w:val="32"/>
          <w:szCs w:val="32"/>
          <w:highlight w:val="none"/>
          <w:u w:val="none"/>
          <w:lang w:eastAsia="zh" w:bidi="ar"/>
          <w:woUserID w:val="0"/>
        </w:rPr>
        <w:t>第一节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联动促进辖区国资国企改革</w:t>
      </w:r>
      <w:bookmarkEnd w:id="2061"/>
      <w:bookmarkEnd w:id="2062"/>
      <w:bookmarkEnd w:id="2063"/>
      <w:bookmarkEnd w:id="2064"/>
      <w:bookmarkEnd w:id="2065"/>
      <w:bookmarkEnd w:id="2066"/>
      <w:bookmarkEnd w:id="2067"/>
      <w:bookmarkEnd w:id="2068"/>
      <w:bookmarkEnd w:id="2069"/>
      <w:bookmarkEnd w:id="2070"/>
      <w:bookmarkEnd w:id="2071"/>
    </w:p>
    <w:p w14:paraId="610DD39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结合桦川特色和发展需求，与省属市属国企开展深入合作，做好服务保障。深化县属国资国企改革，形成一批可复制、可推广的国企改革桦川模式。支持国有企业前瞻布局战略性新兴产业，加大在新一代信息技术、人工智能、生物制造、新能源、新材料、高端装备等产业投资力度。坚持把加强党的领导与完善公司法人治理统一起来，完善国有企业公司治理。完善国资国企管理监督体制机制，加强国企合规管理，严控国有企业违规举债。指导县属国企制定国有资产盘活利用方案，明确存量资产运营主体，积极探索国有“三资”盘活利用有效形式，鼓励县属国企积极参与老旧厂房、低效楼宇和园区升级改造，全面提高存量国有资产利用效率。完善国资国企多元化考核评价体系，健全容错免责机制，鼓励国资国企重点向城市功能提升、产业创新发展、自然资源整合等领域布局。建立健全涵盖国有资产基础管理、产权管理、投资管理、财务监督、业绩考核、薪酬管理等方面的监管制度体系，完善制度执行机制，确保各项监管制度落到实处。</w:t>
      </w:r>
    </w:p>
    <w:p w14:paraId="558A82C5">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072" w:name="_Toc1529971719"/>
      <w:bookmarkStart w:id="2073" w:name="_Toc13681"/>
      <w:bookmarkStart w:id="2074" w:name="_Toc22545"/>
      <w:bookmarkStart w:id="2075" w:name="_Toc18918"/>
      <w:bookmarkStart w:id="2076" w:name="_Toc8842"/>
      <w:bookmarkStart w:id="2077" w:name="_Toc1626992982"/>
      <w:bookmarkStart w:id="2078" w:name="_Toc1521"/>
      <w:bookmarkStart w:id="2079" w:name="_Toc5712"/>
      <w:bookmarkStart w:id="2080" w:name="_Toc3496"/>
      <w:bookmarkStart w:id="2081" w:name="_Toc32128"/>
      <w:bookmarkStart w:id="2082" w:name="_Toc15936"/>
      <w:r>
        <w:rPr>
          <w:rFonts w:hint="default" w:ascii="Times New Roman" w:hAnsi="Times New Roman" w:eastAsia="仿宋_GB2312" w:cs="Times New Roman"/>
          <w:b w:val="0"/>
          <w:bCs w:val="0"/>
          <w:color w:val="auto"/>
          <w:sz w:val="32"/>
          <w:szCs w:val="32"/>
          <w:highlight w:val="none"/>
          <w:u w:val="none"/>
          <w:lang w:eastAsia="zh" w:bidi="ar"/>
          <w:woUserID w:val="0"/>
        </w:rPr>
        <w:t>第二节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促进民营经济发展壮大</w:t>
      </w:r>
      <w:bookmarkEnd w:id="2072"/>
      <w:bookmarkEnd w:id="2073"/>
      <w:bookmarkEnd w:id="2074"/>
      <w:bookmarkEnd w:id="2075"/>
      <w:bookmarkEnd w:id="2076"/>
      <w:bookmarkEnd w:id="2077"/>
      <w:bookmarkEnd w:id="2078"/>
      <w:bookmarkEnd w:id="2079"/>
      <w:bookmarkEnd w:id="2080"/>
      <w:bookmarkEnd w:id="2081"/>
      <w:bookmarkEnd w:id="2082"/>
    </w:p>
    <w:p w14:paraId="489A86C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建立民营企业合法权益保护机制，规范涉企执法行为，着力破解“执法不规范、承诺不兑现、服务不高效、企业负担重”等突出问题，建立拖欠账款常态化预防清理机制。综合推出降费减税、融资降本、国有园区减租等让利举措，持续推行企业项目管家等降成本改革，打造综合成本最低县。鼓励民间资本利用政府和社会资本合作（PPP）机制等方式参与盘活国有存量资产。支持民营企业积极参与“万企兴万村”行动，加大乡村振兴投资参与力度。探索开展民营企业项目清单推介，为民营企业在市场进入、份额分配等方面争取更多支持，严格落实市场准入负面清单制度，支持民营企业参与县内重大项目建设。创造良好社会舆论环境，开展“优秀民营企业家”表彰活动。积极做好民营企业法律服务工作，健全完善多元化矛盾纠纷解决机制。及时公布涉企行政事业性收费目录清单、政府定价经营服务性收费目录清单，畅通涉企违规收费投诉举报渠道，定期开展涉企违规收费专项整治。强化民营企业发展要素保障，持续优化促进民营经济发展的政策环境。</w:t>
      </w:r>
    </w:p>
    <w:p w14:paraId="7B659EF8">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083" w:name="_Toc28107"/>
      <w:bookmarkStart w:id="2084" w:name="_Toc11351"/>
      <w:bookmarkStart w:id="2085" w:name="_Toc19552"/>
      <w:bookmarkStart w:id="2086" w:name="_Toc3272"/>
      <w:bookmarkStart w:id="2087" w:name="_Toc19105"/>
      <w:bookmarkStart w:id="2088" w:name="_Toc20503"/>
      <w:bookmarkStart w:id="2089" w:name="_Toc23156"/>
      <w:bookmarkStart w:id="2090" w:name="_Toc23313"/>
      <w:bookmarkStart w:id="2091" w:name="_Toc4652"/>
      <w:r>
        <w:rPr>
          <w:rFonts w:hint="default" w:ascii="Times New Roman" w:hAnsi="Times New Roman" w:eastAsia="仿宋_GB2312" w:cs="Times New Roman"/>
          <w:b w:val="0"/>
          <w:bCs w:val="0"/>
          <w:color w:val="auto"/>
          <w:sz w:val="32"/>
          <w:szCs w:val="32"/>
          <w:highlight w:val="none"/>
          <w:u w:val="none"/>
          <w:lang w:eastAsia="zh" w:bidi="ar"/>
          <w:woUserID w:val="0"/>
        </w:rPr>
        <w:t>第三节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纵深推进全国统一大市场建设</w:t>
      </w:r>
      <w:bookmarkEnd w:id="2083"/>
      <w:bookmarkEnd w:id="2084"/>
      <w:bookmarkEnd w:id="2085"/>
      <w:bookmarkEnd w:id="2086"/>
      <w:bookmarkEnd w:id="2087"/>
      <w:bookmarkEnd w:id="2088"/>
      <w:bookmarkEnd w:id="2089"/>
      <w:bookmarkEnd w:id="2090"/>
      <w:bookmarkEnd w:id="2091"/>
    </w:p>
    <w:p w14:paraId="566DE74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综合整治“内卷式”竞争，加强质量监管，执行行政裁量权基准制度，清理废除妨碍全国统一大市场和公平竞争的规定和做法。进一步规范</w:t>
      </w:r>
      <w:r>
        <w:rPr>
          <w:rFonts w:hint="default" w:ascii="Times New Roman" w:hAnsi="Times New Roman" w:eastAsia="仿宋_GB2312" w:cs="Times New Roman"/>
          <w:color w:val="auto"/>
          <w:sz w:val="32"/>
          <w:szCs w:val="32"/>
          <w:highlight w:val="none"/>
          <w:lang w:eastAsia="zh-CN"/>
        </w:rPr>
        <w:t>不正</w:t>
      </w:r>
      <w:r>
        <w:rPr>
          <w:rFonts w:hint="default" w:ascii="Times New Roman" w:hAnsi="Times New Roman" w:eastAsia="仿宋_GB2312" w:cs="Times New Roman"/>
          <w:color w:val="auto"/>
          <w:sz w:val="32"/>
          <w:szCs w:val="32"/>
          <w:highlight w:val="none"/>
          <w:lang w:eastAsia="zh"/>
        </w:rPr>
        <w:t>当市场竞争和市场干预行为，加大反垄断线索排查和反不正当竞争执法力度。全面推进市场监管法治建设，完善规范性文件动态清理机制，制定执法工作指引，发布典型案例。完善产权保护、市场准入、信息披露、社会信用、兼并重组、市场退出等制度，消除要素获取、资质认定、招标投标、政府采购等方面壁垒。开展公平竞争审查专项行动，围绕破除地方保护、市场分割等突出问题，加大对重点领域、特定行业政策措施的抽查力度。</w:t>
      </w:r>
    </w:p>
    <w:p w14:paraId="27CC2120">
      <w:pPr>
        <w:pStyle w:val="3"/>
        <w:keepNext/>
        <w:keepLines/>
        <w:pageBreakBefore w:val="0"/>
        <w:widowControl w:val="0"/>
        <w:kinsoku/>
        <w:wordWrap/>
        <w:overflowPunct/>
        <w:topLinePunct w:val="0"/>
        <w:autoSpaceDE/>
        <w:autoSpaceDN/>
        <w:bidi w:val="0"/>
        <w:adjustRightInd/>
        <w:spacing w:before="0" w:after="0" w:line="560" w:lineRule="exact"/>
        <w:ind w:firstLine="0" w:firstLineChars="0"/>
        <w:jc w:val="center"/>
        <w:textAlignment w:val="auto"/>
        <w:outlineLvl w:val="1"/>
        <w:rPr>
          <w:rFonts w:hint="default" w:ascii="Times New Roman" w:hAnsi="Times New Roman" w:eastAsia="楷体" w:cs="Times New Roman"/>
          <w:b w:val="0"/>
          <w:bCs/>
          <w:color w:val="auto"/>
          <w:sz w:val="32"/>
          <w:szCs w:val="32"/>
          <w:highlight w:val="none"/>
          <w14:ligatures w14:val="standardContextual"/>
        </w:rPr>
      </w:pPr>
      <w:bookmarkStart w:id="2092" w:name="_Toc13733"/>
      <w:bookmarkStart w:id="2093" w:name="_Toc22512"/>
      <w:bookmarkStart w:id="2094" w:name="_Toc496"/>
      <w:bookmarkStart w:id="2095" w:name="_Toc1065261970"/>
      <w:bookmarkStart w:id="2096" w:name="_Toc17809"/>
      <w:bookmarkStart w:id="2097" w:name="_Toc1335561641"/>
      <w:bookmarkStart w:id="2098" w:name="_Toc30860"/>
      <w:bookmarkStart w:id="2099" w:name="_Toc27177"/>
      <w:bookmarkStart w:id="2100" w:name="_Toc23390"/>
      <w:bookmarkStart w:id="2101" w:name="_Toc2186"/>
      <w:bookmarkStart w:id="2102" w:name="_Toc19754"/>
      <w:bookmarkStart w:id="2103" w:name="_Toc28319"/>
      <w:bookmarkStart w:id="2104" w:name="_Toc712"/>
      <w:bookmarkStart w:id="2105" w:name="_Toc11092"/>
      <w:r>
        <w:rPr>
          <w:rFonts w:hint="default" w:ascii="Times New Roman" w:hAnsi="Times New Roman" w:eastAsia="楷体" w:cs="Times New Roman"/>
          <w:b w:val="0"/>
          <w:bCs/>
          <w:color w:val="auto"/>
          <w:sz w:val="32"/>
          <w:szCs w:val="32"/>
          <w:highlight w:val="none"/>
          <w:lang w:eastAsia="zh"/>
          <w14:ligatures w14:val="standardContextual"/>
        </w:rPr>
        <w:t>第二章</w:t>
      </w:r>
      <w:r>
        <w:rPr>
          <w:rFonts w:hint="default" w:ascii="Times New Roman" w:hAnsi="Times New Roman" w:eastAsia="楷体" w:cs="Times New Roman"/>
          <w:b w:val="0"/>
          <w:bCs/>
          <w:color w:val="auto"/>
          <w:sz w:val="32"/>
          <w:szCs w:val="32"/>
          <w:highlight w:val="none"/>
          <w:lang w:eastAsia="zh-CN"/>
          <w14:ligatures w14:val="standardContextual"/>
        </w:rPr>
        <w:t xml:space="preserve"> </w:t>
      </w:r>
      <w:r>
        <w:rPr>
          <w:rFonts w:hint="default" w:ascii="Times New Roman" w:hAnsi="Times New Roman" w:eastAsia="楷体" w:cs="Times New Roman"/>
          <w:b w:val="0"/>
          <w:bCs/>
          <w:color w:val="auto"/>
          <w:sz w:val="32"/>
          <w:szCs w:val="32"/>
          <w:highlight w:val="none"/>
        </w:rPr>
        <w:t>扎实开展营商环境建设</w:t>
      </w:r>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p>
    <w:p w14:paraId="0D4E3CD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围绕建设市场化、法治化、国际化一流营商环境，聚焦体制机制改革和重点领域创新突破，着力破除制约发展的体制机制障碍，打造更具竞争力、更高效、更优质的营商环境。</w:t>
      </w:r>
    </w:p>
    <w:p w14:paraId="070F1F0E">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106" w:name="_Toc6739"/>
      <w:bookmarkStart w:id="2107" w:name="_Toc25231"/>
      <w:bookmarkStart w:id="2108" w:name="_Toc21673"/>
      <w:bookmarkStart w:id="2109" w:name="_Toc12778"/>
      <w:bookmarkStart w:id="2110" w:name="_Toc7479"/>
      <w:bookmarkStart w:id="2111" w:name="_Toc5236"/>
      <w:bookmarkStart w:id="2112" w:name="_Toc26297"/>
      <w:bookmarkStart w:id="2113" w:name="_Toc11119"/>
      <w:bookmarkStart w:id="2114" w:name="_Toc7008"/>
      <w:bookmarkStart w:id="2115" w:name="_Toc797985290"/>
      <w:bookmarkStart w:id="2116" w:name="_Toc999548198"/>
      <w:r>
        <w:rPr>
          <w:rFonts w:hint="default" w:ascii="Times New Roman" w:hAnsi="Times New Roman" w:eastAsia="仿宋_GB2312" w:cs="Times New Roman"/>
          <w:b w:val="0"/>
          <w:bCs w:val="0"/>
          <w:color w:val="auto"/>
          <w:sz w:val="32"/>
          <w:szCs w:val="32"/>
          <w:highlight w:val="none"/>
          <w:u w:val="none"/>
          <w:lang w:eastAsia="zh" w:bidi="ar"/>
          <w:woUserID w:val="0"/>
        </w:rPr>
        <w:t>第一节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构建公平自由市场秩序</w:t>
      </w:r>
      <w:bookmarkEnd w:id="2106"/>
      <w:bookmarkEnd w:id="2107"/>
      <w:bookmarkEnd w:id="2108"/>
      <w:bookmarkEnd w:id="2109"/>
      <w:bookmarkEnd w:id="2110"/>
      <w:bookmarkEnd w:id="2111"/>
      <w:bookmarkEnd w:id="2112"/>
      <w:bookmarkEnd w:id="2113"/>
      <w:bookmarkEnd w:id="2114"/>
      <w:bookmarkEnd w:id="2115"/>
      <w:bookmarkEnd w:id="2116"/>
    </w:p>
    <w:p w14:paraId="5C5C2BB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积极落实全国统一大市场建设要求，深入贯彻落实新版市场准入负面清单，进一步规范不当市场竞争和市场干预行为，坚决破除地方保护和市场分割，全面清理和整改违反市场准入制度要求的各类不合理规定和做法，促进商品、要素、资源在更大范围内畅通流动。通过深化数据共享、优化业务流程、强化部门协同，实现企业迁移登记与关联业务“一网通办、无感切换”。</w:t>
      </w:r>
    </w:p>
    <w:tbl>
      <w:tblPr>
        <w:tblStyle w:val="25"/>
        <w:tblW w:w="0" w:type="auto"/>
        <w:jc w:val="center"/>
        <w:tblLayout w:type="autofit"/>
        <w:tblCellMar>
          <w:top w:w="0" w:type="dxa"/>
          <w:left w:w="108" w:type="dxa"/>
          <w:bottom w:w="0" w:type="dxa"/>
          <w:right w:w="108" w:type="dxa"/>
        </w:tblCellMar>
      </w:tblPr>
      <w:tblGrid>
        <w:gridCol w:w="8296"/>
      </w:tblGrid>
      <w:tr w14:paraId="40360E06">
        <w:trPr>
          <w:jc w:val="center"/>
        </w:trPr>
        <w:tc>
          <w:tcPr>
            <w:tcW w:w="8296" w:type="dxa"/>
            <w:tcBorders>
              <w:top w:val="single" w:color="auto" w:sz="4" w:space="0"/>
              <w:left w:val="single" w:color="auto" w:sz="4" w:space="0"/>
              <w:bottom w:val="single" w:color="auto" w:sz="4" w:space="0"/>
              <w:right w:val="single" w:color="auto" w:sz="4" w:space="0"/>
            </w:tcBorders>
          </w:tcPr>
          <w:p w14:paraId="1B7B3F31">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专栏10-1 全国统一大市场建设重点任务</w:t>
            </w:r>
          </w:p>
        </w:tc>
      </w:tr>
      <w:tr w14:paraId="28FDE591">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7AE53C89">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打造统一大市场良性发展，持续优化县域营商环境</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强化“放管服”改革、政府职能优化和公平竞争市场营造，建设更高水平的市场化、法治化、国际化营商环境。</w:t>
            </w:r>
          </w:p>
          <w:p w14:paraId="51C9A1B9">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畅通市场主体诉求表达渠道，高效破解市场准入领域的突出问题</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升级热线投诉联动体系，优化12345政务服务热线与市场准入壁垒投诉的“双线受理”机制，缩短投诉响应时间，提升办结满意度。</w:t>
            </w:r>
          </w:p>
          <w:p w14:paraId="727B409B">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坚决破除市场准入中的各类隐性壁垒，切实维护公平竞争的市场环境</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强化跨部门联合督查，重点核查行业准入、资质许可等领域隐性壁垒，推动形成“案例警示—制度完善—监管强化”的长效治理模式。</w:t>
            </w:r>
          </w:p>
          <w:p w14:paraId="089D38A8">
            <w:pPr>
              <w:spacing w:line="360" w:lineRule="exact"/>
              <w:ind w:firstLine="420" w:firstLineChars="200"/>
              <w:rPr>
                <w:rFonts w:hint="default" w:ascii="Times New Roman" w:hAnsi="Times New Roman" w:eastAsia="仿宋"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优化民营企业服务保障，助推县域经济社会高质量发展</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坚持“非禁即入”，落实市场准入负面清单，放开对民营经济不合理的市场准入限制，为民营经济进入相关领域创造条件。实施民营企业梯度成长培育计划，建立健全高企培育库，加大对中小企业的支持力度。</w:t>
            </w:r>
          </w:p>
        </w:tc>
      </w:tr>
    </w:tbl>
    <w:p w14:paraId="495E3C78">
      <w:pPr>
        <w:keepNext w:val="0"/>
        <w:keepLines w:val="0"/>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117" w:name="_Toc17028"/>
      <w:bookmarkStart w:id="2118" w:name="_Toc25220"/>
      <w:bookmarkStart w:id="2119" w:name="_Toc5401"/>
      <w:bookmarkStart w:id="2120" w:name="_Toc1100752281"/>
      <w:bookmarkStart w:id="2121" w:name="_Toc19371"/>
      <w:bookmarkStart w:id="2122" w:name="_Toc1980477215"/>
      <w:bookmarkStart w:id="2123" w:name="_Toc12179"/>
      <w:bookmarkStart w:id="2124" w:name="_Toc31600"/>
      <w:bookmarkStart w:id="2125" w:name="_Toc27710"/>
      <w:bookmarkStart w:id="2126" w:name="_Toc28494"/>
      <w:bookmarkStart w:id="2127" w:name="_Toc32745"/>
      <w:r>
        <w:rPr>
          <w:rFonts w:hint="default" w:ascii="Times New Roman" w:hAnsi="Times New Roman" w:eastAsia="仿宋_GB2312" w:cs="Times New Roman"/>
          <w:b w:val="0"/>
          <w:bCs w:val="0"/>
          <w:color w:val="auto"/>
          <w:sz w:val="32"/>
          <w:szCs w:val="32"/>
          <w:highlight w:val="none"/>
          <w:u w:val="none"/>
          <w:lang w:eastAsia="zh" w:bidi="ar"/>
          <w:woUserID w:val="0"/>
        </w:rPr>
        <w:t>第二节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持续提升政务服务效能</w:t>
      </w:r>
      <w:bookmarkEnd w:id="2117"/>
      <w:bookmarkEnd w:id="2118"/>
      <w:bookmarkEnd w:id="2119"/>
      <w:bookmarkEnd w:id="2120"/>
      <w:bookmarkEnd w:id="2121"/>
      <w:bookmarkEnd w:id="2122"/>
      <w:bookmarkEnd w:id="2123"/>
      <w:bookmarkEnd w:id="2124"/>
      <w:bookmarkEnd w:id="2125"/>
      <w:bookmarkEnd w:id="2126"/>
      <w:bookmarkEnd w:id="2127"/>
    </w:p>
    <w:p w14:paraId="3C72B73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建立健全“最多跑一次”清单制度，确保更多政务服务事项实现“一次办结”，提升企业和群众的满意度和获得感。加强对已出台政策措施的落实评估，及时解决政策执行中的问题和困难，确保政策红利充分释放。强化政务诚信体系建设，建立健全政务诚信评价机制，打造诚信政府形象。加大对失信行为的惩戒力度，对在政务服务中弄虚作假、推诿扯皮等行为进行严肃处理，形成有效的震慑和警示作用。加快转变政府职能，创新政府管理和服务方式。推进线下办事“只进一门”、线上办事“一网通办”、企业和群众诉求“一线应答”。推进关联事项集成办、容缺事项承诺办、异地事项跨域办、政策服务免申办。依托全国一体化政务服务平台，着力提升政务数据共享实效，持续加强新技术全流程应用。推动扩面增效，增强帮办代办能力，丰富公共服务供给，拓展增值服务内容。健全政务服务标准体系和工作体系，强化政务服务制度供给。开展数字专员培养计划，完成数字专员候选人的选拔与初步培训，重点开展数字技术基础、人工智能高级应用等培训。</w:t>
      </w:r>
    </w:p>
    <w:tbl>
      <w:tblPr>
        <w:tblStyle w:val="25"/>
        <w:tblW w:w="0" w:type="auto"/>
        <w:jc w:val="center"/>
        <w:tblLayout w:type="autofit"/>
        <w:tblCellMar>
          <w:top w:w="0" w:type="dxa"/>
          <w:left w:w="108" w:type="dxa"/>
          <w:bottom w:w="0" w:type="dxa"/>
          <w:right w:w="108" w:type="dxa"/>
        </w:tblCellMar>
      </w:tblPr>
      <w:tblGrid>
        <w:gridCol w:w="8296"/>
      </w:tblGrid>
      <w:tr w14:paraId="0D9134BE">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4149DF9D">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专栏10-2人工智能模型本地部署专项行动</w:t>
            </w:r>
          </w:p>
        </w:tc>
      </w:tr>
      <w:tr w14:paraId="534C6A09">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4C850A00">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人工智能培训学习专项行动</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文旅、卫健等局机关全体人员完成人工智能等大模型在政务工作中的使用培训。计划县域全体干部职工在日常办公中熟练运用至少一种AI工具辅助工作，提升工作效率。</w:t>
            </w:r>
          </w:p>
          <w:p w14:paraId="05DB1CF6">
            <w:pPr>
              <w:spacing w:line="360" w:lineRule="exact"/>
              <w:ind w:firstLine="420" w:firstLineChars="200"/>
              <w:rPr>
                <w:rFonts w:hint="default" w:ascii="Times New Roman" w:hAnsi="Times New Roman" w:eastAsia="仿宋"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“AI+公文写作”专项行动</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引入人工智能服务器，部署商务领域人工智能软件，具备公文起草、核验与纠错、招商线索抓取、产业链分析、差异化竞争优势分析、合同合法审查、政策学习等功能，充分运用人工智能，为商贸流通、对外贸易、招商引资等工作贡献力量。</w:t>
            </w:r>
          </w:p>
        </w:tc>
      </w:tr>
    </w:tbl>
    <w:p w14:paraId="6319CE44">
      <w:pPr>
        <w:keepNext w:val="0"/>
        <w:keepLines w:val="0"/>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128" w:name="_Toc4896"/>
      <w:bookmarkStart w:id="2129" w:name="_Toc992"/>
      <w:bookmarkStart w:id="2130" w:name="_Toc19695"/>
      <w:bookmarkStart w:id="2131" w:name="_Toc27746"/>
      <w:bookmarkStart w:id="2132" w:name="_Toc6193"/>
      <w:bookmarkStart w:id="2133" w:name="_Toc22695"/>
      <w:bookmarkStart w:id="2134" w:name="_Toc449754810"/>
      <w:bookmarkStart w:id="2135" w:name="_Toc11704"/>
      <w:bookmarkStart w:id="2136" w:name="_Toc25892"/>
      <w:bookmarkStart w:id="2137" w:name="_Toc590732715"/>
      <w:bookmarkStart w:id="2138" w:name="_Toc25570"/>
      <w:r>
        <w:rPr>
          <w:rFonts w:hint="default" w:ascii="Times New Roman" w:hAnsi="Times New Roman" w:eastAsia="仿宋_GB2312" w:cs="Times New Roman"/>
          <w:b w:val="0"/>
          <w:bCs w:val="0"/>
          <w:color w:val="auto"/>
          <w:sz w:val="32"/>
          <w:szCs w:val="32"/>
          <w:highlight w:val="none"/>
          <w:u w:val="none"/>
          <w:lang w:eastAsia="zh" w:bidi="ar"/>
          <w:woUserID w:val="0"/>
        </w:rPr>
        <w:t>第三节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加快完善精进助企服务</w:t>
      </w:r>
      <w:bookmarkEnd w:id="2128"/>
      <w:bookmarkEnd w:id="2129"/>
      <w:bookmarkEnd w:id="2130"/>
      <w:bookmarkEnd w:id="2131"/>
      <w:bookmarkEnd w:id="2132"/>
      <w:bookmarkEnd w:id="2133"/>
      <w:bookmarkEnd w:id="2134"/>
      <w:bookmarkEnd w:id="2135"/>
      <w:bookmarkEnd w:id="2136"/>
      <w:bookmarkEnd w:id="2137"/>
      <w:bookmarkEnd w:id="2138"/>
    </w:p>
    <w:p w14:paraId="1E893CC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依托黑龙江省惠企服务平台，推进更多事项免申即享、直达快享，加快建成企业服务中心，为企业提供政策法律咨询、问题收集、综合协调、跟踪办理等全方位、全周期一站式服务。持续聚焦企业需求，不断优化“水电气网”联办服务模式。开展规范涉企执法专项行动，扎实推进拖欠企业账款清理行动，抓实领导干部包联服务企业。围绕就业创业、项目投资、交通物流等方面，拓展“高效办成一件事”集成服务。聚焦农产品加工、农机装备、文化旅游等特色优势产业发展需求，为企业提供精准化、个性化的优质衍生服务。推进政务服务事项“应进必进、应上尽上”，建立县乡村三级政务服务事项清单，实现政务服务事项同要素管理、同标准办理、无差别受理。常态化开展走访入企、政企会商等品牌服务，推动政企沟通便捷高效、纾困解难精准务实。开通惠企绿色法律通道，创新法律服务助企模式，为企业提供一站式法律咨询和援助服务。建立“信用+”应用场景，对守信企业给予更多政策支持和便利服务，对失信企业实施联合惩戒，形成有效的信用约束和激励机制，构建以信用为基础的新型监管体系。</w:t>
      </w:r>
    </w:p>
    <w:tbl>
      <w:tblPr>
        <w:tblStyle w:val="25"/>
        <w:tblW w:w="0" w:type="auto"/>
        <w:jc w:val="center"/>
        <w:tblLayout w:type="autofit"/>
        <w:tblCellMar>
          <w:top w:w="0" w:type="dxa"/>
          <w:left w:w="108" w:type="dxa"/>
          <w:bottom w:w="0" w:type="dxa"/>
          <w:right w:w="108" w:type="dxa"/>
        </w:tblCellMar>
      </w:tblPr>
      <w:tblGrid>
        <w:gridCol w:w="8296"/>
      </w:tblGrid>
      <w:tr w14:paraId="7EA814F5">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18B82993">
            <w:pPr>
              <w:spacing w:line="360" w:lineRule="exact"/>
              <w:jc w:val="center"/>
              <w:rPr>
                <w:rFonts w:hint="default" w:ascii="Times New Roman" w:hAnsi="Times New Roman" w:eastAsia="楷体_GB2312" w:cs="Times New Roman"/>
                <w:b w:val="0"/>
                <w:bCs w:val="0"/>
                <w:color w:val="auto"/>
                <w:szCs w:val="21"/>
                <w:highlight w:val="none"/>
                <w:lang w:eastAsia="zh"/>
              </w:rPr>
            </w:pPr>
            <w:r>
              <w:rPr>
                <w:rFonts w:hint="default" w:ascii="Times New Roman" w:hAnsi="Times New Roman" w:eastAsia="楷体_GB2312" w:cs="Times New Roman"/>
                <w:b w:val="0"/>
                <w:bCs w:val="0"/>
                <w:color w:val="auto"/>
                <w:sz w:val="24"/>
                <w:highlight w:val="none"/>
                <w14:ligatures w14:val="standardContextual"/>
              </w:rPr>
              <w:t>专栏10-3 持续优化服务环境</w:t>
            </w:r>
            <w:r>
              <w:rPr>
                <w:rFonts w:hint="default" w:ascii="Times New Roman" w:hAnsi="Times New Roman" w:eastAsia="楷体_GB2312" w:cs="Times New Roman"/>
                <w:b w:val="0"/>
                <w:bCs w:val="0"/>
                <w:color w:val="auto"/>
                <w:sz w:val="24"/>
                <w:highlight w:val="none"/>
                <w:lang w:eastAsia="zh"/>
                <w14:ligatures w14:val="standardContextual"/>
              </w:rPr>
              <w:t>专项行动</w:t>
            </w:r>
          </w:p>
        </w:tc>
      </w:tr>
      <w:tr w14:paraId="6FEFCB28">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5C9D3633">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政务服务标准化数字化建设专项行动。按照“五级六十同”的原则，动态维护政务服务事项，严格规范事项类型、受理标准、办理流程等各项要素。深化“一网通办”改革，推动更多政务服务事项“应上必上”，实现高频事项“指尖”办理、纸质材料“免提交”，进一步提升在线办理深度和办事体验。</w:t>
            </w:r>
          </w:p>
          <w:p w14:paraId="2A584FDC">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办好“高效办成一件事”专项行动。做好对已承接“一件事”的深化落实工作，承接好新一轮国家、省、市“一件事”，按照省“七个一”规定（“一次申请、一窗网受理、一链办理、一窗网出件、一次办好、一体监督、一键评价”），持续优化政务服务流程，加强跨部门协同合作。常态化开展大厅综合窗口受理人员与12345政务服务热线受理员培训，不定期对工作人员“高效办成一件事”业务能力抽查检查，持续提高咨询、导办、帮办、投诉服务等综合能力，大力提升行政效能。</w:t>
            </w:r>
          </w:p>
          <w:p w14:paraId="64346479">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深化“互联网+政务服务”建设专项行动</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推动政务服务线上线下深度融合，打造“一站式”综合服务平台，实现政务服务事项“一网通办、全城通办”，让数据多跑路、群众少跑腿。推进审批事项全程电子化、智能化管理，提升行政效能。</w:t>
            </w:r>
          </w:p>
          <w:p w14:paraId="010A39AA">
            <w:pPr>
              <w:spacing w:line="360" w:lineRule="exact"/>
              <w:ind w:firstLine="420" w:firstLineChars="200"/>
              <w:rPr>
                <w:rFonts w:hint="default" w:ascii="Times New Roman" w:hAnsi="Times New Roman" w:eastAsia="仿宋"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加强企业信用监管</w:t>
            </w:r>
            <w:r>
              <w:rPr>
                <w:rFonts w:hint="default" w:ascii="Times New Roman" w:hAnsi="Times New Roman" w:eastAsia="仿宋_GB2312" w:cs="Times New Roman"/>
                <w:b w:val="0"/>
                <w:bCs w:val="0"/>
                <w:color w:val="auto"/>
                <w:szCs w:val="21"/>
                <w:highlight w:val="none"/>
                <w:lang w:eastAsia="zh-CN"/>
              </w:rPr>
              <w:t>建设专项行动。</w:t>
            </w:r>
            <w:r>
              <w:rPr>
                <w:rFonts w:hint="default" w:ascii="Times New Roman" w:hAnsi="Times New Roman" w:eastAsia="仿宋_GB2312" w:cs="Times New Roman"/>
                <w:b w:val="0"/>
                <w:bCs w:val="0"/>
                <w:color w:val="auto"/>
                <w:szCs w:val="21"/>
                <w:highlight w:val="none"/>
              </w:rPr>
              <w:t>实现各部门间信用信息的互联互通和共享共用。建立健全信用修复机制，鼓励失信企业主动纠错、自我修复，重塑良好信用形象。加大对监管人员的培训和管理，提高他们的监管能力和执法水平，确保监管工作公正、公平、公开</w:t>
            </w:r>
            <w:r>
              <w:rPr>
                <w:rFonts w:hint="default" w:ascii="Times New Roman" w:hAnsi="Times New Roman" w:eastAsia="仿宋" w:cs="Times New Roman"/>
                <w:b w:val="0"/>
                <w:bCs w:val="0"/>
                <w:color w:val="auto"/>
                <w:szCs w:val="21"/>
                <w:highlight w:val="none"/>
              </w:rPr>
              <w:t>。</w:t>
            </w:r>
          </w:p>
        </w:tc>
      </w:tr>
    </w:tbl>
    <w:p w14:paraId="2E14AD2C">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139" w:name="_Toc17194"/>
      <w:bookmarkStart w:id="2140" w:name="_Toc24349"/>
      <w:bookmarkStart w:id="2141" w:name="_Toc30840"/>
      <w:bookmarkStart w:id="2142" w:name="_Toc18923"/>
      <w:bookmarkStart w:id="2143" w:name="_Toc18368"/>
      <w:bookmarkStart w:id="2144" w:name="_Toc28928"/>
      <w:bookmarkStart w:id="2145" w:name="_Toc10728"/>
      <w:bookmarkStart w:id="2146" w:name="_Toc17841"/>
      <w:bookmarkStart w:id="2147" w:name="_Toc24426"/>
      <w:r>
        <w:rPr>
          <w:rFonts w:hint="default" w:ascii="Times New Roman" w:hAnsi="Times New Roman" w:eastAsia="仿宋_GB2312" w:cs="Times New Roman"/>
          <w:b w:val="0"/>
          <w:bCs w:val="0"/>
          <w:color w:val="auto"/>
          <w:sz w:val="32"/>
          <w:szCs w:val="32"/>
          <w:highlight w:val="none"/>
          <w:u w:val="none"/>
          <w:lang w:eastAsia="zh" w:bidi="ar"/>
          <w:woUserID w:val="0"/>
        </w:rPr>
        <w:t>第四节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深入实施信用</w:t>
      </w:r>
      <w:r>
        <w:rPr>
          <w:rFonts w:hint="default" w:ascii="Times New Roman" w:hAnsi="Times New Roman" w:eastAsia="仿宋_GB2312" w:cs="Times New Roman"/>
          <w:b w:val="0"/>
          <w:bCs w:val="0"/>
          <w:color w:val="auto"/>
          <w:sz w:val="32"/>
          <w:szCs w:val="32"/>
          <w:highlight w:val="none"/>
          <w:u w:val="none"/>
          <w:lang w:val="en-US" w:eastAsia="zh-CN" w:bidi="ar"/>
          <w:woUserID w:val="0"/>
        </w:rPr>
        <w:t>桦川</w:t>
      </w:r>
      <w:r>
        <w:rPr>
          <w:rFonts w:hint="default" w:ascii="Times New Roman" w:hAnsi="Times New Roman" w:eastAsia="仿宋_GB2312" w:cs="Times New Roman"/>
          <w:b w:val="0"/>
          <w:bCs w:val="0"/>
          <w:color w:val="auto"/>
          <w:sz w:val="32"/>
          <w:szCs w:val="32"/>
          <w:highlight w:val="none"/>
          <w:u w:val="none"/>
          <w:lang w:eastAsia="zh" w:bidi="ar"/>
          <w:woUserID w:val="0"/>
        </w:rPr>
        <w:t>建设</w:t>
      </w:r>
      <w:bookmarkEnd w:id="2139"/>
      <w:bookmarkEnd w:id="2140"/>
      <w:bookmarkEnd w:id="2141"/>
      <w:bookmarkEnd w:id="2142"/>
      <w:bookmarkEnd w:id="2143"/>
      <w:bookmarkEnd w:id="2144"/>
      <w:bookmarkEnd w:id="2145"/>
      <w:bookmarkEnd w:id="2146"/>
      <w:bookmarkEnd w:id="2147"/>
    </w:p>
    <w:p w14:paraId="1ED950F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bookmarkStart w:id="2148" w:name="_Toc28171"/>
      <w:r>
        <w:rPr>
          <w:rFonts w:hint="default" w:ascii="Times New Roman" w:hAnsi="Times New Roman" w:eastAsia="仿宋_GB2312" w:cs="Times New Roman"/>
          <w:b w:val="0"/>
          <w:bCs w:val="0"/>
          <w:color w:val="auto"/>
          <w:sz w:val="32"/>
          <w:szCs w:val="32"/>
          <w:highlight w:val="none"/>
          <w:lang w:eastAsia="zh"/>
        </w:rPr>
        <w:t>持续健全政府诚信履约机制，全面落实全省政府机关和事业单位政务信用记录制度，依法依规拓展政务信用信息归集范围，探索建立公职人员信用档案。完善守信激励和失信惩戒机制，不断拓展信用惠企利民场景，依法依规开展失信惩戒，落实统一的信用修复制度。深化信用区域化合作，实现信用服务跨区域共建、共享、共用。完善以信用为基础的监管和治理机制，持续实施行业领域信用分级分类监管。推动信用报告在行政审批、政府采购、资质审核等公共管理领域广泛使用，持续推进专项信用报告替代有无违法违规记录证明，不断提升“信用代证”服务质效。大力弘扬诚信文化，加强诚信宣传教育，推动形成守信践诺的良好社会风尚。</w:t>
      </w:r>
      <w:bookmarkEnd w:id="2148"/>
    </w:p>
    <w:p w14:paraId="2C8B4FE6">
      <w:pPr>
        <w:pStyle w:val="3"/>
        <w:keepNext/>
        <w:keepLines/>
        <w:pageBreakBefore w:val="0"/>
        <w:widowControl w:val="0"/>
        <w:kinsoku/>
        <w:wordWrap/>
        <w:overflowPunct/>
        <w:topLinePunct w:val="0"/>
        <w:autoSpaceDE/>
        <w:autoSpaceDN/>
        <w:bidi w:val="0"/>
        <w:adjustRightInd/>
        <w:spacing w:before="0" w:after="0" w:line="560" w:lineRule="exact"/>
        <w:ind w:firstLine="0" w:firstLineChars="0"/>
        <w:jc w:val="center"/>
        <w:textAlignment w:val="auto"/>
        <w:outlineLvl w:val="1"/>
        <w:rPr>
          <w:rFonts w:hint="default" w:ascii="Times New Roman" w:hAnsi="Times New Roman" w:eastAsia="楷体" w:cs="Times New Roman"/>
          <w:b w:val="0"/>
          <w:bCs w:val="0"/>
          <w:color w:val="auto"/>
          <w:sz w:val="32"/>
          <w:szCs w:val="32"/>
          <w:highlight w:val="none"/>
          <w14:ligatures w14:val="standardContextual"/>
        </w:rPr>
      </w:pPr>
      <w:bookmarkStart w:id="2149" w:name="_Toc32112"/>
      <w:bookmarkStart w:id="2150" w:name="_Toc7890"/>
      <w:bookmarkStart w:id="2151" w:name="_Toc732879942"/>
      <w:bookmarkStart w:id="2152" w:name="_Toc27324"/>
      <w:bookmarkStart w:id="2153" w:name="_Toc2749"/>
      <w:bookmarkStart w:id="2154" w:name="_Toc16309"/>
      <w:bookmarkStart w:id="2155" w:name="_Toc14504"/>
      <w:bookmarkStart w:id="2156" w:name="_Toc1625540982"/>
      <w:bookmarkStart w:id="2157" w:name="_Toc1670"/>
      <w:bookmarkStart w:id="2158" w:name="_Toc7709"/>
      <w:bookmarkStart w:id="2159" w:name="_Toc8184"/>
      <w:bookmarkStart w:id="2160" w:name="_Toc21223"/>
      <w:bookmarkStart w:id="2161" w:name="_Toc23302"/>
      <w:bookmarkStart w:id="2162" w:name="_Toc9826"/>
      <w:r>
        <w:rPr>
          <w:rFonts w:hint="default" w:ascii="Times New Roman" w:hAnsi="Times New Roman" w:eastAsia="楷体" w:cs="Times New Roman"/>
          <w:b w:val="0"/>
          <w:bCs w:val="0"/>
          <w:color w:val="auto"/>
          <w:sz w:val="32"/>
          <w:szCs w:val="32"/>
          <w:highlight w:val="none"/>
          <w:lang w:eastAsia="zh"/>
          <w14:ligatures w14:val="standardContextual"/>
        </w:rPr>
        <w:t>第三章</w:t>
      </w:r>
      <w:r>
        <w:rPr>
          <w:rFonts w:hint="default" w:ascii="Times New Roman" w:hAnsi="Times New Roman" w:eastAsia="楷体" w:cs="Times New Roman"/>
          <w:b w:val="0"/>
          <w:bCs w:val="0"/>
          <w:color w:val="auto"/>
          <w:sz w:val="32"/>
          <w:szCs w:val="32"/>
          <w:highlight w:val="none"/>
          <w:lang w:eastAsia="zh-CN"/>
          <w14:ligatures w14:val="standardContextual"/>
        </w:rPr>
        <w:t xml:space="preserve"> </w:t>
      </w:r>
      <w:r>
        <w:rPr>
          <w:rFonts w:hint="default" w:ascii="Times New Roman" w:hAnsi="Times New Roman" w:eastAsia="楷体" w:cs="Times New Roman"/>
          <w:b w:val="0"/>
          <w:bCs w:val="0"/>
          <w:color w:val="auto"/>
          <w:sz w:val="32"/>
          <w:szCs w:val="32"/>
          <w:highlight w:val="none"/>
          <w14:ligatures w14:val="standardContextual"/>
        </w:rPr>
        <w:t>推动重点领域改革</w:t>
      </w:r>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p>
    <w:p w14:paraId="4A68EE2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bidi="ar"/>
        </w:rPr>
      </w:pPr>
      <w:r>
        <w:rPr>
          <w:rFonts w:hint="default" w:ascii="Times New Roman" w:hAnsi="Times New Roman" w:eastAsia="仿宋_GB2312" w:cs="Times New Roman"/>
          <w:b w:val="0"/>
          <w:bCs w:val="0"/>
          <w:color w:val="auto"/>
          <w:sz w:val="32"/>
          <w:szCs w:val="32"/>
          <w:highlight w:val="none"/>
          <w:lang w:eastAsia="zh"/>
        </w:rPr>
        <w:t>围绕财政、金融、要素、开发区、农业农村等重点领域，进一步优化政府与市场的关系，提高政府自身效能，更多激发社会积极性和创造力。</w:t>
      </w:r>
    </w:p>
    <w:p w14:paraId="62DDA544">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163" w:name="_Toc24864"/>
      <w:bookmarkStart w:id="2164" w:name="_Toc18017"/>
      <w:bookmarkStart w:id="2165" w:name="_Toc24376"/>
      <w:bookmarkStart w:id="2166" w:name="_Toc27834"/>
      <w:bookmarkStart w:id="2167" w:name="_Toc29445"/>
      <w:bookmarkStart w:id="2168" w:name="_Toc305"/>
      <w:bookmarkStart w:id="2169" w:name="_Toc21709"/>
      <w:bookmarkStart w:id="2170" w:name="_Toc27643"/>
      <w:bookmarkStart w:id="2171" w:name="_Toc10457"/>
      <w:r>
        <w:rPr>
          <w:rFonts w:hint="default" w:ascii="Times New Roman" w:hAnsi="Times New Roman" w:eastAsia="仿宋_GB2312" w:cs="Times New Roman"/>
          <w:b w:val="0"/>
          <w:bCs w:val="0"/>
          <w:color w:val="auto"/>
          <w:sz w:val="32"/>
          <w:szCs w:val="32"/>
          <w:highlight w:val="none"/>
          <w:u w:val="none"/>
          <w:lang w:eastAsia="zh" w:bidi="ar"/>
          <w:woUserID w:val="0"/>
        </w:rPr>
        <w:t>第一节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推进公共事业价格改革</w:t>
      </w:r>
      <w:bookmarkEnd w:id="2163"/>
      <w:bookmarkEnd w:id="2164"/>
      <w:bookmarkEnd w:id="2165"/>
      <w:bookmarkEnd w:id="2166"/>
      <w:bookmarkEnd w:id="2167"/>
      <w:bookmarkEnd w:id="2168"/>
      <w:bookmarkEnd w:id="2169"/>
      <w:bookmarkEnd w:id="2170"/>
      <w:bookmarkEnd w:id="2171"/>
    </w:p>
    <w:p w14:paraId="24360E6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围绕水、电、气、暖及公共服务等方面，健全优化价格调控监管机制，完善公共服务收费政策。综合评估成本变化、质量安全等因素，强化企业成本约束和收益监管，充分考虑群众承受能力，健全公用事业价格动态调整机制。重点优化居民阶梯水价、电价、气价制度，推进非居民用水超定额累进加价、垃圾处理计量收费，优化污水处理收费政策。鼓励供需双方按照市场化原则协商确定水利工程供水价格，积极推进新建水利工程提前明确量价条件。加快完善电网代理购电制度，推动更多工商业用户直接参与市场交易，争取开展绿电直连试点。强化公办养老、托育、医疗机构基本服务收费政府指导价管理，规范指导民办普惠性养老、托育机构基本服务收费。深化城镇供热价格改革，加快推进供热计量改造，有序推行供热计量收费。</w:t>
      </w:r>
    </w:p>
    <w:p w14:paraId="41E87A6B">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172" w:name="_Toc16484"/>
      <w:bookmarkStart w:id="2173" w:name="_Toc815525129"/>
      <w:bookmarkStart w:id="2174" w:name="_Toc13501"/>
      <w:bookmarkStart w:id="2175" w:name="_Toc23142"/>
      <w:bookmarkStart w:id="2176" w:name="_Toc18121"/>
      <w:bookmarkStart w:id="2177" w:name="_Toc788502464"/>
      <w:bookmarkStart w:id="2178" w:name="_Toc27579"/>
      <w:bookmarkStart w:id="2179" w:name="_Toc23885"/>
      <w:bookmarkStart w:id="2180" w:name="_Toc8190"/>
      <w:bookmarkStart w:id="2181" w:name="_Toc1914"/>
      <w:bookmarkStart w:id="2182" w:name="_Toc21073"/>
      <w:r>
        <w:rPr>
          <w:rFonts w:hint="default" w:ascii="Times New Roman" w:hAnsi="Times New Roman" w:eastAsia="仿宋_GB2312" w:cs="Times New Roman"/>
          <w:b w:val="0"/>
          <w:bCs w:val="0"/>
          <w:color w:val="auto"/>
          <w:sz w:val="32"/>
          <w:szCs w:val="32"/>
          <w:highlight w:val="none"/>
          <w:u w:val="none"/>
          <w:lang w:eastAsia="zh" w:bidi="ar"/>
          <w:woUserID w:val="0"/>
        </w:rPr>
        <w:t>第二节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推动</w:t>
      </w:r>
      <w:commentRangeStart w:id="28"/>
      <w:r>
        <w:rPr>
          <w:rFonts w:hint="default" w:ascii="Times New Roman" w:hAnsi="Times New Roman" w:eastAsia="仿宋_GB2312" w:cs="Times New Roman"/>
          <w:b w:val="0"/>
          <w:bCs w:val="0"/>
          <w:color w:val="auto"/>
          <w:sz w:val="32"/>
          <w:szCs w:val="32"/>
          <w:highlight w:val="none"/>
          <w:u w:val="none"/>
          <w:lang w:eastAsia="zh" w:bidi="ar"/>
          <w:woUserID w:val="0"/>
        </w:rPr>
        <w:t>财政体制改革</w:t>
      </w:r>
      <w:commentRangeEnd w:id="28"/>
      <w:r>
        <w:rPr>
          <w:rFonts w:hint="default" w:ascii="Times New Roman" w:hAnsi="Times New Roman" w:eastAsia="仿宋_GB2312" w:cs="Times New Roman"/>
          <w:b w:val="0"/>
          <w:bCs w:val="0"/>
          <w:color w:val="auto"/>
          <w:sz w:val="32"/>
          <w:szCs w:val="32"/>
          <w:highlight w:val="none"/>
          <w:u w:val="none"/>
          <w:lang w:eastAsia="zh" w:bidi="ar"/>
          <w:woUserID w:val="0"/>
        </w:rPr>
        <w:commentReference w:id="28"/>
      </w:r>
      <w:bookmarkEnd w:id="2172"/>
      <w:bookmarkEnd w:id="2173"/>
      <w:bookmarkEnd w:id="2174"/>
      <w:bookmarkEnd w:id="2175"/>
      <w:bookmarkEnd w:id="2176"/>
      <w:bookmarkEnd w:id="2177"/>
      <w:bookmarkEnd w:id="2178"/>
      <w:bookmarkEnd w:id="2179"/>
      <w:bookmarkEnd w:id="2180"/>
      <w:bookmarkEnd w:id="2181"/>
      <w:bookmarkEnd w:id="2182"/>
    </w:p>
    <w:p w14:paraId="0127091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加强财政资源和预算统筹，深化零基预算改革，完善财政可承受能力评估机制，强化重大战略任务和基本民生财力保障，建立大事要事保障清单管理制度，提高财政资金使用效益。完善地方政府债务机制，加强法定债务、隐性债务和棚改专项债务管理，深入落实全口径地方债务监测监管制度，坚决遏制违法违规举债行为，严防新增隐性债务，合理控制法定限额内政府债务规模，实行专项债券项目穿透式监测，进一步优化专项债券“借、用、管</w:t>
      </w:r>
      <w:r>
        <w:rPr>
          <w:rFonts w:hint="default" w:ascii="Times New Roman" w:hAnsi="Times New Roman" w:eastAsia="仿宋_GB2312" w:cs="Times New Roman"/>
          <w:b w:val="0"/>
          <w:bCs w:val="0"/>
          <w:color w:val="auto"/>
          <w:sz w:val="32"/>
          <w:szCs w:val="32"/>
          <w:highlight w:val="none"/>
          <w:lang w:eastAsia="zh-CN"/>
        </w:rPr>
        <w:t>，还</w:t>
      </w:r>
      <w:r>
        <w:rPr>
          <w:rFonts w:hint="default" w:ascii="Times New Roman" w:hAnsi="Times New Roman" w:eastAsia="仿宋_GB2312" w:cs="Times New Roman"/>
          <w:b w:val="0"/>
          <w:bCs w:val="0"/>
          <w:color w:val="auto"/>
          <w:sz w:val="32"/>
          <w:szCs w:val="32"/>
          <w:highlight w:val="none"/>
          <w:lang w:eastAsia="zh"/>
        </w:rPr>
        <w:t>”全生命周期管理，加快构建同高质量发展相适应的政府债务管理长效机制，确保不发生系统性债务风险。优化财政收入结构，提升财政支出效能，积极化解地方债务风险。培育可持续税源体系，优化税收征管机制，规范管理非税收入，全力构建更加科学合理的财政收入结构。</w:t>
      </w:r>
    </w:p>
    <w:p w14:paraId="76E724BE">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183" w:name="_Toc361815257"/>
      <w:bookmarkStart w:id="2184" w:name="_Toc1101"/>
      <w:bookmarkStart w:id="2185" w:name="_Toc25884"/>
      <w:bookmarkStart w:id="2186" w:name="_Toc12524"/>
      <w:bookmarkStart w:id="2187" w:name="_Toc1262355005"/>
      <w:bookmarkStart w:id="2188" w:name="_Toc31046"/>
      <w:bookmarkStart w:id="2189" w:name="_Toc12113"/>
      <w:bookmarkStart w:id="2190" w:name="_Toc9098"/>
      <w:bookmarkStart w:id="2191" w:name="_Toc5160"/>
      <w:bookmarkStart w:id="2192" w:name="_Toc11785"/>
      <w:bookmarkStart w:id="2193" w:name="_Toc1443"/>
      <w:r>
        <w:rPr>
          <w:rFonts w:hint="default" w:ascii="Times New Roman" w:hAnsi="Times New Roman" w:eastAsia="仿宋_GB2312" w:cs="Times New Roman"/>
          <w:b w:val="0"/>
          <w:bCs w:val="0"/>
          <w:color w:val="auto"/>
          <w:sz w:val="32"/>
          <w:szCs w:val="32"/>
          <w:highlight w:val="none"/>
          <w:u w:val="none"/>
          <w:lang w:eastAsia="zh" w:bidi="ar"/>
          <w:woUserID w:val="0"/>
        </w:rPr>
        <w:t>第三节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深化地方金融体制改革</w:t>
      </w:r>
      <w:bookmarkEnd w:id="2183"/>
      <w:bookmarkEnd w:id="2184"/>
      <w:bookmarkEnd w:id="2185"/>
      <w:bookmarkEnd w:id="2186"/>
      <w:bookmarkEnd w:id="2187"/>
      <w:bookmarkEnd w:id="2188"/>
      <w:bookmarkEnd w:id="2189"/>
      <w:bookmarkEnd w:id="2190"/>
      <w:bookmarkEnd w:id="2191"/>
      <w:bookmarkEnd w:id="2192"/>
      <w:bookmarkEnd w:id="2193"/>
    </w:p>
    <w:p w14:paraId="2AFA813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bidi="ar"/>
        </w:rPr>
      </w:pPr>
      <w:r>
        <w:rPr>
          <w:rFonts w:hint="default" w:ascii="Times New Roman" w:hAnsi="Times New Roman" w:eastAsia="仿宋_GB2312" w:cs="Times New Roman"/>
          <w:b w:val="0"/>
          <w:bCs w:val="0"/>
          <w:color w:val="auto"/>
          <w:sz w:val="32"/>
          <w:szCs w:val="32"/>
          <w:highlight w:val="none"/>
          <w:lang w:eastAsia="zh"/>
        </w:rPr>
        <w:t>完善地方法人金融机构定位和治理，健全服务实体经济的激励约束机制，推动各类金融机构专注主业、完善治理、错位发展。充分发挥多层次资本市场作用，支持符合条件的企业上市融资，拓宽企业融资渠道。完善地方金融监管体系，压实信用风险化解主体责任。严厉打击非法金融活动，持续加强对非法金融活动的防范和处置工作，促进地方金融组织合规运营。多元化扩大普惠金融服务供给，高标准推进普惠金融产品创新。实施融资畅通工程，拓展中小微企业融资贷款支持。</w:t>
      </w:r>
    </w:p>
    <w:p w14:paraId="148824EC">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194" w:name="_Toc1364"/>
      <w:bookmarkStart w:id="2195" w:name="_Toc7162"/>
      <w:bookmarkStart w:id="2196" w:name="_Toc25688"/>
      <w:bookmarkStart w:id="2197" w:name="_Toc822044884"/>
      <w:bookmarkStart w:id="2198" w:name="_Toc32681"/>
      <w:bookmarkStart w:id="2199" w:name="_Toc10071"/>
      <w:bookmarkStart w:id="2200" w:name="_Toc1124401500"/>
      <w:bookmarkStart w:id="2201" w:name="_Toc18824"/>
      <w:bookmarkStart w:id="2202" w:name="_Toc16458"/>
      <w:bookmarkStart w:id="2203" w:name="_Toc18308"/>
      <w:bookmarkStart w:id="2204" w:name="_Toc238"/>
      <w:r>
        <w:rPr>
          <w:rFonts w:hint="default" w:ascii="Times New Roman" w:hAnsi="Times New Roman" w:eastAsia="仿宋_GB2312" w:cs="Times New Roman"/>
          <w:b w:val="0"/>
          <w:bCs w:val="0"/>
          <w:color w:val="auto"/>
          <w:sz w:val="32"/>
          <w:szCs w:val="32"/>
          <w:highlight w:val="none"/>
          <w:u w:val="none"/>
          <w:lang w:eastAsia="zh" w:bidi="ar"/>
          <w:woUserID w:val="0"/>
        </w:rPr>
        <w:t>第四节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深化要素</w:t>
      </w:r>
      <w:commentRangeStart w:id="29"/>
      <w:r>
        <w:rPr>
          <w:rFonts w:hint="default" w:ascii="Times New Roman" w:hAnsi="Times New Roman" w:eastAsia="仿宋_GB2312" w:cs="Times New Roman"/>
          <w:b w:val="0"/>
          <w:bCs w:val="0"/>
          <w:color w:val="auto"/>
          <w:sz w:val="32"/>
          <w:szCs w:val="32"/>
          <w:highlight w:val="none"/>
          <w:u w:val="none"/>
          <w:lang w:eastAsia="zh" w:bidi="ar"/>
          <w:woUserID w:val="0"/>
        </w:rPr>
        <w:t>市场化配置改</w:t>
      </w:r>
      <w:commentRangeEnd w:id="29"/>
      <w:r>
        <w:rPr>
          <w:rFonts w:hint="default" w:ascii="Times New Roman" w:hAnsi="Times New Roman" w:eastAsia="仿宋_GB2312" w:cs="Times New Roman"/>
          <w:b w:val="0"/>
          <w:bCs w:val="0"/>
          <w:color w:val="auto"/>
          <w:sz w:val="32"/>
          <w:szCs w:val="32"/>
          <w:highlight w:val="none"/>
          <w:u w:val="none"/>
          <w:lang w:eastAsia="zh" w:bidi="ar"/>
          <w:woUserID w:val="0"/>
        </w:rPr>
        <w:commentReference w:id="29"/>
      </w:r>
      <w:r>
        <w:rPr>
          <w:rFonts w:hint="default" w:ascii="Times New Roman" w:hAnsi="Times New Roman" w:eastAsia="仿宋_GB2312" w:cs="Times New Roman"/>
          <w:b w:val="0"/>
          <w:bCs w:val="0"/>
          <w:color w:val="auto"/>
          <w:sz w:val="32"/>
          <w:szCs w:val="32"/>
          <w:highlight w:val="none"/>
          <w:u w:val="none"/>
          <w:lang w:eastAsia="zh" w:bidi="ar"/>
          <w:woUserID w:val="0"/>
        </w:rPr>
        <w:t>革</w:t>
      </w:r>
      <w:bookmarkEnd w:id="2194"/>
      <w:bookmarkEnd w:id="2195"/>
      <w:bookmarkEnd w:id="2196"/>
      <w:bookmarkEnd w:id="2197"/>
      <w:bookmarkEnd w:id="2198"/>
      <w:bookmarkEnd w:id="2199"/>
      <w:bookmarkEnd w:id="2200"/>
      <w:bookmarkEnd w:id="2201"/>
      <w:bookmarkEnd w:id="2202"/>
      <w:bookmarkEnd w:id="2203"/>
      <w:bookmarkEnd w:id="2204"/>
    </w:p>
    <w:p w14:paraId="5E661BF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稳妥有序推进农村集体经营性建设用地入市改革，健全土地增值收益分配机制，探索通过出租、入股、合作等方式盘活利用闲置农房的有效路径。完善土地利用计划管理，实施年度建设用地总量调控制度，优化土地供应保障机制，实施用地审批和规划许可融合管理，建立新增城镇建设用地指标配置同常住人口增减协调机制。深化工业项目“标准地”改革，推进“亩产效益”综合评价改革。全面消除户籍、地域、身份、档案等方面限制人才流动的政策性障碍，完善人才有序流动机制，建立协调衔接的劳动力流动政策体系，促进人才资源合理流动、有效配置。高质量开展职业技能人才评价，健全完善职业技能培训评价体系，畅通各类人才职称申报渠道以及新职业从业人员职业资格、职称、职业技能等级认定渠道。梳理公共数据资源目录，开展公共数据资源登记，打造一批公共数据资源开发利用典型场景，鼓励和支持各类市场主体利用公共数据资源开发数据产品和服务。</w:t>
      </w:r>
    </w:p>
    <w:tbl>
      <w:tblPr>
        <w:tblStyle w:val="25"/>
        <w:tblW w:w="0" w:type="auto"/>
        <w:jc w:val="center"/>
        <w:tblLayout w:type="autofit"/>
        <w:tblCellMar>
          <w:top w:w="0" w:type="dxa"/>
          <w:left w:w="108" w:type="dxa"/>
          <w:bottom w:w="0" w:type="dxa"/>
          <w:right w:w="108" w:type="dxa"/>
        </w:tblCellMar>
      </w:tblPr>
      <w:tblGrid>
        <w:gridCol w:w="8296"/>
      </w:tblGrid>
      <w:tr w14:paraId="64F7C25B">
        <w:trPr>
          <w:jc w:val="center"/>
        </w:trPr>
        <w:tc>
          <w:tcPr>
            <w:tcW w:w="8296" w:type="dxa"/>
            <w:tcBorders>
              <w:top w:val="single" w:color="auto" w:sz="4" w:space="0"/>
              <w:left w:val="single" w:color="auto" w:sz="4" w:space="0"/>
              <w:bottom w:val="single" w:color="auto" w:sz="4" w:space="0"/>
              <w:right w:val="single" w:color="auto" w:sz="4" w:space="0"/>
            </w:tcBorders>
          </w:tcPr>
          <w:p w14:paraId="6490D8A3">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专栏10-4 深化数据要素市场化改革行动</w:t>
            </w:r>
          </w:p>
        </w:tc>
      </w:tr>
      <w:tr w14:paraId="26D95F39">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79C7991C">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eastAsia="仿宋_GB2312" w:cs="Times New Roman"/>
                <w:b w:val="0"/>
                <w:bCs w:val="0"/>
                <w:color w:val="auto"/>
                <w:sz w:val="21"/>
                <w:szCs w:val="21"/>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支持企业进行数据登记流通。对于进行数据登记的企业给予一定奖励，对于使用数联网接入设备，并进行数据流通交易的企业，进行使用费补贴。</w:t>
            </w:r>
          </w:p>
          <w:p w14:paraId="78D46049">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eastAsia="仿宋_GB2312" w:cs="Times New Roman"/>
                <w:b w:val="0"/>
                <w:bCs w:val="0"/>
                <w:color w:val="auto"/>
                <w:sz w:val="21"/>
                <w:szCs w:val="21"/>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鼓励进场交易。对数商企业在县内登记注册的数据公开交易平台实现首次登记挂牌的数据产品，经核定，根据新登记挂牌并实现交易的企业数量，给予平台资金补贴。</w:t>
            </w:r>
          </w:p>
          <w:p w14:paraId="2FF59BAD">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eastAsia="仿宋_GB2312" w:cs="Times New Roman"/>
                <w:b w:val="0"/>
                <w:bCs w:val="0"/>
                <w:color w:val="auto"/>
                <w:sz w:val="21"/>
                <w:szCs w:val="21"/>
                <w:highlight w:val="none"/>
                <w14:ligatures w14:val="standardContextual"/>
              </w:rPr>
            </w:pPr>
            <w:r>
              <w:rPr>
                <w:rFonts w:hint="default" w:ascii="Times New Roman" w:hAnsi="Times New Roman" w:eastAsia="仿宋_GB2312" w:cs="Times New Roman"/>
                <w:b w:val="0"/>
                <w:bCs w:val="0"/>
                <w:color w:val="auto"/>
                <w:sz w:val="21"/>
                <w:szCs w:val="21"/>
                <w:highlight w:val="none"/>
                <w14:ligatures w14:val="standardContextual"/>
              </w:rPr>
              <w:t>推动企业数据集建设。鼓励有一定数据规模的数据资源单位、协会、科研机构等组织，积极建设应用场景所需的通用人工智能训练数据集、标准测试数据集、行业专业数据集以及大模型预训练语料库等。鼓励企业或机构将用于人工智能相关研发的高质量数据集接入数据公开交易平台，数据集被超过3家县内非关联企业调用的，经认定，给予一定奖励。</w:t>
            </w:r>
          </w:p>
          <w:p w14:paraId="6FBBE549">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rPr>
                <w:rFonts w:hint="default" w:ascii="Times New Roman" w:hAnsi="Times New Roman" w:eastAsia="仿宋" w:cs="Times New Roman"/>
                <w:b w:val="0"/>
                <w:bCs w:val="0"/>
                <w:color w:val="auto"/>
                <w:szCs w:val="21"/>
                <w:highlight w:val="none"/>
              </w:rPr>
            </w:pPr>
            <w:r>
              <w:rPr>
                <w:rFonts w:hint="default" w:ascii="Times New Roman" w:hAnsi="Times New Roman" w:eastAsia="仿宋_GB2312" w:cs="Times New Roman"/>
                <w:b w:val="0"/>
                <w:bCs w:val="0"/>
                <w:color w:val="auto"/>
                <w:sz w:val="21"/>
                <w:szCs w:val="21"/>
                <w:highlight w:val="none"/>
                <w14:ligatures w14:val="standardContextual"/>
              </w:rPr>
              <w:t>推进建设试点应用场景。聚焦工业制造、商贸流通、金融服务、科技创新、城市治理、绿色低碳等重点行业和领域，赋能打造“数据要素×”重点领域特色应用场景。对在技术、产品和商业模式实现创新突破，并在一定区域范围内取得良好示范效应的应用场景，分级分档进行奖励。</w:t>
            </w:r>
          </w:p>
        </w:tc>
      </w:tr>
    </w:tbl>
    <w:p w14:paraId="3515E99A">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205" w:name="_Toc968572961"/>
      <w:bookmarkStart w:id="2206" w:name="_Toc14910"/>
      <w:bookmarkStart w:id="2207" w:name="_Toc28661"/>
      <w:bookmarkStart w:id="2208" w:name="_Toc5483"/>
      <w:bookmarkStart w:id="2209" w:name="_Toc1717502857"/>
      <w:bookmarkStart w:id="2210" w:name="_Toc31074"/>
      <w:bookmarkStart w:id="2211" w:name="_Toc10351"/>
      <w:bookmarkStart w:id="2212" w:name="_Toc20328"/>
      <w:bookmarkStart w:id="2213" w:name="_Toc21284"/>
      <w:bookmarkStart w:id="2214" w:name="_Toc22062"/>
      <w:bookmarkStart w:id="2215" w:name="_Toc16369"/>
      <w:r>
        <w:rPr>
          <w:rFonts w:hint="default" w:ascii="Times New Roman" w:hAnsi="Times New Roman" w:eastAsia="仿宋_GB2312" w:cs="Times New Roman"/>
          <w:b w:val="0"/>
          <w:bCs w:val="0"/>
          <w:color w:val="auto"/>
          <w:sz w:val="32"/>
          <w:szCs w:val="32"/>
          <w:highlight w:val="none"/>
          <w:u w:val="none"/>
          <w:lang w:eastAsia="zh" w:bidi="ar"/>
          <w:woUserID w:val="0"/>
        </w:rPr>
        <w:t>第五节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推动开发区体制机制改革</w:t>
      </w:r>
      <w:bookmarkEnd w:id="2205"/>
      <w:bookmarkEnd w:id="2206"/>
      <w:bookmarkEnd w:id="2207"/>
      <w:bookmarkEnd w:id="2208"/>
      <w:bookmarkEnd w:id="2209"/>
      <w:bookmarkEnd w:id="2210"/>
      <w:bookmarkEnd w:id="2211"/>
      <w:bookmarkEnd w:id="2212"/>
      <w:bookmarkEnd w:id="2213"/>
      <w:bookmarkEnd w:id="2214"/>
      <w:bookmarkEnd w:id="2215"/>
    </w:p>
    <w:p w14:paraId="4AE3E81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color w:val="auto"/>
          <w:sz w:val="32"/>
          <w:szCs w:val="32"/>
          <w:highlight w:val="none"/>
          <w:lang w:bidi="ar"/>
        </w:rPr>
      </w:pPr>
      <w:r>
        <w:rPr>
          <w:rFonts w:hint="default" w:ascii="Times New Roman" w:hAnsi="Times New Roman" w:eastAsia="仿宋_GB2312" w:cs="Times New Roman"/>
          <w:color w:val="auto"/>
          <w:sz w:val="32"/>
          <w:szCs w:val="32"/>
          <w:highlight w:val="none"/>
          <w:lang w:eastAsia="zh"/>
        </w:rPr>
        <w:t>在管理体制、考核体系、用人制度、优化布局等方面大胆探索创新，全力争创国家级开发区。深化开发区管理体制改革，推行“管委会+平台公司”协同运营模式，积极引入社会资本，推动市场化转型，做强做优开发区运营主体，培育壮大专业服务机构，强化跨园区统筹协调，为开发区聚焦主责主业减负赋能。健全优化绩效考核与激励机制，研究建立差异化薪酬体系，支持在兼职兼薪、年薪制等方面先行先试。以开发区审核公告目录修订为契机，构建“产业地图+空间落位”的产业精准发展机制，推进存量园区提档升级、新增园区延链补链 ，构建“一园一特色、全域皆协同”的“一区多园”新模式。</w:t>
      </w:r>
    </w:p>
    <w:p w14:paraId="33237E3E">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216" w:name="_Toc24023"/>
      <w:bookmarkStart w:id="2217" w:name="_Toc2143376229"/>
      <w:bookmarkStart w:id="2218" w:name="_Toc17948"/>
      <w:bookmarkStart w:id="2219" w:name="_Toc26112"/>
      <w:bookmarkStart w:id="2220" w:name="_Toc29109"/>
      <w:bookmarkStart w:id="2221" w:name="_Toc2029635352"/>
      <w:r>
        <w:rPr>
          <w:rFonts w:hint="default" w:ascii="Times New Roman" w:hAnsi="Times New Roman" w:eastAsia="仿宋_GB2312" w:cs="Times New Roman"/>
          <w:b w:val="0"/>
          <w:bCs w:val="0"/>
          <w:color w:val="auto"/>
          <w:sz w:val="32"/>
          <w:szCs w:val="32"/>
          <w:highlight w:val="none"/>
          <w:u w:val="none"/>
          <w:lang w:eastAsia="zh" w:bidi="ar"/>
          <w:woUserID w:val="0"/>
        </w:rPr>
        <w:t>第六节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加快农业农村综合改革</w:t>
      </w:r>
      <w:bookmarkEnd w:id="2216"/>
      <w:bookmarkEnd w:id="2217"/>
      <w:bookmarkEnd w:id="2218"/>
      <w:bookmarkEnd w:id="2219"/>
      <w:bookmarkEnd w:id="2220"/>
      <w:bookmarkEnd w:id="2221"/>
    </w:p>
    <w:p w14:paraId="6D50FCE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持续稳步推进农村承包地</w:t>
      </w:r>
      <w:r>
        <w:rPr>
          <w:rFonts w:hint="eastAsia" w:eastAsia="仿宋_GB2312" w:cs="Times New Roman"/>
          <w:color w:val="auto"/>
          <w:sz w:val="32"/>
          <w:szCs w:val="32"/>
          <w:highlight w:val="none"/>
          <w:lang w:eastAsia="zh-CN"/>
        </w:rPr>
        <w:t>“三权分置”</w:t>
      </w:r>
      <w:r>
        <w:rPr>
          <w:rFonts w:hint="default" w:ascii="Times New Roman" w:hAnsi="Times New Roman" w:eastAsia="仿宋_GB2312" w:cs="Times New Roman"/>
          <w:color w:val="auto"/>
          <w:sz w:val="32"/>
          <w:szCs w:val="32"/>
          <w:highlight w:val="none"/>
          <w:lang w:eastAsia="zh"/>
        </w:rPr>
        <w:t>改革，依法保护土地集体所有权和农户承包权，充分运用土地确权登记成果，在稳定土地承包关系前提下，全面落实第二轮土地承包到期后再延长三十年政策。稳慎推进农村宅基地制度改革，探索宅基地退出补偿机制，加快建立依法取得、节约利用、权属清晰、权能完整、流转有序、管理规范的农村宅基地管理制度。聚力实施农村产权交易平台建设，持续推进各类农村产权入场交易，督促乡村严格落实“应进必进”政策，细化进场交易品种、交易标准、交易方式及程序等。到2030年，全县集体经济收入20万元以上村达100%、50万元以上村达50%、100万元以上村达20%以上。实现承包地规模化经营率达到75%以上、宅基地闲置利用率明显提升。</w:t>
      </w:r>
    </w:p>
    <w:p w14:paraId="3309750B">
      <w:pPr>
        <w:pageBreakBefore w:val="0"/>
        <w:widowControl w:val="0"/>
        <w:kinsoku/>
        <w:wordWrap/>
        <w:overflowPunct/>
        <w:topLinePunct w:val="0"/>
        <w:autoSpaceDE/>
        <w:autoSpaceDN/>
        <w:bidi w:val="0"/>
        <w:adjustRightInd/>
        <w:snapToGrid w:val="0"/>
        <w:spacing w:line="560" w:lineRule="exact"/>
        <w:ind w:firstLine="0" w:firstLineChars="0"/>
        <w:jc w:val="center"/>
        <w:textAlignment w:val="auto"/>
        <w:outlineLvl w:val="0"/>
        <w:rPr>
          <w:rFonts w:hint="default" w:ascii="Times New Roman" w:hAnsi="Times New Roman" w:eastAsia="黑体" w:cs="Times New Roman"/>
          <w:color w:val="auto"/>
          <w:sz w:val="32"/>
          <w:szCs w:val="32"/>
          <w:highlight w:val="none"/>
          <w14:ligatures w14:val="standardContextual"/>
        </w:rPr>
      </w:pPr>
      <w:bookmarkStart w:id="2222" w:name="_Toc8598"/>
      <w:bookmarkStart w:id="2223" w:name="_Toc26249"/>
      <w:bookmarkStart w:id="2224" w:name="_Toc21145"/>
      <w:bookmarkStart w:id="2225" w:name="_Toc478185236"/>
      <w:bookmarkStart w:id="2226" w:name="_Toc1849889305"/>
      <w:r>
        <w:rPr>
          <w:rFonts w:hint="default" w:ascii="Times New Roman" w:hAnsi="Times New Roman" w:eastAsia="黑体" w:cs="Times New Roman"/>
          <w:color w:val="auto"/>
          <w:sz w:val="32"/>
          <w:szCs w:val="32"/>
          <w:highlight w:val="none"/>
          <w14:ligatures w14:val="standardContextual"/>
        </w:rPr>
        <w:t>第十一</w:t>
      </w:r>
      <w:r>
        <w:rPr>
          <w:rFonts w:hint="default" w:ascii="Times New Roman" w:hAnsi="Times New Roman" w:eastAsia="黑体" w:cs="Times New Roman"/>
          <w:color w:val="auto"/>
          <w:sz w:val="32"/>
          <w:szCs w:val="32"/>
          <w:highlight w:val="none"/>
          <w:lang w:eastAsia="zh"/>
          <w14:ligatures w14:val="standardContextual"/>
        </w:rPr>
        <w:t>篇</w:t>
      </w:r>
      <w:r>
        <w:rPr>
          <w:rFonts w:hint="default" w:ascii="Times New Roman" w:hAnsi="Times New Roman" w:eastAsia="黑体" w:cs="Times New Roman"/>
          <w:color w:val="auto"/>
          <w:sz w:val="32"/>
          <w:szCs w:val="32"/>
          <w:highlight w:val="none"/>
          <w:lang w:eastAsia="zh-CN"/>
          <w14:ligatures w14:val="standardContextual"/>
        </w:rPr>
        <w:t xml:space="preserve"> </w:t>
      </w:r>
      <w:r>
        <w:rPr>
          <w:rFonts w:hint="default" w:ascii="Times New Roman" w:hAnsi="Times New Roman" w:eastAsia="黑体" w:cs="Times New Roman"/>
          <w:color w:val="auto"/>
          <w:sz w:val="32"/>
          <w:szCs w:val="32"/>
          <w:highlight w:val="none"/>
          <w:lang w:val="en-US" w:eastAsia="zh-CN"/>
          <w14:ligatures w14:val="standardContextual"/>
        </w:rPr>
        <w:t>注重</w:t>
      </w:r>
      <w:r>
        <w:rPr>
          <w:rFonts w:hint="default" w:ascii="Times New Roman" w:hAnsi="Times New Roman" w:eastAsia="黑体" w:cs="Times New Roman"/>
          <w:color w:val="auto"/>
          <w:sz w:val="32"/>
          <w:szCs w:val="32"/>
          <w:highlight w:val="none"/>
          <w14:ligatures w14:val="standardContextual"/>
        </w:rPr>
        <w:t>发展和安全  建设更高水平平安桦川</w:t>
      </w:r>
      <w:bookmarkEnd w:id="2222"/>
      <w:bookmarkEnd w:id="2223"/>
      <w:bookmarkEnd w:id="2224"/>
      <w:bookmarkEnd w:id="2225"/>
      <w:bookmarkEnd w:id="2226"/>
    </w:p>
    <w:p w14:paraId="4518A3A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坚定不移贯彻总体国家安全观，把安全发展贯穿经济社会发展的各领域和全过程，积极服务和融入构建桦川新发展格局，坚持底线思维，增强忧患意识，有效防范、及时化解各类风险隐患，推动实现全县高质量发展和高水平安全的良性互动，全面提升安全发展能力。</w:t>
      </w:r>
    </w:p>
    <w:p w14:paraId="526DF7AF">
      <w:pPr>
        <w:pStyle w:val="3"/>
        <w:pageBreakBefore w:val="0"/>
        <w:widowControl w:val="0"/>
        <w:kinsoku/>
        <w:wordWrap/>
        <w:overflowPunct/>
        <w:topLinePunct w:val="0"/>
        <w:autoSpaceDE/>
        <w:autoSpaceDN/>
        <w:bidi w:val="0"/>
        <w:adjustRightInd/>
        <w:spacing w:before="0" w:after="0" w:line="560" w:lineRule="exact"/>
        <w:ind w:firstLine="0" w:firstLineChars="0"/>
        <w:jc w:val="center"/>
        <w:textAlignment w:val="auto"/>
        <w:rPr>
          <w:rFonts w:hint="default" w:ascii="Times New Roman" w:hAnsi="Times New Roman" w:eastAsia="楷体" w:cs="Times New Roman"/>
          <w:b w:val="0"/>
          <w:bCs/>
          <w:color w:val="auto"/>
          <w:sz w:val="32"/>
          <w:szCs w:val="32"/>
          <w:highlight w:val="none"/>
          <w:lang w:val="en-US" w:eastAsia="zh-CN"/>
        </w:rPr>
      </w:pPr>
      <w:bookmarkStart w:id="2227" w:name="_Toc12341"/>
      <w:bookmarkStart w:id="2228" w:name="_Toc7604"/>
      <w:bookmarkStart w:id="2229" w:name="_Toc940"/>
      <w:bookmarkStart w:id="2230" w:name="_Toc3455"/>
      <w:bookmarkStart w:id="2231" w:name="_Toc26002"/>
      <w:bookmarkStart w:id="2232" w:name="_Toc31377"/>
      <w:bookmarkStart w:id="2233" w:name="_Toc18869"/>
      <w:bookmarkStart w:id="2234" w:name="_Toc1845358328"/>
      <w:bookmarkStart w:id="2235" w:name="_Toc6247"/>
      <w:bookmarkStart w:id="2236" w:name="_Toc6473"/>
      <w:bookmarkStart w:id="2237" w:name="_Toc24738"/>
      <w:bookmarkStart w:id="2238" w:name="_Toc555990570"/>
      <w:bookmarkStart w:id="2239" w:name="_Toc28754"/>
      <w:bookmarkStart w:id="2240" w:name="_Toc31314"/>
      <w:r>
        <w:rPr>
          <w:rFonts w:hint="default" w:ascii="Times New Roman" w:hAnsi="Times New Roman" w:eastAsia="楷体" w:cs="Times New Roman"/>
          <w:b w:val="0"/>
          <w:bCs/>
          <w:color w:val="auto"/>
          <w:sz w:val="32"/>
          <w:szCs w:val="32"/>
          <w:highlight w:val="none"/>
          <w:lang w:val="en-US" w:eastAsia="zh-CN"/>
        </w:rPr>
        <w:t>第一</w:t>
      </w:r>
      <w:r>
        <w:rPr>
          <w:rFonts w:hint="default" w:ascii="Times New Roman" w:hAnsi="Times New Roman" w:eastAsia="楷体" w:cs="Times New Roman"/>
          <w:b w:val="0"/>
          <w:bCs/>
          <w:color w:val="auto"/>
          <w:sz w:val="32"/>
          <w:szCs w:val="32"/>
          <w:highlight w:val="none"/>
          <w:lang w:val="en-US" w:eastAsia="zh"/>
        </w:rPr>
        <w:t>章</w:t>
      </w:r>
      <w:r>
        <w:rPr>
          <w:rFonts w:hint="default" w:ascii="Times New Roman" w:hAnsi="Times New Roman" w:eastAsia="楷体" w:cs="Times New Roman"/>
          <w:b w:val="0"/>
          <w:bCs/>
          <w:color w:val="auto"/>
          <w:sz w:val="32"/>
          <w:szCs w:val="32"/>
          <w:highlight w:val="none"/>
          <w:lang w:val="en-US" w:eastAsia="zh-CN"/>
        </w:rPr>
        <w:t xml:space="preserve">  坚决维护国家“五大安全”</w:t>
      </w:r>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Start w:id="2241" w:name="_Toc2107453347"/>
      <w:bookmarkStart w:id="2242" w:name="_Toc329017887"/>
    </w:p>
    <w:p w14:paraId="3A319CBF">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color w:val="auto"/>
          <w:sz w:val="32"/>
          <w:szCs w:val="32"/>
          <w:highlight w:val="none"/>
          <w:u w:val="none"/>
          <w:lang w:eastAsia="zh" w:bidi="ar"/>
          <w:woUserID w:val="0"/>
        </w:rPr>
      </w:pPr>
      <w:bookmarkStart w:id="2243" w:name="_Toc15428"/>
      <w:bookmarkStart w:id="2244" w:name="_Toc9634"/>
      <w:bookmarkStart w:id="2245" w:name="_Toc889"/>
      <w:bookmarkStart w:id="2246" w:name="_Toc21154"/>
      <w:r>
        <w:rPr>
          <w:rFonts w:hint="default" w:ascii="Times New Roman" w:hAnsi="Times New Roman" w:eastAsia="仿宋_GB2312" w:cs="Times New Roman"/>
          <w:b w:val="0"/>
          <w:bCs/>
          <w:color w:val="auto"/>
          <w:sz w:val="32"/>
          <w:szCs w:val="32"/>
          <w:highlight w:val="none"/>
          <w:u w:val="none"/>
          <w:lang w:eastAsia="zh" w:bidi="ar"/>
          <w:woUserID w:val="0"/>
        </w:rPr>
        <w:t>第一节</w:t>
      </w:r>
      <w:r>
        <w:rPr>
          <w:rFonts w:hint="default" w:ascii="Times New Roman" w:hAnsi="Times New Roman" w:eastAsia="仿宋_GB2312" w:cs="Times New Roman"/>
          <w:b w:val="0"/>
          <w:bCs/>
          <w:color w:val="auto"/>
          <w:sz w:val="32"/>
          <w:szCs w:val="32"/>
          <w:highlight w:val="none"/>
          <w:u w:val="none"/>
          <w:lang w:eastAsia="zh-CN" w:bidi="ar"/>
          <w:woUserID w:val="0"/>
        </w:rPr>
        <w:t xml:space="preserve"> </w:t>
      </w:r>
      <w:r>
        <w:rPr>
          <w:rFonts w:hint="default" w:ascii="Times New Roman" w:hAnsi="Times New Roman" w:eastAsia="仿宋_GB2312" w:cs="Times New Roman"/>
          <w:b w:val="0"/>
          <w:bCs/>
          <w:color w:val="auto"/>
          <w:sz w:val="32"/>
          <w:szCs w:val="32"/>
          <w:highlight w:val="none"/>
          <w:u w:val="none"/>
          <w:lang w:eastAsia="zh" w:bidi="ar"/>
          <w:woUserID w:val="0"/>
        </w:rPr>
        <w:t>保障国防安全</w:t>
      </w:r>
      <w:bookmarkEnd w:id="2241"/>
      <w:bookmarkEnd w:id="2242"/>
      <w:bookmarkEnd w:id="2243"/>
      <w:bookmarkEnd w:id="2244"/>
      <w:bookmarkEnd w:id="2245"/>
      <w:bookmarkEnd w:id="2246"/>
    </w:p>
    <w:p w14:paraId="45725BE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坚持平战结合、军民融合，推进一体化国家战略体系和能力建设，加强国防建设军事需求提报和军地对接。完善国防动员体系，强化全民国防教育，提升“平时应急、战时应战”的能力。支持驻桦解放军和武警部队现代化建设。加强军民融合治理体系构建，推动军民融合向纵深发展，巩固并提升一体化国家战略体系和能力。完善国防动员体系，加强国防动员和后备力量建设，建立民兵训练基地共建共享合作机制，增强人防设施资源运用效能，开展新时代全民国防教育。加快发展军民融合产业，强化军地产学研协同创新，推动新质生产力同新质战斗力高效融合、双向拉动。完善双拥共建机制，落实军人军属优待措施，巩固军政军民团结，夯实双拥成果。建成覆盖全面、响应及时、专业规范、军地协同的现代化退役军人服务保障体系，全面提升优抚安置质效、就业创业扶持精度、思想政治引领深度和权益维护响应速度，实现服务对象满意度达98%以上、高质量就业率稳步提升至85%以上、县级以下服务中心（站）标准化达标率100%。</w:t>
      </w:r>
    </w:p>
    <w:p w14:paraId="60ABB3CA">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247" w:name="_Toc695991807"/>
      <w:bookmarkStart w:id="2248" w:name="_Toc17105"/>
      <w:bookmarkStart w:id="2249" w:name="_Toc619348187"/>
      <w:bookmarkStart w:id="2250" w:name="_Toc20645"/>
      <w:bookmarkStart w:id="2251" w:name="_Toc13743"/>
      <w:bookmarkStart w:id="2252" w:name="_Toc18446"/>
      <w:r>
        <w:rPr>
          <w:rFonts w:hint="default" w:ascii="Times New Roman" w:hAnsi="Times New Roman" w:eastAsia="仿宋_GB2312" w:cs="Times New Roman"/>
          <w:b w:val="0"/>
          <w:bCs w:val="0"/>
          <w:color w:val="auto"/>
          <w:sz w:val="32"/>
          <w:szCs w:val="32"/>
          <w:highlight w:val="none"/>
          <w:u w:val="none"/>
          <w:lang w:eastAsia="zh" w:bidi="ar"/>
          <w:woUserID w:val="0"/>
        </w:rPr>
        <w:t>第二节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保障粮食安全</w:t>
      </w:r>
      <w:bookmarkEnd w:id="2247"/>
      <w:bookmarkEnd w:id="2248"/>
      <w:bookmarkEnd w:id="2249"/>
      <w:bookmarkEnd w:id="2250"/>
      <w:bookmarkEnd w:id="2251"/>
      <w:bookmarkEnd w:id="2252"/>
    </w:p>
    <w:p w14:paraId="74E9DF6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紧扣国家粮食安全战略，围绕农业大县的资源禀赋，构建起“</w:t>
      </w:r>
      <w:r>
        <w:rPr>
          <w:rFonts w:hint="eastAsia" w:eastAsia="仿宋_GB2312" w:cs="Times New Roman"/>
          <w:color w:val="auto"/>
          <w:sz w:val="32"/>
          <w:szCs w:val="32"/>
          <w:highlight w:val="none"/>
          <w:lang w:eastAsia="zh-CN"/>
        </w:rPr>
        <w:t>绿色</w:t>
      </w:r>
      <w:r>
        <w:rPr>
          <w:rFonts w:hint="default" w:ascii="Times New Roman" w:hAnsi="Times New Roman" w:eastAsia="仿宋_GB2312" w:cs="Times New Roman"/>
          <w:color w:val="auto"/>
          <w:sz w:val="32"/>
          <w:szCs w:val="32"/>
          <w:highlight w:val="none"/>
          <w:lang w:eastAsia="zh"/>
        </w:rPr>
        <w:t>提升、布局合理、调控高效、监管有力、产业协同”的现代化县域粮食和物资储备体系。提升绿色粮食仓储能力，县级政策性粮食收储企业加大绿色仓储规模达标率40%，节粮减损率控制在3%以内。加强铁路专用线、港口联运设施建设，构建“铁路+水运”多式联运应急调度机制。加强粮食市场监测预警，开展储粮安全、安全生产专项整治，推进粮油加工设备更新，严防火灾、霉变事故。</w:t>
      </w:r>
    </w:p>
    <w:p w14:paraId="522E2F2A">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253" w:name="_Toc2277"/>
      <w:bookmarkStart w:id="2254" w:name="_Toc31033"/>
      <w:bookmarkStart w:id="2255" w:name="_Toc448349417"/>
      <w:bookmarkStart w:id="2256" w:name="_Toc16164"/>
      <w:bookmarkStart w:id="2257" w:name="_Toc26892"/>
      <w:bookmarkStart w:id="2258" w:name="_Toc1869138093"/>
      <w:r>
        <w:rPr>
          <w:rFonts w:hint="default" w:ascii="Times New Roman" w:hAnsi="Times New Roman" w:eastAsia="仿宋_GB2312" w:cs="Times New Roman"/>
          <w:b w:val="0"/>
          <w:bCs w:val="0"/>
          <w:color w:val="auto"/>
          <w:sz w:val="32"/>
          <w:szCs w:val="32"/>
          <w:highlight w:val="none"/>
          <w:u w:val="none"/>
          <w:lang w:eastAsia="zh" w:bidi="ar"/>
          <w:woUserID w:val="0"/>
        </w:rPr>
        <w:t>第三节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commentRangeStart w:id="30"/>
      <w:r>
        <w:rPr>
          <w:rFonts w:hint="default" w:ascii="Times New Roman" w:hAnsi="Times New Roman" w:eastAsia="仿宋_GB2312" w:cs="Times New Roman"/>
          <w:b w:val="0"/>
          <w:bCs w:val="0"/>
          <w:color w:val="auto"/>
          <w:sz w:val="32"/>
          <w:szCs w:val="32"/>
          <w:highlight w:val="none"/>
          <w:u w:val="none"/>
          <w:lang w:eastAsia="zh" w:bidi="ar"/>
          <w:woUserID w:val="0"/>
        </w:rPr>
        <w:t>保障生态安全</w:t>
      </w:r>
      <w:commentRangeEnd w:id="30"/>
      <w:r>
        <w:rPr>
          <w:rFonts w:hint="default" w:ascii="Times New Roman" w:hAnsi="Times New Roman" w:eastAsia="仿宋_GB2312" w:cs="Times New Roman"/>
          <w:b w:val="0"/>
          <w:bCs w:val="0"/>
          <w:color w:val="auto"/>
          <w:sz w:val="32"/>
          <w:szCs w:val="32"/>
          <w:highlight w:val="none"/>
          <w:u w:val="none"/>
          <w:lang w:eastAsia="zh" w:bidi="ar"/>
          <w:woUserID w:val="0"/>
        </w:rPr>
        <w:commentReference w:id="30"/>
      </w:r>
      <w:bookmarkEnd w:id="2253"/>
      <w:bookmarkEnd w:id="2254"/>
      <w:bookmarkEnd w:id="2255"/>
      <w:bookmarkEnd w:id="2256"/>
      <w:bookmarkEnd w:id="2257"/>
      <w:bookmarkEnd w:id="2258"/>
    </w:p>
    <w:p w14:paraId="44440C7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生态安全是桦川县高质量发展的核心底线，聚焦三江平原农业县特色与黑土地、松花江流域生态禀赋，实施系统性保护与治理。持续开展黑土地保护工程，完成全县土壤污染状况详查，推进耕地土壤修复试点。推动氮氧化物和挥发性有机物减排，协同控制臭氧污染。深入推进结构转型，严控高耗能、高排放项目。建设美丽蓝天，推进淘汰燃煤和生物质小锅炉等落后产品。构建县乡村三级环境监测网络，严厉打击违法排污，为农业可持续发展与民生福祉提供坚实生态支撑。</w:t>
      </w:r>
    </w:p>
    <w:p w14:paraId="5909B4E4">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259" w:name="_Toc2822"/>
      <w:bookmarkStart w:id="2260" w:name="_Toc7296"/>
      <w:bookmarkStart w:id="2261" w:name="_Toc23376"/>
      <w:bookmarkStart w:id="2262" w:name="_Toc2012743135"/>
      <w:bookmarkStart w:id="2263" w:name="_Toc1801551443"/>
      <w:bookmarkStart w:id="2264" w:name="_Toc14764"/>
      <w:r>
        <w:rPr>
          <w:rFonts w:hint="default" w:ascii="Times New Roman" w:hAnsi="Times New Roman" w:eastAsia="仿宋_GB2312" w:cs="Times New Roman"/>
          <w:b w:val="0"/>
          <w:bCs w:val="0"/>
          <w:color w:val="auto"/>
          <w:sz w:val="32"/>
          <w:szCs w:val="32"/>
          <w:highlight w:val="none"/>
          <w:u w:val="none"/>
          <w:lang w:val="en-US" w:eastAsia="zh" w:bidi="ar"/>
          <w:woUserID w:val="0"/>
        </w:rPr>
        <w:t xml:space="preserve">第四节 </w:t>
      </w:r>
      <w:r>
        <w:rPr>
          <w:rFonts w:hint="default" w:ascii="Times New Roman" w:hAnsi="Times New Roman" w:eastAsia="仿宋_GB2312" w:cs="Times New Roman"/>
          <w:b w:val="0"/>
          <w:bCs w:val="0"/>
          <w:color w:val="auto"/>
          <w:sz w:val="32"/>
          <w:szCs w:val="32"/>
          <w:highlight w:val="none"/>
          <w:u w:val="none"/>
          <w:lang w:eastAsia="zh" w:bidi="ar"/>
          <w:woUserID w:val="0"/>
        </w:rPr>
        <w:t>保障能源安全</w:t>
      </w:r>
      <w:bookmarkEnd w:id="2259"/>
      <w:bookmarkEnd w:id="2260"/>
      <w:bookmarkEnd w:id="2261"/>
      <w:bookmarkEnd w:id="2262"/>
      <w:bookmarkEnd w:id="2263"/>
      <w:bookmarkEnd w:id="2264"/>
    </w:p>
    <w:p w14:paraId="0D0B71A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推动全县能源结构转型，锚定“清洁低碳、安全高效”主线，推进风光资源规模化开发，布局“风光储能”项目，筑牢县域能源安全底线。推动</w:t>
      </w:r>
      <w:r>
        <w:rPr>
          <w:rFonts w:hint="eastAsia" w:eastAsia="仿宋_GB2312" w:cs="Times New Roman"/>
          <w:color w:val="auto"/>
          <w:sz w:val="32"/>
          <w:szCs w:val="32"/>
          <w:highlight w:val="none"/>
          <w:lang w:eastAsia="zh-CN"/>
        </w:rPr>
        <w:t>化石能源清洁高效利用</w:t>
      </w:r>
      <w:r>
        <w:rPr>
          <w:rFonts w:hint="default" w:ascii="Times New Roman" w:hAnsi="Times New Roman" w:eastAsia="仿宋_GB2312" w:cs="Times New Roman"/>
          <w:color w:val="auto"/>
          <w:sz w:val="32"/>
          <w:szCs w:val="32"/>
          <w:highlight w:val="none"/>
          <w:lang w:eastAsia="zh"/>
        </w:rPr>
        <w:t>，实施煤电灵活性改造，保障油气稳定供应，依托佳木斯市俄气通道优势，谋划桦川县佳</w:t>
      </w:r>
      <w:r>
        <w:rPr>
          <w:rFonts w:hint="eastAsia"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
        </w:rPr>
        <w:t>抚俄气管道项目，提高安全韧性水平，强化城乡能源稳定供应保障。优化城乡电网结构，持续推进电能替代行动计划，结合全县城镇化发展需要，提升配电网接纳新能源、分布式电源及多元化负荷的能力。增强电网安全保障能力，制定配电网防冰抗灾专项预案，保障县域能源安全平稳运行。聚焦智能化、数字化等领域，积极招引节能技术与装备，推动工业企业能效提升，推广分布式光伏、风光储能等新模式，促进多能互补协同发展，推动能源安全与生态保护、产业升级深度融合。​</w:t>
      </w:r>
    </w:p>
    <w:p w14:paraId="5FDA9382">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265" w:name="_Toc1931747092"/>
      <w:bookmarkStart w:id="2266" w:name="_Toc505465815"/>
      <w:bookmarkStart w:id="2267" w:name="_Toc25477"/>
      <w:bookmarkStart w:id="2268" w:name="_Toc24054"/>
      <w:bookmarkStart w:id="2269" w:name="_Toc25286"/>
      <w:bookmarkStart w:id="2270" w:name="_Toc11696"/>
      <w:commentRangeStart w:id="31"/>
      <w:r>
        <w:rPr>
          <w:rFonts w:hint="default" w:ascii="Times New Roman" w:hAnsi="Times New Roman" w:eastAsia="仿宋_GB2312" w:cs="Times New Roman"/>
          <w:b w:val="0"/>
          <w:bCs w:val="0"/>
          <w:color w:val="auto"/>
          <w:sz w:val="32"/>
          <w:szCs w:val="32"/>
          <w:highlight w:val="none"/>
          <w:u w:val="none"/>
          <w:lang w:val="en-US" w:eastAsia="zh" w:bidi="ar"/>
          <w:woUserID w:val="0"/>
        </w:rPr>
        <w:t xml:space="preserve">第五节 </w:t>
      </w:r>
      <w:r>
        <w:rPr>
          <w:rFonts w:hint="default" w:ascii="Times New Roman" w:hAnsi="Times New Roman" w:eastAsia="仿宋_GB2312" w:cs="Times New Roman"/>
          <w:b w:val="0"/>
          <w:bCs w:val="0"/>
          <w:color w:val="auto"/>
          <w:sz w:val="32"/>
          <w:szCs w:val="32"/>
          <w:highlight w:val="none"/>
          <w:u w:val="none"/>
          <w:lang w:eastAsia="zh" w:bidi="ar"/>
          <w:woUserID w:val="0"/>
        </w:rPr>
        <w:t>保障产业安全</w:t>
      </w:r>
      <w:commentRangeEnd w:id="31"/>
      <w:r>
        <w:rPr>
          <w:rFonts w:hint="default" w:ascii="Times New Roman" w:hAnsi="Times New Roman" w:eastAsia="仿宋_GB2312" w:cs="Times New Roman"/>
          <w:b w:val="0"/>
          <w:bCs w:val="0"/>
          <w:color w:val="auto"/>
          <w:sz w:val="32"/>
          <w:szCs w:val="32"/>
          <w:highlight w:val="none"/>
          <w:u w:val="none"/>
          <w:lang w:eastAsia="zh" w:bidi="ar"/>
          <w:woUserID w:val="0"/>
        </w:rPr>
        <w:commentReference w:id="31"/>
      </w:r>
      <w:bookmarkEnd w:id="2265"/>
      <w:bookmarkEnd w:id="2266"/>
      <w:bookmarkEnd w:id="2267"/>
      <w:bookmarkEnd w:id="2268"/>
      <w:bookmarkEnd w:id="2269"/>
      <w:bookmarkEnd w:id="2270"/>
    </w:p>
    <w:p w14:paraId="1363B6E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聚焦构建现代化产业体系的关键环节，立足“一城五业”发展布局，增强产业链安全韧性，持续优化产业发展生态。强化项目硬支撑，高质量谋划强链补链延链项目，保障重点产业项目投产达效。精准招商补短板，聚焦主导及新兴产业关键环节，靶向引进高附加值企业，完善本地供应链。优化生态增韧性，支持企业技改、数字化转型与绿色升级，构建高效协同、富有韧性的产业生态。创新驱动育动能，深化产学研合作与成果转化，积极布局未来产业，培育“专精特新”企业，增强长远竞争力与风险抵御能力。</w:t>
      </w:r>
    </w:p>
    <w:p w14:paraId="02895061">
      <w:pPr>
        <w:pStyle w:val="3"/>
        <w:pageBreakBefore w:val="0"/>
        <w:widowControl w:val="0"/>
        <w:kinsoku/>
        <w:wordWrap/>
        <w:overflowPunct/>
        <w:topLinePunct w:val="0"/>
        <w:autoSpaceDE/>
        <w:autoSpaceDN/>
        <w:bidi w:val="0"/>
        <w:adjustRightInd/>
        <w:spacing w:before="0" w:after="0" w:line="560" w:lineRule="exact"/>
        <w:ind w:firstLine="0" w:firstLineChars="0"/>
        <w:jc w:val="center"/>
        <w:textAlignment w:val="auto"/>
        <w:rPr>
          <w:rFonts w:hint="default" w:ascii="Times New Roman" w:hAnsi="Times New Roman" w:eastAsia="楷体" w:cs="Times New Roman"/>
          <w:b w:val="0"/>
          <w:bCs/>
          <w:color w:val="auto"/>
          <w:sz w:val="32"/>
          <w:szCs w:val="32"/>
          <w:highlight w:val="none"/>
        </w:rPr>
      </w:pPr>
      <w:bookmarkStart w:id="2271" w:name="_Toc31497"/>
      <w:bookmarkStart w:id="2272" w:name="_Toc15451"/>
      <w:bookmarkStart w:id="2273" w:name="_Toc15338"/>
      <w:bookmarkStart w:id="2274" w:name="_Toc21031"/>
      <w:bookmarkStart w:id="2275" w:name="_Toc72338662"/>
      <w:bookmarkStart w:id="2276" w:name="_Toc24524"/>
      <w:bookmarkStart w:id="2277" w:name="_Toc12300"/>
      <w:bookmarkStart w:id="2278" w:name="_Toc25621"/>
      <w:bookmarkStart w:id="2279" w:name="_Toc489681361"/>
      <w:bookmarkStart w:id="2280" w:name="_Toc17868"/>
      <w:bookmarkStart w:id="2281" w:name="_Toc24078"/>
      <w:bookmarkStart w:id="2282" w:name="_Toc28523"/>
      <w:bookmarkStart w:id="2283" w:name="_Toc22530"/>
      <w:bookmarkStart w:id="2284" w:name="_Toc11700"/>
      <w:bookmarkStart w:id="2285" w:name="_Hlk205220692"/>
      <w:r>
        <w:rPr>
          <w:rFonts w:hint="default" w:ascii="Times New Roman" w:hAnsi="Times New Roman" w:eastAsia="楷体" w:cs="Times New Roman"/>
          <w:b w:val="0"/>
          <w:bCs/>
          <w:color w:val="auto"/>
          <w:sz w:val="32"/>
          <w:szCs w:val="32"/>
          <w:highlight w:val="none"/>
          <w:lang w:val="en-US" w:eastAsia="zh-CN"/>
        </w:rPr>
        <w:t>第二章</w:t>
      </w:r>
      <w:r>
        <w:rPr>
          <w:rFonts w:hint="default" w:ascii="Times New Roman" w:hAnsi="Times New Roman" w:eastAsia="楷体" w:cs="Times New Roman"/>
          <w:b w:val="0"/>
          <w:bCs/>
          <w:color w:val="auto"/>
          <w:sz w:val="32"/>
          <w:szCs w:val="32"/>
          <w:highlight w:val="none"/>
          <w:lang w:eastAsia="zh-CN"/>
        </w:rPr>
        <w:t xml:space="preserve"> </w:t>
      </w:r>
      <w:r>
        <w:rPr>
          <w:rFonts w:hint="default" w:ascii="Times New Roman" w:hAnsi="Times New Roman" w:eastAsia="楷体" w:cs="Times New Roman"/>
          <w:b w:val="0"/>
          <w:bCs/>
          <w:color w:val="auto"/>
          <w:sz w:val="32"/>
          <w:szCs w:val="32"/>
          <w:highlight w:val="none"/>
        </w:rPr>
        <w:t>推进</w:t>
      </w:r>
      <w:r>
        <w:rPr>
          <w:rFonts w:hint="default" w:ascii="Times New Roman" w:hAnsi="Times New Roman" w:eastAsia="楷体" w:cs="Times New Roman"/>
          <w:b w:val="0"/>
          <w:bCs/>
          <w:color w:val="auto"/>
          <w:sz w:val="32"/>
          <w:szCs w:val="32"/>
          <w:highlight w:val="none"/>
          <w:lang w:eastAsia="zh"/>
        </w:rPr>
        <w:t>平安桦川</w:t>
      </w:r>
      <w:r>
        <w:rPr>
          <w:rFonts w:hint="default" w:ascii="Times New Roman" w:hAnsi="Times New Roman" w:eastAsia="楷体" w:cs="Times New Roman"/>
          <w:b w:val="0"/>
          <w:bCs/>
          <w:color w:val="auto"/>
          <w:sz w:val="32"/>
          <w:szCs w:val="32"/>
          <w:highlight w:val="none"/>
        </w:rPr>
        <w:t>法治桦川建设</w:t>
      </w:r>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p>
    <w:bookmarkEnd w:id="2285"/>
    <w:p w14:paraId="08A1825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bookmarkStart w:id="2286" w:name="_Toc1445914392"/>
      <w:bookmarkStart w:id="2287" w:name="_Toc1740178423"/>
      <w:r>
        <w:rPr>
          <w:rFonts w:hint="default" w:ascii="Times New Roman" w:hAnsi="Times New Roman" w:eastAsia="仿宋_GB2312" w:cs="Times New Roman"/>
          <w:color w:val="auto"/>
          <w:sz w:val="32"/>
          <w:szCs w:val="32"/>
          <w:highlight w:val="none"/>
          <w:lang w:eastAsia="zh"/>
        </w:rPr>
        <w:t>完善公共安全治理体系，构建“智慧指挥、专业救援、全民参与”的大应急体系，推动公共安全治理模式向事前预防转型，提升城市韧性保障水平。</w:t>
      </w:r>
    </w:p>
    <w:p w14:paraId="48796013">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288" w:name="_Toc16537"/>
      <w:bookmarkStart w:id="2289" w:name="_Toc19311"/>
      <w:bookmarkStart w:id="2290" w:name="_Toc26366"/>
      <w:bookmarkStart w:id="2291" w:name="_Toc1691"/>
      <w:r>
        <w:rPr>
          <w:rFonts w:hint="default" w:ascii="Times New Roman" w:hAnsi="Times New Roman" w:eastAsia="仿宋_GB2312" w:cs="Times New Roman"/>
          <w:b w:val="0"/>
          <w:bCs w:val="0"/>
          <w:color w:val="auto"/>
          <w:sz w:val="32"/>
          <w:szCs w:val="32"/>
          <w:highlight w:val="none"/>
          <w:u w:val="none"/>
          <w:lang w:val="en-US" w:eastAsia="zh" w:bidi="ar"/>
          <w:woUserID w:val="0"/>
        </w:rPr>
        <w:t xml:space="preserve">第一节 </w:t>
      </w:r>
      <w:commentRangeStart w:id="32"/>
      <w:r>
        <w:rPr>
          <w:rFonts w:hint="default" w:ascii="Times New Roman" w:hAnsi="Times New Roman" w:eastAsia="仿宋_GB2312" w:cs="Times New Roman"/>
          <w:b w:val="0"/>
          <w:bCs w:val="0"/>
          <w:color w:val="auto"/>
          <w:sz w:val="32"/>
          <w:szCs w:val="32"/>
          <w:highlight w:val="none"/>
          <w:u w:val="none"/>
          <w:lang w:eastAsia="zh" w:bidi="ar"/>
          <w:woUserID w:val="0"/>
        </w:rPr>
        <w:t>提升法治建设水平</w:t>
      </w:r>
      <w:commentRangeEnd w:id="32"/>
      <w:r>
        <w:rPr>
          <w:rFonts w:hint="default" w:ascii="Times New Roman" w:hAnsi="Times New Roman" w:eastAsia="仿宋_GB2312" w:cs="Times New Roman"/>
          <w:b w:val="0"/>
          <w:bCs w:val="0"/>
          <w:color w:val="auto"/>
          <w:sz w:val="32"/>
          <w:szCs w:val="32"/>
          <w:highlight w:val="none"/>
          <w:u w:val="none"/>
          <w:lang w:eastAsia="zh" w:bidi="ar"/>
          <w:woUserID w:val="0"/>
        </w:rPr>
        <w:commentReference w:id="32"/>
      </w:r>
      <w:bookmarkEnd w:id="2286"/>
      <w:bookmarkEnd w:id="2287"/>
      <w:bookmarkEnd w:id="2288"/>
      <w:bookmarkEnd w:id="2289"/>
      <w:bookmarkEnd w:id="2290"/>
      <w:bookmarkEnd w:id="2291"/>
    </w:p>
    <w:p w14:paraId="5DA54A5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全面提升社会治理法治化水平，深入贯彻落实“放管服”改革要求，持续优化桦川法治化营商环境。加快建立执行涉政府部门诉讼案件跟踪管理制度，优化涉企律师服务机制，持续丰富法律援助惠民举措。不断深化综合行政执法规范化建设，加大柔性监管执法工作力度，着力加强基层行政执法工作指导和程序规范。加强法治文化专业队伍建设，加强普法讲师团建设，健全法治文化志愿服务体系，提高志愿服务水平。在新兴产业领域、新经济发展模式等方面强化执法能力培训和指引，规范涉企执法和监管水平。全面开展“九五”普法，增强全民法治意识，提升法治素养，依法维护社会秩序、解决社会问题、协调利益关系、推动社会事业发展，培育全社会办事依法、遇事找法、解决问题用法、化解矛盾靠法的法治环境。善于运用法治思维和法治方式指导实践、解决难题、推进工作，在推进建设法治营商、保障司法公正、深化依法治理、加强普法覆盖等工作方面持续发力，系统抓好依法治县、依法执政、依法行政，一体建设法治桦川、法治政府、法治社会，不断提高桦川法治建设整体水平，以高水平法治保障高质量发展。</w:t>
      </w:r>
    </w:p>
    <w:p w14:paraId="7664B711">
      <w:pPr>
        <w:pageBreakBefore w:val="0"/>
        <w:widowControl w:val="0"/>
        <w:kinsoku/>
        <w:wordWrap/>
        <w:overflowPunct/>
        <w:topLinePunct w:val="0"/>
        <w:autoSpaceDE/>
        <w:autoSpaceDN/>
        <w:bidi w:val="0"/>
        <w:adjustRightInd/>
        <w:snapToGrid/>
        <w:spacing w:line="560" w:lineRule="exact"/>
        <w:jc w:val="center"/>
        <w:textAlignment w:val="auto"/>
        <w:outlineLvl w:val="2"/>
        <w:rPr>
          <w:rFonts w:hint="eastAsia" w:ascii="仿宋_GB2312" w:hAnsi="仿宋_GB2312" w:eastAsia="仿宋_GB2312" w:cs="仿宋_GB2312"/>
          <w:b w:val="0"/>
          <w:bCs w:val="0"/>
          <w:color w:val="auto"/>
          <w:sz w:val="32"/>
          <w:szCs w:val="32"/>
          <w:highlight w:val="none"/>
          <w:u w:val="none"/>
          <w:lang w:eastAsia="zh" w:bidi="ar"/>
          <w:woUserID w:val="0"/>
        </w:rPr>
      </w:pPr>
      <w:bookmarkStart w:id="2292" w:name="_Toc23600"/>
      <w:bookmarkStart w:id="2293" w:name="_Toc9727"/>
      <w:bookmarkStart w:id="2294" w:name="_Toc3642544"/>
      <w:bookmarkStart w:id="2295" w:name="_Toc20037"/>
      <w:bookmarkStart w:id="2296" w:name="_Toc4429"/>
      <w:bookmarkStart w:id="2297" w:name="_Toc372096197"/>
      <w:r>
        <w:rPr>
          <w:rFonts w:hint="eastAsia" w:ascii="仿宋_GB2312" w:hAnsi="仿宋_GB2312" w:eastAsia="仿宋_GB2312" w:cs="仿宋_GB2312"/>
          <w:b w:val="0"/>
          <w:bCs w:val="0"/>
          <w:color w:val="auto"/>
          <w:sz w:val="32"/>
          <w:szCs w:val="32"/>
          <w:highlight w:val="none"/>
          <w:u w:val="none"/>
          <w:lang w:val="en-US" w:eastAsia="zh" w:bidi="ar"/>
          <w:woUserID w:val="0"/>
        </w:rPr>
        <w:t xml:space="preserve">第二节 </w:t>
      </w:r>
      <w:r>
        <w:rPr>
          <w:rFonts w:hint="eastAsia" w:ascii="仿宋_GB2312" w:hAnsi="仿宋_GB2312" w:eastAsia="仿宋_GB2312" w:cs="仿宋_GB2312"/>
          <w:b w:val="0"/>
          <w:bCs w:val="0"/>
          <w:color w:val="auto"/>
          <w:sz w:val="32"/>
          <w:szCs w:val="32"/>
          <w:highlight w:val="none"/>
          <w:u w:val="none"/>
          <w:lang w:eastAsia="zh" w:bidi="ar"/>
          <w:woUserID w:val="0"/>
        </w:rPr>
        <w:t>加快构建覆盖城乡的现代公共法律服务体系</w:t>
      </w:r>
      <w:bookmarkEnd w:id="2292"/>
      <w:bookmarkEnd w:id="2293"/>
      <w:bookmarkEnd w:id="2294"/>
      <w:bookmarkEnd w:id="2295"/>
      <w:bookmarkEnd w:id="2296"/>
      <w:bookmarkEnd w:id="2297"/>
    </w:p>
    <w:p w14:paraId="074AD5E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b/>
          <w:bCs/>
          <w:color w:val="auto"/>
          <w:sz w:val="32"/>
          <w:szCs w:val="32"/>
          <w:highlight w:val="none"/>
        </w:rPr>
      </w:pPr>
      <w:r>
        <w:rPr>
          <w:rFonts w:hint="default" w:ascii="Times New Roman" w:hAnsi="Times New Roman" w:eastAsia="仿宋_GB2312" w:cs="Times New Roman"/>
          <w:color w:val="auto"/>
          <w:sz w:val="32"/>
          <w:szCs w:val="32"/>
          <w:highlight w:val="none"/>
          <w:lang w:eastAsia="zh"/>
        </w:rPr>
        <w:t>科学编制公共法律服务规划，推进基本公共法律服务全覆盖，扩大城乡基层社会治理中的法律服务资源供给，提供法律咨询、调解、仲裁等均等化服务，为城乡居民提供必要的法律帮助和支持，充分运用非诉讼方式化解矛盾纠纷。特别是保障困难群体和特殊群众的基本法律服务需求，更好实现法律面前人人平等。持续推进“互联网＋公共法律服务”，推广应用智能法律服务技术，着力推进公共法律服务平台全覆盖，实现法律援助全流程规范化、无纸化、信息化管理。</w:t>
      </w:r>
    </w:p>
    <w:p w14:paraId="56CED228">
      <w:pPr>
        <w:pStyle w:val="3"/>
        <w:pageBreakBefore w:val="0"/>
        <w:widowControl w:val="0"/>
        <w:kinsoku/>
        <w:wordWrap/>
        <w:overflowPunct/>
        <w:topLinePunct w:val="0"/>
        <w:autoSpaceDE/>
        <w:autoSpaceDN/>
        <w:bidi w:val="0"/>
        <w:adjustRightInd/>
        <w:spacing w:before="0" w:after="0" w:line="560" w:lineRule="exact"/>
        <w:ind w:firstLine="0" w:firstLineChars="0"/>
        <w:jc w:val="center"/>
        <w:textAlignment w:val="auto"/>
        <w:rPr>
          <w:rFonts w:hint="default" w:ascii="Times New Roman" w:hAnsi="Times New Roman" w:eastAsia="楷体" w:cs="Times New Roman"/>
          <w:b w:val="0"/>
          <w:bCs/>
          <w:color w:val="auto"/>
          <w:sz w:val="32"/>
          <w:szCs w:val="32"/>
          <w:highlight w:val="none"/>
        </w:rPr>
      </w:pPr>
      <w:bookmarkStart w:id="2298" w:name="_Toc10638"/>
      <w:bookmarkStart w:id="2299" w:name="_Toc605710561"/>
      <w:bookmarkStart w:id="2300" w:name="_Toc14673"/>
      <w:bookmarkStart w:id="2301" w:name="_Toc28221"/>
      <w:bookmarkStart w:id="2302" w:name="_Toc8200"/>
      <w:bookmarkStart w:id="2303" w:name="_Toc1936726027"/>
      <w:bookmarkStart w:id="2304" w:name="_Toc2652"/>
      <w:bookmarkStart w:id="2305" w:name="_Toc22006"/>
      <w:bookmarkStart w:id="2306" w:name="_Toc7013"/>
      <w:bookmarkStart w:id="2307" w:name="_Toc5982"/>
      <w:bookmarkStart w:id="2308" w:name="_Toc13401"/>
      <w:bookmarkStart w:id="2309" w:name="_Toc10305"/>
      <w:bookmarkStart w:id="2310" w:name="_Toc13361"/>
      <w:bookmarkStart w:id="2311" w:name="_Toc2958"/>
      <w:r>
        <w:rPr>
          <w:rFonts w:hint="default" w:ascii="Times New Roman" w:hAnsi="Times New Roman" w:eastAsia="楷体" w:cs="Times New Roman"/>
          <w:b w:val="0"/>
          <w:bCs/>
          <w:color w:val="auto"/>
          <w:sz w:val="32"/>
          <w:szCs w:val="32"/>
          <w:highlight w:val="none"/>
          <w:lang w:eastAsia="zh"/>
        </w:rPr>
        <w:t>第三章</w:t>
      </w:r>
      <w:r>
        <w:rPr>
          <w:rFonts w:hint="default" w:ascii="Times New Roman" w:hAnsi="Times New Roman" w:eastAsia="楷体" w:cs="Times New Roman"/>
          <w:b w:val="0"/>
          <w:bCs/>
          <w:color w:val="auto"/>
          <w:sz w:val="32"/>
          <w:szCs w:val="32"/>
          <w:highlight w:val="none"/>
          <w:lang w:eastAsia="zh-CN"/>
        </w:rPr>
        <w:t xml:space="preserve"> </w:t>
      </w:r>
      <w:r>
        <w:rPr>
          <w:rFonts w:hint="default" w:ascii="Times New Roman" w:hAnsi="Times New Roman" w:eastAsia="楷体" w:cs="Times New Roman"/>
          <w:b w:val="0"/>
          <w:bCs/>
          <w:color w:val="auto"/>
          <w:sz w:val="32"/>
          <w:szCs w:val="32"/>
          <w:highlight w:val="none"/>
        </w:rPr>
        <w:t>推动完善社会治理体系</w:t>
      </w:r>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p>
    <w:p w14:paraId="1BB29CC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bookmarkStart w:id="2312" w:name="_Toc1807267551"/>
      <w:bookmarkStart w:id="2313" w:name="_Toc497219960"/>
      <w:r>
        <w:rPr>
          <w:rFonts w:hint="default" w:ascii="Times New Roman" w:hAnsi="Times New Roman" w:eastAsia="仿宋_GB2312" w:cs="Times New Roman"/>
          <w:color w:val="auto"/>
          <w:sz w:val="32"/>
          <w:szCs w:val="32"/>
          <w:highlight w:val="none"/>
          <w:lang w:eastAsia="zh"/>
        </w:rPr>
        <w:t>深化“枫桥经验”本地化实践，构建党委领导、多元协同、法治保障的社会治理新格局，增强基层韧性，推动治理能力与区域发展需求相适应。</w:t>
      </w:r>
    </w:p>
    <w:p w14:paraId="3CD13AEE">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314" w:name="_Toc29729"/>
      <w:bookmarkStart w:id="2315" w:name="_Toc10372"/>
      <w:bookmarkStart w:id="2316" w:name="_Toc6817"/>
      <w:bookmarkStart w:id="2317" w:name="_Toc27916"/>
      <w:bookmarkStart w:id="2318" w:name="_Toc27409"/>
      <w:bookmarkStart w:id="2319" w:name="_Toc9048"/>
      <w:r>
        <w:rPr>
          <w:rFonts w:hint="default" w:ascii="Times New Roman" w:hAnsi="Times New Roman" w:eastAsia="仿宋_GB2312" w:cs="Times New Roman"/>
          <w:b w:val="0"/>
          <w:bCs w:val="0"/>
          <w:color w:val="auto"/>
          <w:sz w:val="32"/>
          <w:szCs w:val="32"/>
          <w:highlight w:val="none"/>
          <w:u w:val="none"/>
          <w:lang w:eastAsia="zh" w:bidi="ar"/>
          <w:woUserID w:val="0"/>
        </w:rPr>
        <w:t>第一节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探索党建引领基层治理新路径</w:t>
      </w:r>
      <w:bookmarkEnd w:id="2312"/>
      <w:bookmarkEnd w:id="2313"/>
      <w:bookmarkEnd w:id="2314"/>
      <w:bookmarkEnd w:id="2315"/>
      <w:bookmarkEnd w:id="2316"/>
      <w:bookmarkEnd w:id="2317"/>
      <w:bookmarkEnd w:id="2318"/>
      <w:bookmarkEnd w:id="2319"/>
    </w:p>
    <w:p w14:paraId="294C0E4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探索党建引领基层治理新路径。完善基层党组织领导机制。发挥党总揽全局、协调各方的领导核心作用，明确党组织在基层治理中的领导地位和职责权限，促进各基层各部门协同协作，规范基层治理的工作流程和运行机制。优选培强基层党组织带头人，打造基层治理“领头雁”。织密基层治理“组织网”。创新基层党组织的组织设置与活动方式，全面推行“党建+网格”治理模式，把党员干部编入网格，实现党建工作与网格管理的有机结合，及时了解网格内的社情民意，解决网格内出现的矛盾纠纷，排查网格内可能存在的安全隐患。加强基层治理信息化平台建设。坚持把推进社会化、法治化、信息化、网格化、智能化作为完善基层治理的重要抓手。</w:t>
      </w:r>
    </w:p>
    <w:p w14:paraId="3AAFBA8D">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320" w:name="_Toc22538"/>
      <w:bookmarkStart w:id="2321" w:name="_Toc32443"/>
      <w:bookmarkStart w:id="2322" w:name="_Toc8480"/>
      <w:bookmarkStart w:id="2323" w:name="_Toc19744"/>
      <w:bookmarkStart w:id="2324" w:name="_Toc263856483"/>
      <w:bookmarkStart w:id="2325" w:name="_Toc2209"/>
      <w:bookmarkStart w:id="2326" w:name="_Toc31606"/>
      <w:bookmarkStart w:id="2327" w:name="_Toc1893009098"/>
      <w:bookmarkStart w:id="2328" w:name="_Toc30402"/>
      <w:bookmarkStart w:id="2329" w:name="_Toc1616"/>
      <w:bookmarkStart w:id="2330" w:name="_Toc15854"/>
      <w:r>
        <w:rPr>
          <w:rFonts w:hint="default" w:ascii="Times New Roman" w:hAnsi="Times New Roman" w:eastAsia="仿宋_GB2312" w:cs="Times New Roman"/>
          <w:b w:val="0"/>
          <w:bCs w:val="0"/>
          <w:color w:val="auto"/>
          <w:sz w:val="32"/>
          <w:szCs w:val="32"/>
          <w:highlight w:val="none"/>
          <w:u w:val="none"/>
          <w:lang w:eastAsia="zh" w:bidi="ar"/>
          <w:woUserID w:val="0"/>
        </w:rPr>
        <w:t>第二节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完善社会矛盾综合治理机制</w:t>
      </w:r>
      <w:bookmarkEnd w:id="2320"/>
      <w:bookmarkEnd w:id="2321"/>
      <w:bookmarkEnd w:id="2322"/>
      <w:bookmarkEnd w:id="2323"/>
      <w:bookmarkEnd w:id="2324"/>
      <w:bookmarkEnd w:id="2325"/>
      <w:bookmarkEnd w:id="2326"/>
      <w:bookmarkEnd w:id="2327"/>
      <w:bookmarkEnd w:id="2328"/>
      <w:bookmarkEnd w:id="2329"/>
      <w:bookmarkEnd w:id="2330"/>
    </w:p>
    <w:p w14:paraId="471FCD5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r>
        <w:rPr>
          <w:rFonts w:hint="default" w:ascii="Times New Roman" w:hAnsi="Times New Roman" w:eastAsia="仿宋_GB2312" w:cs="Times New Roman"/>
          <w:color w:val="auto"/>
          <w:sz w:val="32"/>
          <w:szCs w:val="32"/>
          <w:highlight w:val="none"/>
          <w:lang w:eastAsia="zh"/>
        </w:rPr>
        <w:t>坚持系统治理、依法治理、综合治理、源头治理，完善共建共治共享的社会治理制度，推进社会治理现代化。坚持和发展新时代“枫桥经验”，坚持党的群众路线，把问题解决在基层、化解在萌芽，做到“小事不出村、大事不出乡、矛盾不上交”。健全社会矛盾纠纷多元化解机制。以县、乡、村三级纵向体系和县直责任部门横向体系为依托，构建“横向到边、纵向到底”的多元化解体系，从源头防控、排查梳理、纠纷化解、应急处置采取各项措施，协调推动社会治理重心下移。深入贯彻落实《维护社会稳定责任制规定》，深化社会治安整体防控体系和能力建设，健全扫黑除恶常态化机制，强化未成年人违法犯罪预防和治理。加大预防和打击电信网络诈骗、毒品犯罪力度。健全平安建设工作机制，不断完善考核评价体系。做好重点人群风险预警，健全完善风险等级评估、分级分类施策。织密“智治网”推动治理模式“数字化”。深化“多网合一”改革。积极推进“一网统管、一办到底”解决群众诉求系统集成改革，探索民呼我应指挥调度运行工作，提升“一站式”矛盾纠纷多元化解工作智能化水平。县、乡综治中心规范化、实体化运行水平显著提升，不断完善社会治理监督处理运行机制。以县级为重点，全流程完善群众诉求登记、受理、办理等工作，做到矛盾纠纷化解“最多跑一地”，全面兜牢民生诉求底线。积极打造村级社会治理服务站。依托社区（村）党群服务中心设置社会治理工作站，统筹社区（村）法律顾问、法律明白人、人民调解员等人员进驻，积极参与社区（村）法律咨询、矛盾调解、案件纠纷化解等工作。深化“网格化+12345热线+社会治理监督”，增强社会治理服务规范性和精准性，打造区域基层治理标杆。</w:t>
      </w:r>
    </w:p>
    <w:p w14:paraId="1966FBA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p>
    <w:p w14:paraId="3C6C7B1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
        </w:rPr>
      </w:pPr>
    </w:p>
    <w:tbl>
      <w:tblPr>
        <w:tblStyle w:val="25"/>
        <w:tblW w:w="0" w:type="auto"/>
        <w:jc w:val="center"/>
        <w:tblLayout w:type="autofit"/>
        <w:tblCellMar>
          <w:top w:w="0" w:type="dxa"/>
          <w:left w:w="108" w:type="dxa"/>
          <w:bottom w:w="0" w:type="dxa"/>
          <w:right w:w="108" w:type="dxa"/>
        </w:tblCellMar>
      </w:tblPr>
      <w:tblGrid>
        <w:gridCol w:w="8296"/>
      </w:tblGrid>
      <w:tr w14:paraId="72AB35F4">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103C7691">
            <w:pPr>
              <w:spacing w:line="360" w:lineRule="exact"/>
              <w:jc w:val="center"/>
              <w:rPr>
                <w:rFonts w:hint="default" w:ascii="Times New Roman" w:hAnsi="Times New Roman" w:eastAsia="仿宋_GB2312" w:cs="Times New Roman"/>
                <w:b w:val="0"/>
                <w:bCs w:val="0"/>
                <w:color w:val="auto"/>
                <w:szCs w:val="21"/>
                <w:highlight w:val="none"/>
              </w:rPr>
            </w:pPr>
            <w:r>
              <w:rPr>
                <w:rFonts w:hint="eastAsia" w:ascii="楷体_GB2312" w:hAnsi="楷体_GB2312" w:eastAsia="楷体_GB2312" w:cs="楷体_GB2312"/>
                <w:b w:val="0"/>
                <w:bCs w:val="0"/>
                <w:color w:val="auto"/>
                <w:sz w:val="24"/>
                <w:highlight w:val="none"/>
                <w14:ligatures w14:val="standardContextual"/>
              </w:rPr>
              <w:t>专栏11-1 “十五五”时期桦川县推进基层治理现代化重点任务</w:t>
            </w:r>
          </w:p>
        </w:tc>
      </w:tr>
      <w:tr w14:paraId="0E8E3CAE">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3FC1B966">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深化基层治理体系和治理能力现代化建设</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健全基层治理党的领导体制，建立党建引领基层治理联席会议制度，推动党的领导贯穿基层治理全过程；加强基层政权治理能力建设，优化社区机构设置和职能配置，加强干部队伍建设；健全基层群众自治制度，完善社区居民会议、居民代表会议制度，培育发展社区社会组织；推进基层法治和德治建设，弘扬社会主义核心价值观，营造崇德向善的社区氛围。</w:t>
            </w:r>
          </w:p>
          <w:p w14:paraId="05689D55">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加强社区工作者队伍建设</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优化社区工作者选拔机制，建强社区“两委”班子，推动执业水平与岗位等级衔接联动。加强能力建设，健全培训机制，提升政治素质，提高履职本领，推行“全岗通”机制，培养“一专多能”社区工作全科人才。完善管理制度，建立科学合理的考核评价体系，完善社区工作者罢免、解聘等退出机制。强化激励保障，全面落实社区工作者薪酬待遇保障，建立激励发展机制，每年定期组织体检，注重关爱和激励社区“两委”兼职成员，创造良好工作条件和干事氛围。</w:t>
            </w:r>
          </w:p>
          <w:p w14:paraId="6B03B5F9">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 xml:space="preserve">加强社会治理数字化。推动社会治理体系数字化转型，统一数据标准和技术标准，智慧平台资源有效整合，不断完善“网格化+12345热线服务+社会治理监督”融合机制，实现数据互联互通，更好地服务于内部监测、事件处置。健全坚持和发展新时代“枫桥经验”，完善矛盾纠纷一站式、多元化解决机制和心理疏导服务机制，全面维护社会稳定。  </w:t>
            </w:r>
          </w:p>
          <w:p w14:paraId="77A5F565">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加强群众深度参与基层治理的载体创建</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搭建“线上+线下”议事平台，设立居民议事厅，定期组织“红色圆桌会”，开通网络意见箱等，方便群众表达意见建议。推行“微项目认领”，梳理环境整治、便民服务等民生微项目，鼓励居民自主认领实施；培育社区自治组织，孵化楼院自治小组、文体协会等，提升群众自治能力，构建共建共治共享新格局。</w:t>
            </w:r>
          </w:p>
          <w:p w14:paraId="7FC859F7">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加强业委会（物管会）规范化管理</w:t>
            </w:r>
            <w:r>
              <w:rPr>
                <w:rFonts w:hint="default" w:ascii="Times New Roman" w:hAnsi="Times New Roman" w:eastAsia="仿宋_GB2312" w:cs="Times New Roman"/>
                <w:b w:val="0"/>
                <w:bCs w:val="0"/>
                <w:color w:val="auto"/>
                <w:szCs w:val="21"/>
                <w:highlight w:val="none"/>
                <w:lang w:eastAsia="zh-CN"/>
              </w:rPr>
              <w:t>。</w:t>
            </w:r>
            <w:r>
              <w:rPr>
                <w:rFonts w:hint="default" w:ascii="Times New Roman" w:hAnsi="Times New Roman" w:eastAsia="仿宋_GB2312" w:cs="Times New Roman"/>
                <w:b w:val="0"/>
                <w:bCs w:val="0"/>
                <w:color w:val="auto"/>
                <w:szCs w:val="21"/>
                <w:highlight w:val="none"/>
              </w:rPr>
              <w:t>建立业委会年度测评和印章使用监管制度，规范业委会民主决策工作程序，加强对业委会（物管会）成员的培训，提高其政策水平和履职能力。建立监督机制，定期对业委会（物管会）工作进行考核评估，对违规行为及时纠正，引导其规范履职，维护业主合法权益，促进小区和谐稳定。</w:t>
            </w:r>
          </w:p>
        </w:tc>
      </w:tr>
    </w:tbl>
    <w:p w14:paraId="5FA28B16">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331" w:name="_Toc3270"/>
      <w:bookmarkStart w:id="2332" w:name="_Toc16689"/>
      <w:bookmarkStart w:id="2333" w:name="_Toc11174"/>
      <w:bookmarkStart w:id="2334" w:name="_Toc16330"/>
      <w:bookmarkStart w:id="2335" w:name="_Toc29552"/>
      <w:bookmarkStart w:id="2336" w:name="_Toc1728"/>
      <w:bookmarkStart w:id="2337" w:name="_Toc19206"/>
      <w:bookmarkStart w:id="2338" w:name="_Toc24710"/>
      <w:bookmarkStart w:id="2339" w:name="_Toc23412"/>
      <w:r>
        <w:rPr>
          <w:rFonts w:hint="default" w:ascii="Times New Roman" w:hAnsi="Times New Roman" w:eastAsia="仿宋_GB2312" w:cs="Times New Roman"/>
          <w:b w:val="0"/>
          <w:bCs w:val="0"/>
          <w:color w:val="auto"/>
          <w:sz w:val="32"/>
          <w:szCs w:val="32"/>
          <w:highlight w:val="none"/>
          <w:u w:val="none"/>
          <w:lang w:eastAsia="zh" w:bidi="ar"/>
          <w:woUserID w:val="0"/>
        </w:rPr>
        <w:t>第三节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全面推进信访法治化水平</w:t>
      </w:r>
      <w:bookmarkEnd w:id="2331"/>
      <w:bookmarkEnd w:id="2332"/>
      <w:bookmarkEnd w:id="2333"/>
      <w:bookmarkEnd w:id="2334"/>
      <w:bookmarkEnd w:id="2335"/>
      <w:bookmarkEnd w:id="2336"/>
      <w:bookmarkEnd w:id="2337"/>
      <w:bookmarkEnd w:id="2338"/>
      <w:bookmarkEnd w:id="2339"/>
    </w:p>
    <w:p w14:paraId="4B04D2B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坚持和发展新时代“枫桥经验”，深化矛盾纠纷排查化解，推动治理环节前置化、机制化。健全县、乡、村三级信访工作联席会议机制，实现“权责明、底数清、依法办、秩序好、群众满意”。严格落实信访工作法治化“路线图”，推动“</w:t>
      </w:r>
      <w:r>
        <w:rPr>
          <w:rFonts w:hint="default" w:ascii="Times New Roman" w:hAnsi="Times New Roman" w:eastAsia="仿宋_GB2312" w:cs="Times New Roman"/>
          <w:b w:val="0"/>
          <w:bCs w:val="0"/>
          <w:color w:val="auto"/>
          <w:sz w:val="32"/>
          <w:szCs w:val="32"/>
          <w:highlight w:val="none"/>
          <w:lang w:eastAsia="zh-CN"/>
        </w:rPr>
        <w:t>责任部门精准把握信访工作流程和方式，全面提升依法化解矛盾的能力和水平</w:t>
      </w:r>
      <w:r>
        <w:rPr>
          <w:rFonts w:hint="default" w:ascii="Times New Roman" w:hAnsi="Times New Roman" w:eastAsia="仿宋_GB2312" w:cs="Times New Roman"/>
          <w:b w:val="0"/>
          <w:bCs w:val="0"/>
          <w:color w:val="auto"/>
          <w:sz w:val="32"/>
          <w:szCs w:val="32"/>
          <w:highlight w:val="none"/>
          <w:lang w:eastAsia="zh"/>
        </w:rPr>
        <w:t>”。完善依法分类处理机制，细化重点领域“导引图”，确保信访事项精准分流、精准交办。规范信访事项受理、办理、复查、复核全流程，明确各环节时限要求和文书标准，做到程序合法、实体公正。坚持化解主体多元、方式多元、力量多元，完善调解、仲裁、行政复议、诉讼等有机衔接的多元纠纷解决机制。聚焦“应受理而不受理、应办理而不办理、应追责而不追责、应查处而不查处”问题，强化日常督办和重点督查。健全信访工作责任追究机制，对失职失责行为严肃追责问责。依法规范信访秩序，引导群众依法理性表达诉求，实现信访工作行为和群众信访行为“双向规范”。</w:t>
      </w:r>
    </w:p>
    <w:p w14:paraId="6020C2DD">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340" w:name="_Toc32586"/>
      <w:bookmarkStart w:id="2341" w:name="_Toc6977"/>
      <w:bookmarkStart w:id="2342" w:name="_Toc22622"/>
      <w:bookmarkStart w:id="2343" w:name="_Toc29156"/>
      <w:bookmarkStart w:id="2344" w:name="_Toc17671"/>
      <w:bookmarkStart w:id="2345" w:name="_Toc28320"/>
      <w:bookmarkStart w:id="2346" w:name="_Toc9677"/>
      <w:bookmarkStart w:id="2347" w:name="_Toc1994"/>
      <w:bookmarkStart w:id="2348" w:name="_Toc25489"/>
      <w:r>
        <w:rPr>
          <w:rFonts w:hint="default" w:ascii="Times New Roman" w:hAnsi="Times New Roman" w:eastAsia="仿宋_GB2312" w:cs="Times New Roman"/>
          <w:b w:val="0"/>
          <w:bCs w:val="0"/>
          <w:color w:val="auto"/>
          <w:sz w:val="32"/>
          <w:szCs w:val="32"/>
          <w:highlight w:val="none"/>
          <w:u w:val="none"/>
          <w:lang w:eastAsia="zh" w:bidi="ar"/>
          <w:woUserID w:val="0"/>
        </w:rPr>
        <w:t>第四节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依法管理</w:t>
      </w:r>
      <w:r>
        <w:rPr>
          <w:rFonts w:hint="default" w:ascii="Times New Roman" w:hAnsi="Times New Roman" w:eastAsia="仿宋_GB2312" w:cs="Times New Roman"/>
          <w:b w:val="0"/>
          <w:bCs w:val="0"/>
          <w:color w:val="auto"/>
          <w:sz w:val="32"/>
          <w:szCs w:val="32"/>
          <w:highlight w:val="none"/>
          <w:u w:val="none"/>
          <w:lang w:val="en-US" w:eastAsia="zh" w:bidi="ar"/>
          <w:woUserID w:val="0"/>
        </w:rPr>
        <w:t>民族和</w:t>
      </w:r>
      <w:r>
        <w:rPr>
          <w:rFonts w:hint="default" w:ascii="Times New Roman" w:hAnsi="Times New Roman" w:eastAsia="仿宋_GB2312" w:cs="Times New Roman"/>
          <w:b w:val="0"/>
          <w:bCs w:val="0"/>
          <w:color w:val="auto"/>
          <w:sz w:val="32"/>
          <w:szCs w:val="32"/>
          <w:highlight w:val="none"/>
          <w:u w:val="none"/>
          <w:lang w:eastAsia="zh" w:bidi="ar"/>
          <w:woUserID w:val="0"/>
        </w:rPr>
        <w:t>宗教事务</w:t>
      </w:r>
      <w:bookmarkEnd w:id="2340"/>
      <w:bookmarkEnd w:id="2341"/>
      <w:bookmarkEnd w:id="2342"/>
      <w:bookmarkEnd w:id="2343"/>
      <w:bookmarkEnd w:id="2344"/>
      <w:bookmarkEnd w:id="2345"/>
      <w:bookmarkEnd w:id="2346"/>
      <w:bookmarkEnd w:id="2347"/>
      <w:bookmarkEnd w:id="2348"/>
    </w:p>
    <w:p w14:paraId="1A8B9F8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bidi="ar"/>
        </w:rPr>
      </w:pPr>
      <w:r>
        <w:rPr>
          <w:rFonts w:hint="default" w:ascii="Times New Roman" w:hAnsi="Times New Roman" w:eastAsia="仿宋_GB2312" w:cs="Times New Roman"/>
          <w:b w:val="0"/>
          <w:bCs w:val="0"/>
          <w:color w:val="auto"/>
          <w:sz w:val="32"/>
          <w:szCs w:val="32"/>
          <w:highlight w:val="none"/>
          <w:lang w:eastAsia="zh"/>
        </w:rPr>
        <w:t>铸牢中华民族共同体意识。以铸牢中华民族共同体意识为主线，持续做好</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
        </w:rPr>
        <w:t>红石榴</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
        </w:rPr>
        <w:t>民族团结进步创建品牌，深入开展民族团结进步创建</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
        </w:rPr>
        <w:t>七进+</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
        </w:rPr>
        <w:t>活动，发挥各类阵地作用，加强各民族交往交流交融。积极对上争取少数民族发展任务资金，加快基础设施项目建设，鼓励和支持民族地区加快发展民族特色经济和优势产业，壮大民俗特色旅游产业。做好保护与传承文章，实施民族特色村寨保护工程，建设一批民族特色旅游村寨，一批民族特色和美村寨</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
        </w:rPr>
        <w:t>进一步规范宗教活动场所管理，持续开展</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
        </w:rPr>
        <w:t>三爱，四进，五史</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
        </w:rPr>
        <w:t>教育活动</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
        </w:rPr>
        <w:t>加强宗教事务管理，开展宗教干部教育整顿工作，推进宗教中国化方向，全力维护全县宗教界和谐稳定。</w:t>
      </w:r>
    </w:p>
    <w:p w14:paraId="7E460F92">
      <w:pPr>
        <w:pStyle w:val="3"/>
        <w:pageBreakBefore w:val="0"/>
        <w:widowControl w:val="0"/>
        <w:kinsoku/>
        <w:wordWrap/>
        <w:overflowPunct/>
        <w:topLinePunct w:val="0"/>
        <w:autoSpaceDE/>
        <w:autoSpaceDN/>
        <w:bidi w:val="0"/>
        <w:adjustRightInd/>
        <w:spacing w:before="0" w:after="0" w:line="560" w:lineRule="exact"/>
        <w:ind w:firstLine="0" w:firstLineChars="0"/>
        <w:jc w:val="center"/>
        <w:textAlignment w:val="auto"/>
        <w:rPr>
          <w:rFonts w:hint="default" w:ascii="Times New Roman" w:hAnsi="Times New Roman" w:eastAsia="楷体" w:cs="Times New Roman"/>
          <w:b w:val="0"/>
          <w:bCs w:val="0"/>
          <w:color w:val="auto"/>
          <w:sz w:val="32"/>
          <w:szCs w:val="32"/>
          <w:highlight w:val="none"/>
        </w:rPr>
      </w:pPr>
      <w:bookmarkStart w:id="2349" w:name="_Toc8314"/>
      <w:bookmarkStart w:id="2350" w:name="_Toc30411"/>
      <w:bookmarkStart w:id="2351" w:name="_Toc3266"/>
      <w:bookmarkStart w:id="2352" w:name="_Toc731344497"/>
      <w:bookmarkStart w:id="2353" w:name="_Toc1372279406"/>
      <w:bookmarkStart w:id="2354" w:name="_Toc23131"/>
      <w:bookmarkStart w:id="2355" w:name="_Toc14969"/>
      <w:bookmarkStart w:id="2356" w:name="_Toc26765"/>
      <w:bookmarkStart w:id="2357" w:name="_Toc30737"/>
      <w:bookmarkStart w:id="2358" w:name="_Toc27659"/>
      <w:bookmarkStart w:id="2359" w:name="_Toc20396"/>
      <w:bookmarkStart w:id="2360" w:name="_Toc30082"/>
      <w:bookmarkStart w:id="2361" w:name="_Toc8663"/>
      <w:bookmarkStart w:id="2362" w:name="_Toc13622"/>
      <w:r>
        <w:rPr>
          <w:rFonts w:hint="default" w:ascii="Times New Roman" w:hAnsi="Times New Roman" w:eastAsia="楷体" w:cs="Times New Roman"/>
          <w:b w:val="0"/>
          <w:bCs w:val="0"/>
          <w:color w:val="auto"/>
          <w:sz w:val="32"/>
          <w:szCs w:val="32"/>
          <w:highlight w:val="none"/>
        </w:rPr>
        <w:t>第</w:t>
      </w:r>
      <w:r>
        <w:rPr>
          <w:rFonts w:hint="default" w:ascii="Times New Roman" w:hAnsi="Times New Roman" w:eastAsia="楷体" w:cs="Times New Roman"/>
          <w:b w:val="0"/>
          <w:bCs w:val="0"/>
          <w:color w:val="auto"/>
          <w:sz w:val="32"/>
          <w:szCs w:val="32"/>
          <w:highlight w:val="none"/>
          <w:lang w:eastAsia="zh"/>
        </w:rPr>
        <w:t>四</w:t>
      </w:r>
      <w:r>
        <w:rPr>
          <w:rFonts w:hint="default" w:ascii="Times New Roman" w:hAnsi="Times New Roman" w:eastAsia="楷体" w:cs="Times New Roman"/>
          <w:b w:val="0"/>
          <w:bCs w:val="0"/>
          <w:color w:val="auto"/>
          <w:sz w:val="32"/>
          <w:szCs w:val="32"/>
          <w:highlight w:val="none"/>
          <w:lang w:eastAsia="zh"/>
          <w:woUserID w:val="0"/>
        </w:rPr>
        <w:t>章</w:t>
      </w:r>
      <w:r>
        <w:rPr>
          <w:rFonts w:hint="default" w:ascii="Times New Roman" w:hAnsi="Times New Roman" w:eastAsia="楷体" w:cs="Times New Roman"/>
          <w:b w:val="0"/>
          <w:bCs w:val="0"/>
          <w:color w:val="auto"/>
          <w:sz w:val="32"/>
          <w:szCs w:val="32"/>
          <w:highlight w:val="none"/>
          <w:lang w:eastAsia="zh-CN"/>
        </w:rPr>
        <w:t xml:space="preserve"> </w:t>
      </w:r>
      <w:r>
        <w:rPr>
          <w:rFonts w:hint="default" w:ascii="Times New Roman" w:hAnsi="Times New Roman" w:eastAsia="楷体" w:cs="Times New Roman"/>
          <w:b w:val="0"/>
          <w:bCs w:val="0"/>
          <w:color w:val="auto"/>
          <w:sz w:val="32"/>
          <w:szCs w:val="32"/>
          <w:highlight w:val="none"/>
        </w:rPr>
        <w:t>健全完善应急管理体系</w:t>
      </w:r>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p>
    <w:p w14:paraId="43AC5147">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363" w:name="_Toc19118"/>
      <w:bookmarkStart w:id="2364" w:name="_Toc14069"/>
      <w:bookmarkStart w:id="2365" w:name="_Toc219949811"/>
      <w:bookmarkStart w:id="2366" w:name="_Toc6828"/>
      <w:bookmarkStart w:id="2367" w:name="_Toc1811496232"/>
      <w:bookmarkStart w:id="2368" w:name="_Toc8080"/>
      <w:bookmarkStart w:id="2369" w:name="_Toc21787"/>
      <w:bookmarkStart w:id="2370" w:name="_Toc17543"/>
      <w:bookmarkStart w:id="2371" w:name="_Toc24463"/>
      <w:bookmarkStart w:id="2372" w:name="_Toc3359"/>
      <w:bookmarkStart w:id="2373" w:name="_Toc8774"/>
      <w:r>
        <w:rPr>
          <w:rFonts w:hint="default" w:ascii="Times New Roman" w:hAnsi="Times New Roman" w:eastAsia="仿宋_GB2312" w:cs="Times New Roman"/>
          <w:b w:val="0"/>
          <w:bCs w:val="0"/>
          <w:color w:val="auto"/>
          <w:sz w:val="32"/>
          <w:szCs w:val="32"/>
          <w:highlight w:val="none"/>
          <w:u w:val="none"/>
          <w:lang w:eastAsia="zh" w:bidi="ar"/>
          <w:woUserID w:val="0"/>
        </w:rPr>
        <w:t>第一节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完善三级应急指挥体系</w:t>
      </w:r>
      <w:bookmarkEnd w:id="2363"/>
      <w:bookmarkEnd w:id="2364"/>
      <w:bookmarkEnd w:id="2365"/>
      <w:bookmarkEnd w:id="2366"/>
      <w:bookmarkEnd w:id="2367"/>
      <w:bookmarkEnd w:id="2368"/>
      <w:bookmarkEnd w:id="2369"/>
      <w:bookmarkEnd w:id="2370"/>
      <w:bookmarkEnd w:id="2371"/>
      <w:bookmarkEnd w:id="2372"/>
      <w:bookmarkEnd w:id="2373"/>
    </w:p>
    <w:p w14:paraId="39067B5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在整合现有的安全生产、消防、森林防灭火、防汛抗旱、防灾减灾、灾难救助、地震地质灾害等各应急指挥机构功能基础上，完善“县、乡（镇）、社区（村）”三级系统联动的全县应急指挥体系。通过分级响应、科技赋能和制度保障三措并举，形成统一指挥、专常兼备、上下联动、平战结合的应急处置模式，打造横向到边、纵向到底的网格化应急管理模式，完善平时应急管理、及时救援指挥、统筹应急保障和社会综合配套的运行机制、平急转换规则和工作制度。完善应急会商、处置联动和信息互通机制。制定并完善应急响应机制、应急联动机制、叫应联动机制等应急指挥机制。健全各专项应急指挥机构牵头、各有关部门和单位参与的指挥联动机制，形成实战化、扁平化、合成化应急处置模式。构建智能化应急救援体系，完善应急信息互通机制，按照市级部门发布的气象、水利、应急等相关信息，充分发挥数字化应用，结合实际情况做好预警监测，精准开展预报预警，实现数字化、智能化、体系化，提升快速响应水平。围绕“防救一体”构建现代化应急体系，统筹落实联合值守、前置备勤、应急救援、特殊作业提级管理等安全防范措施。</w:t>
      </w:r>
    </w:p>
    <w:p w14:paraId="2ECBDB7D">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374" w:name="_Toc14636"/>
      <w:bookmarkStart w:id="2375" w:name="_Toc5750"/>
      <w:bookmarkStart w:id="2376" w:name="_Toc1426527883"/>
      <w:bookmarkStart w:id="2377" w:name="_Toc19971"/>
      <w:bookmarkStart w:id="2378" w:name="_Toc8729"/>
      <w:bookmarkStart w:id="2379" w:name="_Toc5065"/>
      <w:bookmarkStart w:id="2380" w:name="_Toc5660"/>
      <w:bookmarkStart w:id="2381" w:name="_Toc15953"/>
      <w:bookmarkStart w:id="2382" w:name="_Toc1502379378"/>
      <w:bookmarkStart w:id="2383" w:name="_Toc3810"/>
      <w:bookmarkStart w:id="2384" w:name="_Toc17734"/>
      <w:r>
        <w:rPr>
          <w:rFonts w:hint="default" w:ascii="Times New Roman" w:hAnsi="Times New Roman" w:eastAsia="仿宋_GB2312" w:cs="Times New Roman"/>
          <w:b w:val="0"/>
          <w:bCs w:val="0"/>
          <w:color w:val="auto"/>
          <w:sz w:val="32"/>
          <w:szCs w:val="32"/>
          <w:highlight w:val="none"/>
          <w:u w:val="none"/>
          <w:lang w:eastAsia="zh" w:bidi="ar"/>
          <w:woUserID w:val="0"/>
        </w:rPr>
        <w:t>第二节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强化应急救援队伍建设</w:t>
      </w:r>
      <w:bookmarkEnd w:id="2374"/>
      <w:bookmarkEnd w:id="2375"/>
      <w:bookmarkEnd w:id="2376"/>
      <w:bookmarkEnd w:id="2377"/>
      <w:bookmarkEnd w:id="2378"/>
      <w:bookmarkEnd w:id="2379"/>
      <w:bookmarkEnd w:id="2380"/>
      <w:bookmarkEnd w:id="2381"/>
      <w:bookmarkEnd w:id="2382"/>
      <w:bookmarkEnd w:id="2383"/>
      <w:bookmarkEnd w:id="2384"/>
    </w:p>
    <w:p w14:paraId="36E3B3E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整合县级应急救援力量、</w:t>
      </w:r>
      <w:r>
        <w:rPr>
          <w:rFonts w:hint="default" w:ascii="Times New Roman" w:hAnsi="Times New Roman" w:eastAsia="仿宋_GB2312" w:cs="Times New Roman"/>
          <w:b w:val="0"/>
          <w:bCs w:val="0"/>
          <w:color w:val="auto"/>
          <w:sz w:val="32"/>
          <w:szCs w:val="32"/>
          <w:highlight w:val="none"/>
          <w:lang w:val="en-US" w:eastAsia="zh-CN"/>
        </w:rPr>
        <w:t>乡（镇）</w:t>
      </w:r>
      <w:r>
        <w:rPr>
          <w:rFonts w:hint="default" w:ascii="Times New Roman" w:hAnsi="Times New Roman" w:eastAsia="仿宋_GB2312" w:cs="Times New Roman"/>
          <w:b w:val="0"/>
          <w:bCs w:val="0"/>
          <w:color w:val="auto"/>
          <w:sz w:val="32"/>
          <w:szCs w:val="32"/>
          <w:highlight w:val="none"/>
          <w:lang w:eastAsia="zh"/>
        </w:rPr>
        <w:t>应急救援力量、社会机构应急救援力量和企业应急救援力量，促进救援力量协调统一发展。加快推进“一专多能”的综合性应急救援队伍建设，打造成为一支专常兼备、反应灵敏、作风过硬、本领高强的应急救援队伍。持续发</w:t>
      </w:r>
      <w:r>
        <w:rPr>
          <w:rFonts w:hint="default" w:ascii="Times New Roman" w:hAnsi="Times New Roman" w:eastAsia="仿宋_GB2312" w:cs="Times New Roman"/>
          <w:b w:val="0"/>
          <w:bCs w:val="0"/>
          <w:color w:val="auto"/>
          <w:sz w:val="32"/>
          <w:szCs w:val="32"/>
          <w:highlight w:val="none"/>
          <w:lang w:val="en-US" w:eastAsia="zh-CN"/>
        </w:rPr>
        <w:t>挥乡（镇）</w:t>
      </w:r>
      <w:r>
        <w:rPr>
          <w:rFonts w:hint="default" w:ascii="Times New Roman" w:hAnsi="Times New Roman" w:eastAsia="仿宋_GB2312" w:cs="Times New Roman"/>
          <w:b w:val="0"/>
          <w:bCs w:val="0"/>
          <w:color w:val="auto"/>
          <w:sz w:val="32"/>
          <w:szCs w:val="32"/>
          <w:highlight w:val="none"/>
          <w:lang w:eastAsia="zh"/>
        </w:rPr>
        <w:t>应急救援力量优势，拓展人民群众参与应急管理的有效途径，鼓励来自各行各业的应急人员，发挥自身专业特长，提升基层应急管理能力。充分发挥社会机构应急救援力量，提供专业化资质培训，鼓励救援者积极参加应急救援。推动企业内部安全生产应急队伍拓展成企业应急救援力量，支持企业专职消防队伍人员的业务能力培训和专项学习，鼓励支持队伍人员提高救援专业素养。完善应急队伍规范管理。加强救援队伍之间的协调配合，共同提高应对各类灾害事故的救援能力。建立健全各类应急队伍花名册，完善统一调度、快速集结、合理调配、密切协作的工作机制，开展具有针对性应急演练，有计划、有组织、有重点、有实效的教育、培训，强化各队伍之间的专业技能训练，科学掌握救援知识，熟悉安全避险常识，提升队伍应急救援能力。加快完善救援队利益保障机制。在救援勤务、队伍经费、道路通行、保险制度、优待抚恤等方面加强应急队伍支撑保障。</w:t>
      </w:r>
    </w:p>
    <w:p w14:paraId="37406CC7">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385" w:name="_Toc29480"/>
      <w:bookmarkStart w:id="2386" w:name="_Toc14700"/>
      <w:bookmarkStart w:id="2387" w:name="_Toc17370"/>
      <w:bookmarkStart w:id="2388" w:name="_Toc607463838"/>
      <w:bookmarkStart w:id="2389" w:name="_Toc31959"/>
      <w:bookmarkStart w:id="2390" w:name="_Toc3591"/>
      <w:bookmarkStart w:id="2391" w:name="_Toc12101"/>
      <w:bookmarkStart w:id="2392" w:name="_Toc5317"/>
      <w:bookmarkStart w:id="2393" w:name="_Toc1317888837"/>
      <w:bookmarkStart w:id="2394" w:name="_Toc15749"/>
      <w:bookmarkStart w:id="2395" w:name="_Toc3458"/>
      <w:r>
        <w:rPr>
          <w:rFonts w:hint="default" w:ascii="Times New Roman" w:hAnsi="Times New Roman" w:eastAsia="仿宋_GB2312" w:cs="Times New Roman"/>
          <w:b w:val="0"/>
          <w:bCs w:val="0"/>
          <w:color w:val="auto"/>
          <w:sz w:val="32"/>
          <w:szCs w:val="32"/>
          <w:highlight w:val="none"/>
          <w:u w:val="none"/>
          <w:lang w:eastAsia="zh" w:bidi="ar"/>
          <w:woUserID w:val="0"/>
        </w:rPr>
        <w:t>第三节</w:t>
      </w:r>
      <w:r>
        <w:rPr>
          <w:rFonts w:hint="default" w:ascii="Times New Roman" w:hAnsi="Times New Roman" w:eastAsia="仿宋_GB2312" w:cs="Times New Roman"/>
          <w:b w:val="0"/>
          <w:bCs w:val="0"/>
          <w:color w:val="auto"/>
          <w:sz w:val="32"/>
          <w:szCs w:val="32"/>
          <w:highlight w:val="none"/>
          <w:u w:val="none"/>
          <w:lang w:eastAsia="zh-CN" w:bidi="ar"/>
          <w:woUserID w:val="0"/>
        </w:rPr>
        <w:t xml:space="preserve"> </w:t>
      </w:r>
      <w:r>
        <w:rPr>
          <w:rFonts w:hint="default" w:ascii="Times New Roman" w:hAnsi="Times New Roman" w:eastAsia="仿宋_GB2312" w:cs="Times New Roman"/>
          <w:b w:val="0"/>
          <w:bCs w:val="0"/>
          <w:color w:val="auto"/>
          <w:sz w:val="32"/>
          <w:szCs w:val="32"/>
          <w:highlight w:val="none"/>
          <w:u w:val="none"/>
          <w:lang w:eastAsia="zh" w:bidi="ar"/>
          <w:woUserID w:val="0"/>
        </w:rPr>
        <w:t>深入开展安全生产提升行动</w:t>
      </w:r>
      <w:bookmarkEnd w:id="2385"/>
      <w:bookmarkEnd w:id="2386"/>
      <w:bookmarkEnd w:id="2387"/>
      <w:bookmarkEnd w:id="2388"/>
      <w:bookmarkEnd w:id="2389"/>
      <w:bookmarkEnd w:id="2390"/>
      <w:bookmarkEnd w:id="2391"/>
      <w:bookmarkEnd w:id="2392"/>
      <w:bookmarkEnd w:id="2393"/>
      <w:bookmarkEnd w:id="2394"/>
      <w:bookmarkEnd w:id="2395"/>
    </w:p>
    <w:p w14:paraId="59DA501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建立安全生产风险防控体系。进一步压紧压实党政领导责任、部门监管责任和生产经营主体责任，构建横向到边、纵向到底的安全生产责任体系。结合信息化手段，定期研判分析安全生产形势。加强制度化常态化安全监管。严格落实安全生产责任制，从源头上防范化解重大安全风险，坚决遏制重特大事故发生。强化安全检查和隐患整改。定期开展安全生产督查专项行动，整治违规行为，打击违法行为，限期整改存在的突出问题。对生产企业、安全生产责任部门进行督导检查，督促整改安全隐患，对安全事故负责人严肃追责问责。加强重点行业领域安全风险防控。深入开展重点行业、重点领域专项治理，完善安全隐患排查和处置机制，坚决防范遏制重特大事故发生。加强对新经济、新业态分析研究、提高对新型风险的识别、监测、预警、防控能力。定期开展安全培训、应急演练。模拟突发事故应急处置全过程，通过实战演练有效检验应急预案的可行性和可操作性，进一步优化应急响应机制。提升全民安全生产意识。广泛开展安全知识宣传，增强安全防范意识，持续营造安全稳定发展环境，确保广大群众生命和财产安全。</w:t>
      </w:r>
    </w:p>
    <w:tbl>
      <w:tblPr>
        <w:tblStyle w:val="25"/>
        <w:tblW w:w="0" w:type="auto"/>
        <w:jc w:val="center"/>
        <w:tblLayout w:type="autofit"/>
        <w:tblCellMar>
          <w:top w:w="0" w:type="dxa"/>
          <w:left w:w="108" w:type="dxa"/>
          <w:bottom w:w="0" w:type="dxa"/>
          <w:right w:w="108" w:type="dxa"/>
        </w:tblCellMar>
      </w:tblPr>
      <w:tblGrid>
        <w:gridCol w:w="8296"/>
      </w:tblGrid>
      <w:tr w14:paraId="50933D8C">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01C07D4A">
            <w:pPr>
              <w:spacing w:line="360" w:lineRule="exact"/>
              <w:jc w:val="center"/>
              <w:rPr>
                <w:rFonts w:hint="default" w:ascii="Times New Roman" w:hAnsi="Times New Roman" w:eastAsia="仿宋" w:cs="Times New Roman"/>
                <w:b w:val="0"/>
                <w:bCs w:val="0"/>
                <w:color w:val="auto"/>
                <w:szCs w:val="21"/>
                <w:highlight w:val="none"/>
              </w:rPr>
            </w:pPr>
            <w:r>
              <w:rPr>
                <w:rFonts w:hint="default" w:ascii="Times New Roman" w:hAnsi="Times New Roman" w:eastAsia="楷体_GB2312" w:cs="Times New Roman"/>
                <w:b w:val="0"/>
                <w:bCs w:val="0"/>
                <w:color w:val="auto"/>
                <w:sz w:val="24"/>
                <w:highlight w:val="none"/>
                <w14:ligatures w14:val="standardContextual"/>
              </w:rPr>
              <w:t>专栏11-2 应急保障重大工程项目</w:t>
            </w:r>
          </w:p>
        </w:tc>
      </w:tr>
      <w:tr w14:paraId="6B27637F">
        <w:tblPrEx>
          <w:tblCellMar>
            <w:top w:w="0" w:type="dxa"/>
            <w:left w:w="108" w:type="dxa"/>
            <w:bottom w:w="0" w:type="dxa"/>
            <w:right w:w="108" w:type="dxa"/>
          </w:tblCellMar>
        </w:tblPrEx>
        <w:trPr>
          <w:jc w:val="center"/>
        </w:trPr>
        <w:tc>
          <w:tcPr>
            <w:tcW w:w="8296" w:type="dxa"/>
            <w:tcBorders>
              <w:top w:val="single" w:color="auto" w:sz="4" w:space="0"/>
              <w:left w:val="single" w:color="auto" w:sz="4" w:space="0"/>
              <w:bottom w:val="single" w:color="auto" w:sz="4" w:space="0"/>
              <w:right w:val="single" w:color="auto" w:sz="4" w:space="0"/>
            </w:tcBorders>
          </w:tcPr>
          <w:p w14:paraId="39455240">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桦川县应急避难场所能力提升项目。县内14处应急避难场所能力提升，乡镇11处应急避难场所能力提升，村级应急避难场所138个进行能力提升。</w:t>
            </w:r>
          </w:p>
          <w:p w14:paraId="3371425C">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桦川县基层应急物资储备点项目。在新城镇、横头山镇建设乡镇应急物资储备库2个，用于存放抢险救援物资装备</w:t>
            </w:r>
            <w:r>
              <w:rPr>
                <w:rFonts w:hint="eastAsia" w:eastAsia="仿宋_GB2312" w:cs="Times New Roman"/>
                <w:b w:val="0"/>
                <w:bCs w:val="0"/>
                <w:color w:val="auto"/>
                <w:szCs w:val="21"/>
                <w:highlight w:val="none"/>
                <w:lang w:eastAsia="zh-CN"/>
              </w:rPr>
              <w:t>器材</w:t>
            </w:r>
            <w:r>
              <w:rPr>
                <w:rFonts w:hint="default" w:ascii="Times New Roman" w:hAnsi="Times New Roman" w:eastAsia="仿宋_GB2312" w:cs="Times New Roman"/>
                <w:b w:val="0"/>
                <w:bCs w:val="0"/>
                <w:color w:val="auto"/>
                <w:szCs w:val="21"/>
                <w:highlight w:val="none"/>
              </w:rPr>
              <w:t>，建设监控、消防和货架等配套设施，以及场地硬化。</w:t>
            </w:r>
          </w:p>
          <w:p w14:paraId="1B0B867C">
            <w:pPr>
              <w:spacing w:line="360" w:lineRule="exact"/>
              <w:ind w:firstLine="420" w:firstLineChars="200"/>
              <w:rPr>
                <w:rFonts w:hint="default" w:ascii="Times New Roman" w:hAnsi="Times New Roman" w:eastAsia="仿宋_GB2312"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应急指挥中心及配套的办公和物资储备场所建设项目。为提升全县减灾能力，围绕建强应急指挥体系、强化前端灾害监测预警能力、提升“三断”应急指挥通信保底能力、合理加密消防站点和应急队伍力量、加强基层装备和物资标准化配备、提升应急避难场所规范化运行能力、提升宣教培训和应急演练能力、提升普查数据更新及成果应用能力等8个方面。</w:t>
            </w:r>
          </w:p>
          <w:p w14:paraId="7B684B8D">
            <w:pPr>
              <w:spacing w:line="360" w:lineRule="exact"/>
              <w:ind w:firstLine="420" w:firstLineChars="200"/>
              <w:rPr>
                <w:rFonts w:hint="default" w:ascii="Times New Roman" w:hAnsi="Times New Roman" w:eastAsia="仿宋" w:cs="Times New Roman"/>
                <w:b w:val="0"/>
                <w:bCs w:val="0"/>
                <w:color w:val="auto"/>
                <w:szCs w:val="21"/>
                <w:highlight w:val="none"/>
              </w:rPr>
            </w:pPr>
            <w:r>
              <w:rPr>
                <w:rFonts w:hint="default" w:ascii="Times New Roman" w:hAnsi="Times New Roman" w:eastAsia="仿宋_GB2312" w:cs="Times New Roman"/>
                <w:b w:val="0"/>
                <w:bCs w:val="0"/>
                <w:color w:val="auto"/>
                <w:szCs w:val="21"/>
                <w:highlight w:val="none"/>
              </w:rPr>
              <w:t>全省航空应急救援直升机起降点与城市人防机动指挥平台建设项目。建设直升机起降点1处，购置人防机动指挥车一辆，预计占地面积6600平方米。</w:t>
            </w:r>
          </w:p>
        </w:tc>
      </w:tr>
    </w:tbl>
    <w:p w14:paraId="2D128179">
      <w:pPr>
        <w:pageBreakBefore w:val="0"/>
        <w:widowControl w:val="0"/>
        <w:numPr>
          <w:ilvl w:val="0"/>
          <w:numId w:val="5"/>
        </w:numPr>
        <w:kinsoku/>
        <w:wordWrap/>
        <w:overflowPunct/>
        <w:topLinePunct w:val="0"/>
        <w:autoSpaceDE/>
        <w:autoSpaceDN/>
        <w:bidi w:val="0"/>
        <w:adjustRightInd/>
        <w:snapToGrid w:val="0"/>
        <w:spacing w:line="560" w:lineRule="exact"/>
        <w:ind w:firstLine="0" w:firstLineChars="0"/>
        <w:jc w:val="center"/>
        <w:textAlignment w:val="auto"/>
        <w:outlineLvl w:val="0"/>
        <w:rPr>
          <w:rFonts w:hint="default" w:ascii="Times New Roman" w:hAnsi="Times New Roman" w:eastAsia="黑体" w:cs="Times New Roman"/>
          <w:b w:val="0"/>
          <w:bCs w:val="0"/>
          <w:color w:val="auto"/>
          <w:sz w:val="32"/>
          <w:szCs w:val="32"/>
          <w:highlight w:val="none"/>
          <w14:ligatures w14:val="standardContextual"/>
        </w:rPr>
      </w:pPr>
      <w:bookmarkStart w:id="2396" w:name="_Toc23060"/>
      <w:bookmarkStart w:id="2397" w:name="_Toc18823"/>
      <w:bookmarkStart w:id="2398" w:name="_Toc31188"/>
      <w:bookmarkStart w:id="2399" w:name="_Toc9831"/>
      <w:bookmarkStart w:id="2400" w:name="_Toc1671917336"/>
      <w:bookmarkStart w:id="2401" w:name="_Toc1261878017"/>
      <w:bookmarkStart w:id="2402" w:name="_Toc6810"/>
      <w:bookmarkStart w:id="2403" w:name="_Toc7540"/>
      <w:bookmarkStart w:id="2404" w:name="_Toc7754"/>
      <w:bookmarkStart w:id="2405" w:name="_Toc20039"/>
      <w:bookmarkStart w:id="2406" w:name="_Toc20757"/>
      <w:bookmarkStart w:id="2407" w:name="_Toc23749"/>
      <w:bookmarkStart w:id="2408" w:name="_Toc8101"/>
      <w:bookmarkStart w:id="2409" w:name="_Toc31957"/>
      <w:r>
        <w:rPr>
          <w:rFonts w:hint="default" w:ascii="Times New Roman" w:hAnsi="Times New Roman" w:eastAsia="黑体" w:cs="Times New Roman"/>
          <w:b w:val="0"/>
          <w:bCs w:val="0"/>
          <w:color w:val="auto"/>
          <w:sz w:val="32"/>
          <w:szCs w:val="32"/>
          <w:highlight w:val="none"/>
          <w14:ligatures w14:val="standardContextual"/>
        </w:rPr>
        <w:t>强化</w:t>
      </w:r>
      <w:r>
        <w:rPr>
          <w:rFonts w:hint="default" w:ascii="Times New Roman" w:hAnsi="Times New Roman" w:eastAsia="黑体" w:cs="Times New Roman"/>
          <w:b w:val="0"/>
          <w:bCs w:val="0"/>
          <w:color w:val="auto"/>
          <w:sz w:val="32"/>
          <w:szCs w:val="32"/>
          <w:highlight w:val="none"/>
          <w:lang w:val="en-US" w:eastAsia="zh-CN"/>
          <w14:ligatures w14:val="standardContextual"/>
        </w:rPr>
        <w:t>规划实施</w:t>
      </w:r>
      <w:r>
        <w:rPr>
          <w:rFonts w:hint="default" w:ascii="Times New Roman" w:hAnsi="Times New Roman" w:eastAsia="黑体" w:cs="Times New Roman"/>
          <w:b w:val="0"/>
          <w:bCs w:val="0"/>
          <w:color w:val="auto"/>
          <w:sz w:val="32"/>
          <w:szCs w:val="32"/>
          <w:highlight w:val="none"/>
          <w14:ligatures w14:val="standardContextual"/>
        </w:rPr>
        <w:t>保障  勠力同心铸就现代桦川</w:t>
      </w:r>
    </w:p>
    <w:p w14:paraId="63AF985D">
      <w:pPr>
        <w:pageBreakBefore w:val="0"/>
        <w:widowControl w:val="0"/>
        <w:numPr>
          <w:ilvl w:val="0"/>
          <w:numId w:val="0"/>
        </w:numPr>
        <w:kinsoku/>
        <w:wordWrap/>
        <w:overflowPunct/>
        <w:topLinePunct w:val="0"/>
        <w:autoSpaceDE/>
        <w:autoSpaceDN/>
        <w:bidi w:val="0"/>
        <w:adjustRightInd/>
        <w:snapToGrid w:val="0"/>
        <w:spacing w:line="560" w:lineRule="exact"/>
        <w:jc w:val="center"/>
        <w:textAlignment w:val="auto"/>
        <w:outlineLvl w:val="0"/>
        <w:rPr>
          <w:rFonts w:hint="default" w:ascii="Times New Roman" w:hAnsi="Times New Roman" w:eastAsia="黑体" w:cs="Times New Roman"/>
          <w:b w:val="0"/>
          <w:bCs w:val="0"/>
          <w:color w:val="auto"/>
          <w:sz w:val="32"/>
          <w:szCs w:val="32"/>
          <w:highlight w:val="none"/>
          <w14:ligatures w14:val="standardContextual"/>
        </w:rPr>
      </w:pPr>
      <w:r>
        <w:rPr>
          <w:rFonts w:hint="default" w:ascii="Times New Roman" w:hAnsi="Times New Roman" w:eastAsia="黑体" w:cs="Times New Roman"/>
          <w:b w:val="0"/>
          <w:bCs w:val="0"/>
          <w:color w:val="auto"/>
          <w:sz w:val="32"/>
          <w:szCs w:val="32"/>
          <w:highlight w:val="none"/>
          <w14:ligatures w14:val="standardContextual"/>
        </w:rPr>
        <w:t>宏伟蓝图</w:t>
      </w:r>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p>
    <w:p w14:paraId="33F6C60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lang w:bidi="ar"/>
        </w:rPr>
      </w:pPr>
      <w:r>
        <w:rPr>
          <w:rFonts w:hint="default" w:ascii="Times New Roman" w:hAnsi="Times New Roman" w:eastAsia="仿宋_GB2312" w:cs="Times New Roman"/>
          <w:b w:val="0"/>
          <w:bCs w:val="0"/>
          <w:color w:val="auto"/>
          <w:sz w:val="32"/>
          <w:szCs w:val="32"/>
          <w:highlight w:val="none"/>
          <w:lang w:eastAsia="zh"/>
        </w:rPr>
        <w:t>坚持将党的领导贯穿规划实施全过程，全面加强党的领导，强化规划战略导向引领，统筹推进规划组织实施，广泛凝聚全社会各方力量，勠力同心确保顺利实现“十五五”规划宏伟蓝图。</w:t>
      </w:r>
    </w:p>
    <w:p w14:paraId="79CB1B71">
      <w:pPr>
        <w:pStyle w:val="3"/>
        <w:pageBreakBefore w:val="0"/>
        <w:widowControl w:val="0"/>
        <w:kinsoku/>
        <w:wordWrap/>
        <w:overflowPunct/>
        <w:topLinePunct w:val="0"/>
        <w:autoSpaceDE/>
        <w:autoSpaceDN/>
        <w:bidi w:val="0"/>
        <w:adjustRightInd/>
        <w:spacing w:before="0" w:after="0" w:line="560" w:lineRule="exact"/>
        <w:ind w:firstLine="0" w:firstLineChars="0"/>
        <w:jc w:val="center"/>
        <w:textAlignment w:val="auto"/>
        <w:rPr>
          <w:rFonts w:hint="default" w:ascii="Times New Roman" w:hAnsi="Times New Roman" w:eastAsia="楷体" w:cs="Times New Roman"/>
          <w:b w:val="0"/>
          <w:bCs w:val="0"/>
          <w:color w:val="auto"/>
          <w:sz w:val="32"/>
          <w:szCs w:val="32"/>
          <w:highlight w:val="none"/>
        </w:rPr>
      </w:pPr>
      <w:bookmarkStart w:id="2410" w:name="_Toc815988005"/>
      <w:bookmarkStart w:id="2411" w:name="_Toc499108107"/>
      <w:bookmarkStart w:id="2412" w:name="_Toc25123"/>
      <w:bookmarkStart w:id="2413" w:name="_Toc24217"/>
      <w:bookmarkStart w:id="2414" w:name="_Toc21084"/>
      <w:bookmarkStart w:id="2415" w:name="_Toc15695"/>
      <w:bookmarkStart w:id="2416" w:name="_Toc1393"/>
      <w:bookmarkStart w:id="2417" w:name="_Toc13676"/>
      <w:bookmarkStart w:id="2418" w:name="_Toc19233"/>
      <w:bookmarkStart w:id="2419" w:name="_Toc18140"/>
      <w:bookmarkStart w:id="2420" w:name="_Toc28725"/>
      <w:bookmarkStart w:id="2421" w:name="_Toc14813"/>
      <w:bookmarkStart w:id="2422" w:name="_Toc5411"/>
      <w:bookmarkStart w:id="2423" w:name="_Toc24248"/>
      <w:r>
        <w:rPr>
          <w:rFonts w:hint="default" w:ascii="Times New Roman" w:hAnsi="Times New Roman" w:eastAsia="楷体" w:cs="Times New Roman"/>
          <w:b w:val="0"/>
          <w:bCs w:val="0"/>
          <w:color w:val="auto"/>
          <w:sz w:val="32"/>
          <w:szCs w:val="32"/>
          <w:highlight w:val="none"/>
        </w:rPr>
        <w:t>第一</w:t>
      </w:r>
      <w:r>
        <w:rPr>
          <w:rFonts w:hint="default" w:ascii="Times New Roman" w:hAnsi="Times New Roman" w:eastAsia="楷体" w:cs="Times New Roman"/>
          <w:b w:val="0"/>
          <w:bCs w:val="0"/>
          <w:color w:val="auto"/>
          <w:sz w:val="32"/>
          <w:szCs w:val="32"/>
          <w:highlight w:val="none"/>
          <w:lang w:eastAsia="zh"/>
          <w:woUserID w:val="0"/>
        </w:rPr>
        <w:t>章</w:t>
      </w:r>
      <w:r>
        <w:rPr>
          <w:rFonts w:hint="default" w:ascii="Times New Roman" w:hAnsi="Times New Roman" w:eastAsia="楷体" w:cs="Times New Roman"/>
          <w:b w:val="0"/>
          <w:bCs w:val="0"/>
          <w:color w:val="auto"/>
          <w:sz w:val="32"/>
          <w:szCs w:val="32"/>
          <w:highlight w:val="none"/>
          <w:lang w:eastAsia="zh-CN"/>
        </w:rPr>
        <w:t xml:space="preserve"> </w:t>
      </w:r>
      <w:r>
        <w:rPr>
          <w:rFonts w:hint="default" w:ascii="Times New Roman" w:hAnsi="Times New Roman" w:eastAsia="楷体" w:cs="Times New Roman"/>
          <w:b w:val="0"/>
          <w:bCs w:val="0"/>
          <w:color w:val="auto"/>
          <w:sz w:val="32"/>
          <w:szCs w:val="32"/>
          <w:highlight w:val="none"/>
        </w:rPr>
        <w:t>加强党的全面领导</w:t>
      </w:r>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p>
    <w:p w14:paraId="5BE7553E">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424" w:name="_Toc19659"/>
      <w:bookmarkStart w:id="2425" w:name="_Toc26432"/>
      <w:bookmarkStart w:id="2426" w:name="_Toc10721"/>
      <w:bookmarkStart w:id="2427" w:name="_Toc24933"/>
      <w:bookmarkStart w:id="2428" w:name="_Toc407"/>
      <w:bookmarkStart w:id="2429" w:name="_Toc14167"/>
      <w:bookmarkStart w:id="2430" w:name="_Toc9368"/>
      <w:bookmarkStart w:id="2431" w:name="_Toc17507"/>
      <w:bookmarkStart w:id="2432" w:name="_Toc15911"/>
      <w:bookmarkStart w:id="2433" w:name="_Toc1687127917"/>
      <w:bookmarkStart w:id="2434" w:name="_Toc372801107"/>
      <w:r>
        <w:rPr>
          <w:rFonts w:hint="default" w:ascii="Times New Roman" w:hAnsi="Times New Roman" w:eastAsia="仿宋_GB2312" w:cs="Times New Roman"/>
          <w:b w:val="0"/>
          <w:bCs w:val="0"/>
          <w:color w:val="auto"/>
          <w:sz w:val="32"/>
          <w:szCs w:val="32"/>
          <w:highlight w:val="none"/>
          <w:u w:val="none"/>
          <w:lang w:eastAsia="zh" w:bidi="ar"/>
          <w:woUserID w:val="0"/>
        </w:rPr>
        <w:t>第一节 充分发挥党的核心领导作用</w:t>
      </w:r>
      <w:bookmarkEnd w:id="2424"/>
      <w:bookmarkEnd w:id="2425"/>
      <w:bookmarkEnd w:id="2426"/>
      <w:bookmarkEnd w:id="2427"/>
      <w:bookmarkEnd w:id="2428"/>
      <w:bookmarkEnd w:id="2429"/>
      <w:bookmarkEnd w:id="2430"/>
      <w:bookmarkEnd w:id="2431"/>
      <w:bookmarkEnd w:id="2432"/>
      <w:bookmarkEnd w:id="2433"/>
      <w:bookmarkEnd w:id="2434"/>
    </w:p>
    <w:p w14:paraId="316169E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充分发挥党的核心领导作用，全面贯彻新时代党的建设总要求，强化县委领导经济社会工作制度化建设，统筹解决经济社会发展中的重大问题，把党的领导贯穿全县经济社会发展全过程，进一步提高党把方向、谋大局、定政策、促改革的能力和定力。健全党领导经济社会发展机制，加强党对经济工作的战略谋划和统一领导，发挥党统领全局的制度优势，健全县委定期研究分析经济形势、决定重大经济事项的机制，加强党组织研究经济社会发展重大问题，及时研究经济社会领域重大改革，确保全县经济始终沿着正确方向发展。</w:t>
      </w:r>
    </w:p>
    <w:p w14:paraId="6FE90D29">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435" w:name="_Toc25682"/>
      <w:bookmarkStart w:id="2436" w:name="_Toc741387352"/>
      <w:bookmarkStart w:id="2437" w:name="_Toc26476"/>
      <w:bookmarkStart w:id="2438" w:name="_Toc31614"/>
      <w:bookmarkStart w:id="2439" w:name="_Toc27969"/>
      <w:bookmarkStart w:id="2440" w:name="_Toc20706"/>
      <w:bookmarkStart w:id="2441" w:name="_Toc1054405407"/>
      <w:bookmarkStart w:id="2442" w:name="_Toc8102"/>
      <w:bookmarkStart w:id="2443" w:name="_Toc7300"/>
      <w:bookmarkStart w:id="2444" w:name="_Toc23572"/>
      <w:bookmarkStart w:id="2445" w:name="_Toc27185"/>
      <w:r>
        <w:rPr>
          <w:rFonts w:hint="default" w:ascii="Times New Roman" w:hAnsi="Times New Roman" w:eastAsia="仿宋_GB2312" w:cs="Times New Roman"/>
          <w:b w:val="0"/>
          <w:bCs w:val="0"/>
          <w:color w:val="auto"/>
          <w:sz w:val="32"/>
          <w:szCs w:val="32"/>
          <w:highlight w:val="none"/>
          <w:u w:val="none"/>
          <w:lang w:eastAsia="zh" w:bidi="ar"/>
          <w:woUserID w:val="0"/>
        </w:rPr>
        <w:t>第二节 激发激励党员干部担当作为</w:t>
      </w:r>
      <w:bookmarkEnd w:id="2435"/>
      <w:bookmarkEnd w:id="2436"/>
      <w:bookmarkEnd w:id="2437"/>
      <w:bookmarkEnd w:id="2438"/>
      <w:bookmarkEnd w:id="2439"/>
      <w:bookmarkEnd w:id="2440"/>
      <w:bookmarkEnd w:id="2441"/>
      <w:bookmarkEnd w:id="2442"/>
      <w:bookmarkEnd w:id="2443"/>
      <w:bookmarkEnd w:id="2444"/>
      <w:bookmarkEnd w:id="2445"/>
    </w:p>
    <w:p w14:paraId="0AA8477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val="0"/>
          <w:bCs w:val="0"/>
          <w:color w:val="auto"/>
          <w:sz w:val="32"/>
          <w:szCs w:val="32"/>
          <w:highlight w:val="none"/>
          <w:lang w:eastAsia="zh"/>
        </w:rPr>
        <w:t>激发激励党员干部担当作为，强化以正确用人导向激励干部担当作为的机制建设，让干部“敢为”，强化正向激励作用，</w:t>
      </w:r>
      <w:r>
        <w:rPr>
          <w:rFonts w:hint="default" w:ascii="Times New Roman" w:hAnsi="Times New Roman" w:eastAsia="仿宋_GB2312" w:cs="Times New Roman"/>
          <w:b w:val="0"/>
          <w:bCs w:val="0"/>
          <w:color w:val="auto"/>
          <w:sz w:val="32"/>
          <w:szCs w:val="32"/>
          <w:highlight w:val="none"/>
          <w:lang w:eastAsia="zh-CN"/>
        </w:rPr>
        <w:t>加强干部</w:t>
      </w:r>
      <w:r>
        <w:rPr>
          <w:rFonts w:hint="default" w:ascii="Times New Roman" w:hAnsi="Times New Roman" w:eastAsia="仿宋_GB2312" w:cs="Times New Roman"/>
          <w:b w:val="0"/>
          <w:bCs w:val="0"/>
          <w:color w:val="auto"/>
          <w:sz w:val="32"/>
          <w:szCs w:val="32"/>
          <w:highlight w:val="none"/>
          <w:lang w:val="en-US" w:eastAsia="zh-CN"/>
        </w:rPr>
        <w:t>党性</w:t>
      </w:r>
      <w:r>
        <w:rPr>
          <w:rFonts w:hint="default" w:ascii="Times New Roman" w:hAnsi="Times New Roman" w:eastAsia="仿宋_GB2312" w:cs="Times New Roman"/>
          <w:b w:val="0"/>
          <w:bCs w:val="0"/>
          <w:color w:val="auto"/>
          <w:sz w:val="32"/>
          <w:szCs w:val="32"/>
          <w:highlight w:val="none"/>
          <w:lang w:eastAsia="zh-CN"/>
        </w:rPr>
        <w:t>教育、</w:t>
      </w:r>
      <w:r>
        <w:rPr>
          <w:rFonts w:hint="default" w:ascii="Times New Roman" w:hAnsi="Times New Roman" w:eastAsia="仿宋_GB2312" w:cs="Times New Roman"/>
          <w:b w:val="0"/>
          <w:bCs w:val="0"/>
          <w:sz w:val="32"/>
          <w:szCs w:val="32"/>
          <w:lang w:val="en-US" w:eastAsia="zh-CN"/>
        </w:rPr>
        <w:t>现代化技能</w:t>
      </w:r>
      <w:r>
        <w:rPr>
          <w:rFonts w:hint="default" w:ascii="Times New Roman" w:hAnsi="Times New Roman" w:eastAsia="仿宋_GB2312" w:cs="Times New Roman"/>
          <w:b w:val="0"/>
          <w:bCs w:val="0"/>
          <w:color w:val="auto"/>
          <w:sz w:val="32"/>
          <w:szCs w:val="32"/>
          <w:highlight w:val="none"/>
          <w:lang w:eastAsia="zh-CN"/>
        </w:rPr>
        <w:t>培训和实践锻炼。</w:t>
      </w:r>
      <w:r>
        <w:rPr>
          <w:rFonts w:hint="default" w:ascii="Times New Roman" w:hAnsi="Times New Roman" w:eastAsia="仿宋_GB2312" w:cs="Times New Roman"/>
          <w:b w:val="0"/>
          <w:bCs w:val="0"/>
          <w:color w:val="auto"/>
          <w:sz w:val="32"/>
          <w:szCs w:val="32"/>
          <w:highlight w:val="none"/>
          <w:lang w:eastAsia="zh"/>
        </w:rPr>
        <w:t>组织部门把好选人用人标准关，及时将政治过硬、能力突出、敢于担当的好干部纳入组织视野，突出把好干部政治关、能力关、廉洁关，大力选拔“让组织放心的干部”。完善选人用人制度体系，坚持重实践、重实干、重实绩，让有为者有位、能干者能上、优秀者优先。让不担当不作为的干部受到警醒，推动形成能者上、庸者下、劣者汰的用人导向。坚持严管和厚爱结合、激励和约束并重，更好激发广大党员干部的积极性、主动性、创造性。</w:t>
      </w:r>
      <w:r>
        <w:rPr>
          <w:rFonts w:hint="default" w:ascii="Times New Roman" w:hAnsi="Times New Roman" w:eastAsia="仿宋_GB2312" w:cs="Times New Roman"/>
          <w:b w:val="0"/>
          <w:bCs w:val="0"/>
          <w:sz w:val="32"/>
          <w:szCs w:val="32"/>
          <w:lang w:val="en-US" w:eastAsia="zh-CN"/>
        </w:rPr>
        <w:t>加强干部队伍培训，</w:t>
      </w:r>
      <w:r>
        <w:rPr>
          <w:rFonts w:hint="default" w:ascii="Times New Roman" w:hAnsi="Times New Roman" w:eastAsia="仿宋_GB2312" w:cs="Times New Roman"/>
          <w:b w:val="0"/>
          <w:bCs w:val="0"/>
          <w:color w:val="auto"/>
          <w:sz w:val="32"/>
          <w:szCs w:val="32"/>
          <w:highlight w:val="none"/>
          <w:lang w:eastAsia="zh"/>
        </w:rPr>
        <w:t>全力营造良好干事创业氛围，激发干部敢闯敢试的创业精神。落实容错免责机制，鼓励干部干事创业、大胆作为。</w:t>
      </w:r>
      <w:bookmarkStart w:id="2446" w:name="_Toc1564370077"/>
      <w:bookmarkStart w:id="2447" w:name="_Toc4065998"/>
      <w:r>
        <w:rPr>
          <w:rFonts w:hint="default" w:ascii="Times New Roman" w:hAnsi="Times New Roman" w:eastAsia="仿宋_GB2312" w:cs="Times New Roman"/>
          <w:b w:val="0"/>
          <w:bCs w:val="0"/>
          <w:color w:val="auto"/>
          <w:sz w:val="32"/>
          <w:szCs w:val="32"/>
          <w:highlight w:val="none"/>
          <w:lang w:eastAsia="zh"/>
        </w:rPr>
        <w:t>落实习近平总书记关于加强党的作风建设的重要论述，深化治低治粗治差创优“三治一创”，认真落实“五细”重要要求和“四下基层”制度，推动各级干部解放思想、转变观念，促进履职能力不断提升，工作作风不断优化</w:t>
      </w:r>
      <w:r>
        <w:rPr>
          <w:rFonts w:hint="default" w:ascii="Times New Roman" w:hAnsi="Times New Roman" w:eastAsia="仿宋_GB2312" w:cs="Times New Roman"/>
          <w:b w:val="0"/>
          <w:bCs w:val="0"/>
          <w:color w:val="auto"/>
          <w:sz w:val="32"/>
          <w:szCs w:val="32"/>
          <w:highlight w:val="none"/>
          <w:lang w:eastAsia="zh-CN"/>
        </w:rPr>
        <w:t>。</w:t>
      </w:r>
    </w:p>
    <w:p w14:paraId="0D9335BE">
      <w:pPr>
        <w:pStyle w:val="3"/>
        <w:pageBreakBefore w:val="0"/>
        <w:widowControl w:val="0"/>
        <w:kinsoku/>
        <w:wordWrap/>
        <w:overflowPunct/>
        <w:topLinePunct w:val="0"/>
        <w:autoSpaceDE/>
        <w:autoSpaceDN/>
        <w:bidi w:val="0"/>
        <w:adjustRightInd/>
        <w:spacing w:before="0" w:after="0" w:line="560" w:lineRule="exact"/>
        <w:ind w:firstLine="0" w:firstLineChars="0"/>
        <w:jc w:val="center"/>
        <w:textAlignment w:val="auto"/>
        <w:rPr>
          <w:rFonts w:hint="default" w:ascii="Times New Roman" w:hAnsi="Times New Roman" w:eastAsia="楷体" w:cs="Times New Roman"/>
          <w:b w:val="0"/>
          <w:bCs w:val="0"/>
          <w:color w:val="auto"/>
          <w:sz w:val="32"/>
          <w:szCs w:val="32"/>
          <w:highlight w:val="none"/>
        </w:rPr>
      </w:pPr>
      <w:bookmarkStart w:id="2448" w:name="_Toc24281"/>
      <w:bookmarkStart w:id="2449" w:name="_Toc13812"/>
      <w:bookmarkStart w:id="2450" w:name="_Toc8327"/>
      <w:bookmarkStart w:id="2451" w:name="_Toc6186"/>
      <w:bookmarkStart w:id="2452" w:name="_Toc23018"/>
      <w:bookmarkStart w:id="2453" w:name="_Toc13299"/>
      <w:bookmarkStart w:id="2454" w:name="_Toc5118"/>
      <w:bookmarkStart w:id="2455" w:name="_Toc26523"/>
      <w:bookmarkStart w:id="2456" w:name="_Toc811"/>
      <w:bookmarkStart w:id="2457" w:name="_Toc27589"/>
      <w:bookmarkStart w:id="2458" w:name="_Toc1025"/>
      <w:bookmarkStart w:id="2459" w:name="_Toc11139"/>
      <w:r>
        <w:rPr>
          <w:rFonts w:hint="default" w:ascii="Times New Roman" w:hAnsi="Times New Roman" w:eastAsia="楷体" w:cs="Times New Roman"/>
          <w:b w:val="0"/>
          <w:bCs w:val="0"/>
          <w:color w:val="auto"/>
          <w:sz w:val="32"/>
          <w:szCs w:val="32"/>
          <w:highlight w:val="none"/>
        </w:rPr>
        <w:t>第二</w:t>
      </w:r>
      <w:r>
        <w:rPr>
          <w:rFonts w:hint="default" w:ascii="Times New Roman" w:hAnsi="Times New Roman" w:eastAsia="楷体" w:cs="Times New Roman"/>
          <w:b w:val="0"/>
          <w:bCs w:val="0"/>
          <w:color w:val="auto"/>
          <w:sz w:val="32"/>
          <w:szCs w:val="32"/>
          <w:highlight w:val="none"/>
          <w:lang w:eastAsia="zh"/>
          <w:woUserID w:val="0"/>
        </w:rPr>
        <w:t>章</w:t>
      </w:r>
      <w:r>
        <w:rPr>
          <w:rFonts w:hint="default" w:ascii="Times New Roman" w:hAnsi="Times New Roman" w:eastAsia="楷体" w:cs="Times New Roman"/>
          <w:b w:val="0"/>
          <w:bCs w:val="0"/>
          <w:color w:val="auto"/>
          <w:sz w:val="32"/>
          <w:szCs w:val="32"/>
          <w:highlight w:val="none"/>
          <w:lang w:eastAsia="zh-CN"/>
        </w:rPr>
        <w:t xml:space="preserve"> </w:t>
      </w:r>
      <w:r>
        <w:rPr>
          <w:rFonts w:hint="default" w:ascii="Times New Roman" w:hAnsi="Times New Roman" w:eastAsia="楷体" w:cs="Times New Roman"/>
          <w:b w:val="0"/>
          <w:bCs w:val="0"/>
          <w:color w:val="auto"/>
          <w:sz w:val="32"/>
          <w:szCs w:val="32"/>
          <w:highlight w:val="none"/>
        </w:rPr>
        <w:t>强化规划导向引领</w:t>
      </w:r>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p>
    <w:p w14:paraId="10E9CD31">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460" w:name="_Toc1372349305"/>
      <w:bookmarkStart w:id="2461" w:name="_Toc30707"/>
      <w:bookmarkStart w:id="2462" w:name="_Toc12557"/>
      <w:bookmarkStart w:id="2463" w:name="_Toc8306"/>
      <w:bookmarkStart w:id="2464" w:name="_Toc7200"/>
      <w:bookmarkStart w:id="2465" w:name="_Toc23115"/>
      <w:bookmarkStart w:id="2466" w:name="_Toc25486"/>
      <w:bookmarkStart w:id="2467" w:name="_Toc10107"/>
      <w:bookmarkStart w:id="2468" w:name="_Toc337629560"/>
      <w:bookmarkStart w:id="2469" w:name="_Toc24893"/>
      <w:bookmarkStart w:id="2470" w:name="_Toc20697"/>
      <w:r>
        <w:rPr>
          <w:rFonts w:hint="default" w:ascii="Times New Roman" w:hAnsi="Times New Roman" w:eastAsia="仿宋_GB2312" w:cs="Times New Roman"/>
          <w:b w:val="0"/>
          <w:bCs w:val="0"/>
          <w:color w:val="auto"/>
          <w:sz w:val="32"/>
          <w:szCs w:val="32"/>
          <w:highlight w:val="none"/>
          <w:u w:val="none"/>
          <w:lang w:eastAsia="zh" w:bidi="ar"/>
          <w:woUserID w:val="0"/>
        </w:rPr>
        <w:t>第一节 推进规划统一体系建设</w:t>
      </w:r>
      <w:bookmarkEnd w:id="2460"/>
      <w:bookmarkEnd w:id="2461"/>
      <w:bookmarkEnd w:id="2462"/>
      <w:bookmarkEnd w:id="2463"/>
      <w:bookmarkEnd w:id="2464"/>
      <w:bookmarkEnd w:id="2465"/>
      <w:bookmarkEnd w:id="2466"/>
      <w:bookmarkEnd w:id="2467"/>
      <w:bookmarkEnd w:id="2468"/>
      <w:bookmarkEnd w:id="2469"/>
      <w:bookmarkEnd w:id="2470"/>
    </w:p>
    <w:p w14:paraId="57755062">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推进规划统一体系建设，贯彻落实国家“多规合一”改革要求，建立分级分类规划体系，形成下位规划服从上位规划、下级规划服务上级规划、等位规划相互协调的统一规划体系。加强总体规划与专项规划、区域规划之间的衔接协调。建立健全规划实施的保障机制，加强对规划实施的跟踪监测和评估。</w:t>
      </w:r>
    </w:p>
    <w:p w14:paraId="702B21E0">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471" w:name="_Toc21847"/>
      <w:bookmarkStart w:id="2472" w:name="_Toc1897"/>
      <w:bookmarkStart w:id="2473" w:name="_Toc7674040"/>
      <w:bookmarkStart w:id="2474" w:name="_Toc15010"/>
      <w:bookmarkStart w:id="2475" w:name="_Toc25506"/>
      <w:bookmarkStart w:id="2476" w:name="_Toc6389"/>
      <w:bookmarkStart w:id="2477" w:name="_Toc31210"/>
      <w:bookmarkStart w:id="2478" w:name="_Toc574380919"/>
      <w:bookmarkStart w:id="2479" w:name="_Toc18910"/>
      <w:bookmarkStart w:id="2480" w:name="_Toc10035"/>
      <w:bookmarkStart w:id="2481" w:name="_Toc10588"/>
      <w:r>
        <w:rPr>
          <w:rFonts w:hint="default" w:ascii="Times New Roman" w:hAnsi="Times New Roman" w:eastAsia="仿宋_GB2312" w:cs="Times New Roman"/>
          <w:b w:val="0"/>
          <w:bCs w:val="0"/>
          <w:color w:val="auto"/>
          <w:sz w:val="32"/>
          <w:szCs w:val="32"/>
          <w:highlight w:val="none"/>
          <w:u w:val="none"/>
          <w:lang w:eastAsia="zh" w:bidi="ar"/>
          <w:woUserID w:val="0"/>
        </w:rPr>
        <w:t>第二节 增强规划的指导性、权威性和严肃性</w:t>
      </w:r>
      <w:bookmarkEnd w:id="2471"/>
      <w:bookmarkEnd w:id="2472"/>
      <w:bookmarkEnd w:id="2473"/>
      <w:bookmarkEnd w:id="2474"/>
      <w:bookmarkEnd w:id="2475"/>
      <w:bookmarkEnd w:id="2476"/>
      <w:bookmarkEnd w:id="2477"/>
      <w:bookmarkEnd w:id="2478"/>
      <w:bookmarkEnd w:id="2479"/>
      <w:bookmarkEnd w:id="2480"/>
      <w:bookmarkEnd w:id="2481"/>
    </w:p>
    <w:p w14:paraId="49D0D32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增强规划的指导性、权威性和严肃性，发挥本规划的战略导向作用，专项规划、区域规划、空间规划的支撑作用，确保总体要求一致、空间配置一致、时序安排一致。建立“多规合一、任务分解、体检评估、督查问责”的统筹实施机制，统筹各个部门的规划，成为全县“一张蓝图、一个目标”。</w:t>
      </w:r>
    </w:p>
    <w:p w14:paraId="30E81443">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482" w:name="_Toc2014124887"/>
      <w:bookmarkStart w:id="2483" w:name="_Toc433"/>
      <w:bookmarkStart w:id="2484" w:name="_Toc22579"/>
      <w:bookmarkStart w:id="2485" w:name="_Toc594798713"/>
      <w:bookmarkStart w:id="2486" w:name="_Toc25294"/>
      <w:bookmarkStart w:id="2487" w:name="_Toc30830"/>
      <w:bookmarkStart w:id="2488" w:name="_Toc11245"/>
      <w:bookmarkStart w:id="2489" w:name="_Toc22955"/>
      <w:bookmarkStart w:id="2490" w:name="_Toc17923"/>
      <w:bookmarkStart w:id="2491" w:name="_Toc26237"/>
      <w:bookmarkStart w:id="2492" w:name="_Toc12412"/>
      <w:r>
        <w:rPr>
          <w:rFonts w:hint="default" w:ascii="Times New Roman" w:hAnsi="Times New Roman" w:eastAsia="仿宋_GB2312" w:cs="Times New Roman"/>
          <w:b w:val="0"/>
          <w:bCs w:val="0"/>
          <w:color w:val="auto"/>
          <w:sz w:val="32"/>
          <w:szCs w:val="32"/>
          <w:highlight w:val="none"/>
          <w:u w:val="none"/>
          <w:lang w:eastAsia="zh" w:bidi="ar"/>
          <w:woUserID w:val="0"/>
        </w:rPr>
        <w:t>第三节 建立健全规划衔接机制</w:t>
      </w:r>
      <w:bookmarkEnd w:id="2482"/>
      <w:bookmarkEnd w:id="2483"/>
      <w:bookmarkEnd w:id="2484"/>
      <w:bookmarkEnd w:id="2485"/>
      <w:bookmarkEnd w:id="2486"/>
      <w:bookmarkEnd w:id="2487"/>
      <w:bookmarkEnd w:id="2488"/>
      <w:bookmarkEnd w:id="2489"/>
      <w:bookmarkEnd w:id="2490"/>
      <w:bookmarkEnd w:id="2491"/>
      <w:bookmarkEnd w:id="2492"/>
    </w:p>
    <w:p w14:paraId="002C17E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统筹规划衔接，加强本规划与国家、省、市“十五五”规划以及中长期规划衔接。严格对标国家粮食安全、乡村振兴、东北振兴等战略部署及黑龙江省“六个龙江”“八个振兴”、佳木斯市“六区六城”建设等省市规划要求，将桦川打造“一城”发展“五业”战略目标、三个发展带与五个功能区布局等核心内容嵌入上级规划框架，确保县域规划与国家、省市战略方向一致，细化配套措施，保障上级政策在县域落地有路径、实施有抓手。强化县域总体规划与专项规划、区域规划的协同，推动经济发展、城乡建设、自然资源、生态环保、交通物流、公共服务等专项规划与总体规划对标对表。</w:t>
      </w:r>
    </w:p>
    <w:p w14:paraId="5160F44B">
      <w:pPr>
        <w:pStyle w:val="3"/>
        <w:pageBreakBefore w:val="0"/>
        <w:widowControl w:val="0"/>
        <w:kinsoku/>
        <w:wordWrap/>
        <w:overflowPunct/>
        <w:topLinePunct w:val="0"/>
        <w:autoSpaceDE/>
        <w:autoSpaceDN/>
        <w:bidi w:val="0"/>
        <w:adjustRightInd/>
        <w:spacing w:before="0" w:after="0" w:line="560" w:lineRule="exact"/>
        <w:ind w:firstLine="0" w:firstLineChars="0"/>
        <w:jc w:val="center"/>
        <w:textAlignment w:val="auto"/>
        <w:rPr>
          <w:rFonts w:hint="default" w:ascii="Times New Roman" w:hAnsi="Times New Roman" w:eastAsia="楷体" w:cs="Times New Roman"/>
          <w:b w:val="0"/>
          <w:bCs w:val="0"/>
          <w:color w:val="auto"/>
          <w:sz w:val="32"/>
          <w:szCs w:val="32"/>
          <w:highlight w:val="none"/>
        </w:rPr>
      </w:pPr>
      <w:bookmarkStart w:id="2493" w:name="_Toc9180"/>
      <w:bookmarkStart w:id="2494" w:name="_Toc22950"/>
      <w:bookmarkStart w:id="2495" w:name="_Toc17040"/>
      <w:bookmarkStart w:id="2496" w:name="_Toc5780"/>
      <w:bookmarkStart w:id="2497" w:name="_Toc22377"/>
      <w:bookmarkStart w:id="2498" w:name="_Toc355"/>
      <w:bookmarkStart w:id="2499" w:name="_Toc1070509502"/>
      <w:bookmarkStart w:id="2500" w:name="_Toc10546"/>
      <w:bookmarkStart w:id="2501" w:name="_Toc3209"/>
      <w:bookmarkStart w:id="2502" w:name="_Toc850406639"/>
      <w:bookmarkStart w:id="2503" w:name="_Toc20309"/>
      <w:bookmarkStart w:id="2504" w:name="_Toc16134"/>
      <w:bookmarkStart w:id="2505" w:name="_Toc21786"/>
      <w:bookmarkStart w:id="2506" w:name="_Toc3062"/>
      <w:r>
        <w:rPr>
          <w:rFonts w:hint="default" w:ascii="Times New Roman" w:hAnsi="Times New Roman" w:eastAsia="楷体" w:cs="Times New Roman"/>
          <w:b w:val="0"/>
          <w:bCs w:val="0"/>
          <w:color w:val="auto"/>
          <w:sz w:val="32"/>
          <w:szCs w:val="32"/>
          <w:highlight w:val="none"/>
          <w:lang w:eastAsia="zh"/>
        </w:rPr>
        <w:t>第三章</w:t>
      </w:r>
      <w:r>
        <w:rPr>
          <w:rFonts w:hint="default" w:ascii="Times New Roman" w:hAnsi="Times New Roman" w:eastAsia="楷体" w:cs="Times New Roman"/>
          <w:b w:val="0"/>
          <w:bCs w:val="0"/>
          <w:color w:val="auto"/>
          <w:sz w:val="32"/>
          <w:szCs w:val="32"/>
          <w:highlight w:val="none"/>
          <w:lang w:eastAsia="zh-CN"/>
        </w:rPr>
        <w:t xml:space="preserve"> </w:t>
      </w:r>
      <w:r>
        <w:rPr>
          <w:rFonts w:hint="default" w:ascii="Times New Roman" w:hAnsi="Times New Roman" w:eastAsia="楷体" w:cs="Times New Roman"/>
          <w:b w:val="0"/>
          <w:bCs w:val="0"/>
          <w:color w:val="auto"/>
          <w:sz w:val="32"/>
          <w:szCs w:val="32"/>
          <w:highlight w:val="none"/>
        </w:rPr>
        <w:t>统筹推进组织实施</w:t>
      </w:r>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p>
    <w:p w14:paraId="4FC22A03">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507" w:name="_Toc9452"/>
      <w:bookmarkStart w:id="2508" w:name="_Toc16732"/>
      <w:bookmarkStart w:id="2509" w:name="_Toc1083"/>
      <w:bookmarkStart w:id="2510" w:name="_Toc823199170"/>
      <w:bookmarkStart w:id="2511" w:name="_Toc24291"/>
      <w:bookmarkStart w:id="2512" w:name="_Toc1107"/>
      <w:bookmarkStart w:id="2513" w:name="_Toc1362883383"/>
      <w:bookmarkStart w:id="2514" w:name="_Toc3787"/>
      <w:bookmarkStart w:id="2515" w:name="_Toc15645"/>
      <w:bookmarkStart w:id="2516" w:name="_Toc29756"/>
      <w:bookmarkStart w:id="2517" w:name="_Toc20621"/>
      <w:r>
        <w:rPr>
          <w:rFonts w:hint="default" w:ascii="Times New Roman" w:hAnsi="Times New Roman" w:eastAsia="仿宋_GB2312" w:cs="Times New Roman"/>
          <w:b w:val="0"/>
          <w:bCs w:val="0"/>
          <w:color w:val="auto"/>
          <w:sz w:val="32"/>
          <w:szCs w:val="32"/>
          <w:highlight w:val="none"/>
          <w:u w:val="none"/>
          <w:lang w:eastAsia="zh" w:bidi="ar"/>
          <w:woUserID w:val="0"/>
        </w:rPr>
        <w:t>第一节 强化规划分工落实</w:t>
      </w:r>
      <w:bookmarkEnd w:id="2507"/>
      <w:bookmarkEnd w:id="2508"/>
      <w:bookmarkEnd w:id="2509"/>
      <w:bookmarkEnd w:id="2510"/>
      <w:bookmarkEnd w:id="2511"/>
      <w:bookmarkEnd w:id="2512"/>
      <w:bookmarkEnd w:id="2513"/>
      <w:bookmarkEnd w:id="2514"/>
      <w:bookmarkEnd w:id="2515"/>
      <w:bookmarkEnd w:id="2516"/>
      <w:bookmarkEnd w:id="2517"/>
    </w:p>
    <w:p w14:paraId="25A44FDE">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 w:cs="Times New Roman"/>
          <w:b w:val="0"/>
          <w:bCs w:val="0"/>
          <w:color w:val="auto"/>
          <w:sz w:val="32"/>
          <w:szCs w:val="32"/>
          <w:highlight w:val="none"/>
          <w:u w:val="none"/>
          <w:lang w:eastAsia="zh" w:bidi="ar"/>
          <w:woUserID w:val="0"/>
        </w:rPr>
      </w:pPr>
      <w:r>
        <w:rPr>
          <w:rFonts w:hint="default" w:ascii="Times New Roman" w:hAnsi="Times New Roman" w:eastAsia="仿宋_GB2312" w:cs="Times New Roman"/>
          <w:b w:val="0"/>
          <w:bCs w:val="0"/>
          <w:color w:val="auto"/>
          <w:sz w:val="32"/>
          <w:szCs w:val="32"/>
          <w:highlight w:val="none"/>
          <w:lang w:eastAsia="zh"/>
        </w:rPr>
        <w:t>强化规划分工落实，建立规划任务分解机制，围绕本规划确定的目标指标、重点任务，按照全覆盖、可量化、可考核的原则，进行规划任务分解，提出规划实施的具体工作要求，明确牵头部门和工作责任，作为对各部门、乡（镇）落实绩效考核的重要内容。年度计划要贯彻本规划提出的发展目标和重点任务，将本规划确定的主要指标分解纳入年度计划指标体系，设置年度目标并做好年度综合平衡，明确工作重点，确保有序推进。</w:t>
      </w:r>
      <w:bookmarkStart w:id="2518" w:name="_Toc21433"/>
      <w:bookmarkStart w:id="2519" w:name="_Toc26056"/>
      <w:bookmarkStart w:id="2520" w:name="_Toc228456496"/>
      <w:bookmarkStart w:id="2521" w:name="_Toc11363"/>
      <w:bookmarkStart w:id="2522" w:name="_Toc1857153719"/>
    </w:p>
    <w:p w14:paraId="116465FC">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woUserID w:val="0"/>
        </w:rPr>
      </w:pPr>
      <w:bookmarkStart w:id="2523" w:name="_Toc19733"/>
      <w:bookmarkStart w:id="2524" w:name="_Toc18639"/>
      <w:bookmarkStart w:id="2525" w:name="_Toc27947"/>
      <w:bookmarkStart w:id="2526" w:name="_Toc23169"/>
      <w:bookmarkStart w:id="2527" w:name="_Toc28774"/>
      <w:bookmarkStart w:id="2528" w:name="_Toc6222"/>
      <w:r>
        <w:rPr>
          <w:rFonts w:hint="default" w:ascii="Times New Roman" w:hAnsi="Times New Roman" w:eastAsia="仿宋_GB2312" w:cs="Times New Roman"/>
          <w:b w:val="0"/>
          <w:bCs w:val="0"/>
          <w:color w:val="auto"/>
          <w:sz w:val="32"/>
          <w:szCs w:val="32"/>
          <w:highlight w:val="none"/>
          <w:u w:val="none"/>
          <w:lang w:eastAsia="zh" w:bidi="ar"/>
          <w:woUserID w:val="0"/>
        </w:rPr>
        <w:t>第二节 加强重大项目配套</w:t>
      </w:r>
      <w:bookmarkEnd w:id="2518"/>
      <w:bookmarkEnd w:id="2519"/>
      <w:bookmarkEnd w:id="2520"/>
      <w:bookmarkEnd w:id="2521"/>
      <w:bookmarkEnd w:id="2522"/>
      <w:bookmarkEnd w:id="2523"/>
      <w:bookmarkEnd w:id="2524"/>
      <w:bookmarkEnd w:id="2525"/>
      <w:bookmarkEnd w:id="2526"/>
      <w:bookmarkEnd w:id="2527"/>
      <w:bookmarkEnd w:id="2528"/>
    </w:p>
    <w:p w14:paraId="65B6D0A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加强重大项目配套，对纳入本规划的特重大项目，各部门按照职责分工制定土地、财税、金融、环保等具体政策措施，优先保障规划选址、土地供应和融资配套安排，积极调配各类资源要素，确保重大项目按时按期顺利推进。完善规划监测评估体系，加强对规划实施情况进行跟踪分析、预警、协调，结合发展实际和形势变化，遵循客观规律、严谨深入研判，对确实需要调整优化变更的，严格依照相关程序，对规划进行及时调整。</w:t>
      </w:r>
    </w:p>
    <w:p w14:paraId="2FF48793">
      <w:pPr>
        <w:pageBreakBefore w:val="0"/>
        <w:widowControl w:val="0"/>
        <w:kinsoku/>
        <w:wordWrap/>
        <w:overflowPunct/>
        <w:topLinePunct w:val="0"/>
        <w:autoSpaceDE/>
        <w:autoSpaceDN/>
        <w:bidi w:val="0"/>
        <w:adjustRightInd/>
        <w:spacing w:line="560" w:lineRule="exact"/>
        <w:jc w:val="center"/>
        <w:textAlignment w:val="auto"/>
        <w:outlineLvl w:val="2"/>
        <w:rPr>
          <w:rFonts w:hint="default" w:ascii="Times New Roman" w:hAnsi="Times New Roman" w:eastAsia="仿宋_GB2312" w:cs="Times New Roman"/>
          <w:b w:val="0"/>
          <w:bCs w:val="0"/>
          <w:color w:val="auto"/>
          <w:sz w:val="32"/>
          <w:szCs w:val="32"/>
          <w:highlight w:val="none"/>
          <w:u w:val="none"/>
          <w:lang w:eastAsia="zh" w:bidi="ar"/>
        </w:rPr>
      </w:pPr>
      <w:bookmarkStart w:id="2529" w:name="_Toc17006"/>
      <w:bookmarkStart w:id="2530" w:name="_Toc1892554386"/>
      <w:bookmarkStart w:id="2531" w:name="_Toc19651"/>
      <w:bookmarkStart w:id="2532" w:name="_Toc21763"/>
      <w:bookmarkStart w:id="2533" w:name="_Toc18457"/>
      <w:bookmarkStart w:id="2534" w:name="_Toc14397"/>
      <w:bookmarkStart w:id="2535" w:name="_Toc27967"/>
      <w:bookmarkStart w:id="2536" w:name="_Toc1974808139"/>
      <w:bookmarkStart w:id="2537" w:name="_Toc6472"/>
      <w:bookmarkStart w:id="2538" w:name="_Toc2056"/>
      <w:bookmarkStart w:id="2539" w:name="_Toc2335"/>
      <w:r>
        <w:rPr>
          <w:rFonts w:hint="default" w:ascii="Times New Roman" w:hAnsi="Times New Roman" w:eastAsia="仿宋_GB2312" w:cs="Times New Roman"/>
          <w:b w:val="0"/>
          <w:bCs w:val="0"/>
          <w:color w:val="auto"/>
          <w:sz w:val="32"/>
          <w:szCs w:val="32"/>
          <w:highlight w:val="none"/>
          <w:u w:val="none"/>
          <w:lang w:eastAsia="zh" w:bidi="ar"/>
          <w:woUserID w:val="0"/>
        </w:rPr>
        <w:t xml:space="preserve">第三节 </w:t>
      </w:r>
      <w:r>
        <w:rPr>
          <w:rFonts w:hint="default" w:ascii="Times New Roman" w:hAnsi="Times New Roman" w:eastAsia="仿宋_GB2312" w:cs="Times New Roman"/>
          <w:b w:val="0"/>
          <w:bCs w:val="0"/>
          <w:color w:val="auto"/>
          <w:sz w:val="32"/>
          <w:szCs w:val="32"/>
          <w:highlight w:val="none"/>
          <w:u w:val="none"/>
          <w:lang w:eastAsia="zh" w:bidi="ar"/>
        </w:rPr>
        <w:t>完善监督考核机制</w:t>
      </w:r>
      <w:bookmarkEnd w:id="2529"/>
      <w:bookmarkEnd w:id="2530"/>
      <w:bookmarkEnd w:id="2531"/>
      <w:bookmarkEnd w:id="2532"/>
      <w:bookmarkEnd w:id="2533"/>
      <w:bookmarkEnd w:id="2534"/>
      <w:bookmarkEnd w:id="2535"/>
      <w:bookmarkEnd w:id="2536"/>
      <w:bookmarkEnd w:id="2537"/>
      <w:bookmarkEnd w:id="2538"/>
      <w:bookmarkEnd w:id="2539"/>
    </w:p>
    <w:p w14:paraId="74D7170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
        </w:rPr>
      </w:pPr>
      <w:r>
        <w:rPr>
          <w:rFonts w:hint="default" w:ascii="Times New Roman" w:hAnsi="Times New Roman" w:eastAsia="仿宋_GB2312" w:cs="Times New Roman"/>
          <w:b w:val="0"/>
          <w:bCs w:val="0"/>
          <w:color w:val="auto"/>
          <w:sz w:val="32"/>
          <w:szCs w:val="32"/>
          <w:highlight w:val="none"/>
          <w:lang w:eastAsia="zh"/>
        </w:rPr>
        <w:t>完善监督考核机制，各部门、各乡镇将规划实施情况作为政府信息公开的重要内容，自觉接受人大、政协和社会监督，持续开展综合督导督查和巡察考核，形成“闭环式”工作机制，完善社会参与机制，充分发挥专家和公众的力量，加强规划实施的社会监督，控制性详细规划的编制、实施以及对违规建设的处理结果，都要向社会公开，提高规划的透明度和公众信任度。</w:t>
      </w:r>
    </w:p>
    <w:sectPr>
      <w:footerReference r:id="rId6" w:type="default"/>
      <w:pgSz w:w="11906" w:h="16838"/>
      <w:pgMar w:top="1440" w:right="1800" w:bottom="1440" w:left="1800" w:header="851" w:footer="992" w:gutter="0"/>
      <w:pgNumType w:fmt="numberInDash"/>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i" w:date="2025-12-02T08:58:00Z" w:initials="">
    <w:p w14:paraId="21801D71">
      <w:pPr>
        <w:pStyle w:val="11"/>
      </w:pPr>
      <w:r>
        <w:rPr>
          <w:rFonts w:hint="eastAsia"/>
        </w:rPr>
        <w:t>不应放在科技创新，单独成点、表示成效</w:t>
      </w:r>
    </w:p>
  </w:comment>
  <w:comment w:id="1" w:author="Administrator" w:date="2025-12-29T17:47:00Z" w:initials="">
    <w:p w14:paraId="79F5A527">
      <w:pPr>
        <w:pStyle w:val="11"/>
      </w:pPr>
      <w:r>
        <w:rPr>
          <w:rFonts w:hint="eastAsia"/>
        </w:rPr>
        <w:t>暂时不动，如果单独成段，篇幅达不到。</w:t>
      </w:r>
    </w:p>
  </w:comment>
  <w:comment w:id="2" w:author="i" w:date="2025-12-02T10:34:00Z" w:initials="">
    <w:p w14:paraId="05F92694">
      <w:pPr>
        <w:pStyle w:val="11"/>
      </w:pPr>
      <w:r>
        <w:rPr>
          <w:rFonts w:hint="eastAsia"/>
        </w:rPr>
        <w:t>单独成条，并把综治中心建成加入，可以参照县委全会报告</w:t>
      </w:r>
    </w:p>
  </w:comment>
  <w:comment w:id="3" w:author="Administrator" w:date="2025-12-29T17:47:00Z" w:initials="">
    <w:p w14:paraId="5D758601">
      <w:pPr>
        <w:pStyle w:val="11"/>
      </w:pPr>
      <w:r>
        <w:rPr>
          <w:rFonts w:hint="eastAsia"/>
        </w:rPr>
        <w:t>已修改</w:t>
      </w:r>
    </w:p>
  </w:comment>
  <w:comment w:id="4" w:author="i" w:date="2025-12-02T10:34:00Z" w:initials="">
    <w:p w14:paraId="7729A3E0">
      <w:pPr>
        <w:pStyle w:val="11"/>
      </w:pPr>
      <w:r>
        <w:rPr>
          <w:rFonts w:hint="eastAsia"/>
        </w:rPr>
        <w:t>单独成条，并把综治中心建成加入，可以参照县委全会报告</w:t>
      </w:r>
    </w:p>
  </w:comment>
  <w:comment w:id="5" w:author="Administrator" w:date="2025-12-29T17:48:00Z" w:initials="">
    <w:p w14:paraId="2336F297">
      <w:pPr>
        <w:pStyle w:val="11"/>
      </w:pPr>
      <w:r>
        <w:rPr>
          <w:rFonts w:hint="eastAsia"/>
        </w:rPr>
        <w:t>已修改</w:t>
      </w:r>
    </w:p>
  </w:comment>
  <w:comment w:id="6" w:author="WPS_1757741685 [2]" w:date="2025-12-30T10:50:26Z" w:initials="">
    <w:p w14:paraId="13A913F9">
      <w:pPr>
        <w:pStyle w:val="11"/>
        <w:rPr>
          <w:rFonts w:hint="default"/>
        </w:rPr>
      </w:pPr>
      <w:bookmarkStart w:id="2540" w:name="_T792397790_1743051399"/>
      <w:r>
        <w:t>删除：设字</w:t>
      </w:r>
    </w:p>
    <w:bookmarkEnd w:id="2540"/>
  </w:comment>
  <w:comment w:id="7" w:author="i" w:date="2025-12-02T10:33:00Z" w:initials="">
    <w:p w14:paraId="05DA2487">
      <w:pPr>
        <w:pStyle w:val="11"/>
      </w:pPr>
      <w:r>
        <w:rPr>
          <w:rFonts w:hint="eastAsia"/>
        </w:rPr>
        <w:t>加入天然气、石油储备和石油化工的物流产业</w:t>
      </w:r>
    </w:p>
  </w:comment>
  <w:comment w:id="8" w:author="WPS_1668042417" w:date="2025-12-18T08:47:00Z" w:initials="">
    <w:p w14:paraId="27D66857">
      <w:pPr>
        <w:pStyle w:val="11"/>
        <w:rPr>
          <w:lang w:eastAsia="zh"/>
        </w:rPr>
      </w:pPr>
      <w:bookmarkStart w:id="2541" w:name="_T2101369718_1433655747"/>
      <w:r>
        <w:rPr>
          <w:rFonts w:hint="eastAsia"/>
          <w:lang w:eastAsia="zh"/>
        </w:rPr>
        <w:t>这个项目留不留</w:t>
      </w:r>
    </w:p>
    <w:bookmarkEnd w:id="2541"/>
  </w:comment>
  <w:comment w:id="9" w:author="WPS_1668042417" w:date="2025-12-08T14:03:00Z" w:initials="">
    <w:p w14:paraId="708A1F12">
      <w:pPr>
        <w:pStyle w:val="11"/>
        <w:rPr>
          <w:lang w:eastAsia="zh"/>
        </w:rPr>
      </w:pPr>
      <w:bookmarkStart w:id="2542" w:name="_T2169191883_1433655747"/>
      <w:r>
        <w:rPr>
          <w:rFonts w:hint="eastAsia"/>
          <w:lang w:eastAsia="zh"/>
        </w:rPr>
        <w:t>项目怎么决定，还放在规划里吗</w:t>
      </w:r>
    </w:p>
    <w:p w14:paraId="0DE258C5">
      <w:pPr>
        <w:pStyle w:val="11"/>
        <w:rPr>
          <w:lang w:eastAsia="zh"/>
        </w:rPr>
      </w:pPr>
    </w:p>
    <w:bookmarkEnd w:id="2542"/>
  </w:comment>
  <w:comment w:id="10" w:author="i" w:date="2025-12-02T10:33:00Z" w:initials="">
    <w:p w14:paraId="17E53567">
      <w:pPr>
        <w:pStyle w:val="11"/>
      </w:pPr>
      <w:r>
        <w:rPr>
          <w:rFonts w:hint="eastAsia"/>
        </w:rPr>
        <w:t>加入天然气、石油储备和石油化工的物流产业</w:t>
      </w:r>
    </w:p>
  </w:comment>
  <w:comment w:id="11" w:author="Administrator" w:date="2025-12-29T18:10:00Z" w:initials="">
    <w:p w14:paraId="0D2D34DA">
      <w:pPr>
        <w:pStyle w:val="11"/>
      </w:pPr>
      <w:r>
        <w:rPr>
          <w:rFonts w:hint="eastAsia"/>
        </w:rPr>
        <w:t>目前项目库中未见石化相关项目。</w:t>
      </w:r>
    </w:p>
  </w:comment>
  <w:comment w:id="12" w:author="WPS_1757741685 [2]" w:date="2025-12-30T10:54:40Z" w:initials="">
    <w:p w14:paraId="0B881628">
      <w:pPr>
        <w:pStyle w:val="11"/>
        <w:rPr>
          <w:rFonts w:hint="default"/>
        </w:rPr>
      </w:pPr>
      <w:bookmarkStart w:id="2543" w:name="_T258878240_1743051399"/>
      <w:r>
        <w:t>改成客运快递物流园</w:t>
      </w:r>
    </w:p>
    <w:bookmarkEnd w:id="2543"/>
  </w:comment>
  <w:comment w:id="13" w:author="WPS_1757741685" w:date="2025-12-18T09:54:00Z" w:initials="">
    <w:p w14:paraId="51EA33D2">
      <w:pPr>
        <w:pStyle w:val="11"/>
        <w:rPr>
          <w:lang w:eastAsia="zh"/>
        </w:rPr>
      </w:pPr>
      <w:bookmarkStart w:id="2544" w:name="_T1722810917_1743051399"/>
      <w:r>
        <w:rPr>
          <w:rFonts w:hint="eastAsia"/>
          <w:lang w:eastAsia="zh"/>
        </w:rPr>
        <w:t>插入全域有公交相关内容：1、农村客运班车公交化改造项目：逐步推进我县剩余13台农村客运班车进行公交化改造，形成全域一体化公交体系；2、城际公交化改造项目：推进佳木斯至桦川城际客运班车公交化改造，建设停车场、库及配套设施包含900平停车库，防雨棚、充电桩等配套设施，沿线建设14个公交站点。</w:t>
      </w:r>
    </w:p>
    <w:bookmarkEnd w:id="2544"/>
  </w:comment>
  <w:comment w:id="14" w:author="Administrator" w:date="2025-12-29T17:41:00Z" w:initials="">
    <w:p w14:paraId="0FA237F8">
      <w:pPr>
        <w:pStyle w:val="11"/>
      </w:pPr>
      <w:r>
        <w:rPr>
          <w:rFonts w:hint="eastAsia"/>
        </w:rPr>
        <w:t>已补充。</w:t>
      </w:r>
    </w:p>
  </w:comment>
  <w:comment w:id="15" w:author="WPS_1757741685 [2]" w:date="2025-12-30T10:59:47Z" w:initials="">
    <w:p w14:paraId="4FBD96A0">
      <w:pPr>
        <w:pStyle w:val="11"/>
        <w:rPr>
          <w:rFonts w:hint="default"/>
        </w:rPr>
      </w:pPr>
      <w:bookmarkStart w:id="2545" w:name="_T1969142908_1743051399"/>
      <w:r>
        <w:t>改成：谋划建设铁路专线</w:t>
      </w:r>
    </w:p>
    <w:bookmarkEnd w:id="2545"/>
  </w:comment>
  <w:comment w:id="16" w:author="i" w:date="2025-12-02T10:10:00Z" w:initials="">
    <w:p w14:paraId="25522244">
      <w:pPr>
        <w:pStyle w:val="11"/>
      </w:pPr>
      <w:r>
        <w:rPr>
          <w:rFonts w:hint="eastAsia"/>
        </w:rPr>
        <w:t>加临空经济，争取和佳木斯机场合作，发展乘客和机组人员的住餐</w:t>
      </w:r>
    </w:p>
  </w:comment>
  <w:comment w:id="17" w:author="WPS_1668042417" w:date="2025-12-08T13:54:00Z" w:initials="">
    <w:p w14:paraId="6E004597">
      <w:pPr>
        <w:pStyle w:val="11"/>
        <w:rPr>
          <w:lang w:eastAsia="zh"/>
        </w:rPr>
      </w:pPr>
      <w:r>
        <w:rPr>
          <w:rFonts w:hint="eastAsia"/>
          <w:lang w:eastAsia="zh"/>
        </w:rPr>
        <w:t>建议发改给出具体意见</w:t>
      </w:r>
    </w:p>
  </w:comment>
  <w:comment w:id="18" w:author="WPS_1757741685 [2]" w:date="2025-12-30T11:07:53Z" w:initials="">
    <w:p w14:paraId="5300E9B9">
      <w:pPr>
        <w:pStyle w:val="11"/>
        <w:rPr>
          <w:rFonts w:hint="default"/>
        </w:rPr>
      </w:pPr>
      <w:bookmarkStart w:id="2546" w:name="_T369481768_1743051399"/>
      <w:r>
        <w:t>1、“省道佳木斯至桦南公路横头山镇至桦川桦南界改扩建工程”改成省道S513佳木斯至桦南公路横头山镇至桦川桦南界改扩建工程；2、“桦川县智慧交通运输服务中心项目”改成桦川县智慧交通运输服务项目；3、”桦川县交通公路低空物流巡检中心项目“改成桦川县交通公路低空物流巡检项目</w:t>
      </w:r>
    </w:p>
    <w:bookmarkEnd w:id="2546"/>
  </w:comment>
  <w:comment w:id="19" w:author="WPS_1757741685 [2]" w:date="2025-12-30T11:04:45Z" w:initials="">
    <w:p w14:paraId="4C885EBD">
      <w:pPr>
        <w:pStyle w:val="11"/>
        <w:rPr>
          <w:rFonts w:hint="default"/>
        </w:rPr>
      </w:pPr>
      <w:bookmarkStart w:id="2547" w:name="_T1903748039_1743051399"/>
      <w:r>
        <w:t>加入沿江公路-万里河村旅游路项目、农村公路养护工区项目</w:t>
      </w:r>
    </w:p>
    <w:bookmarkEnd w:id="2547"/>
  </w:comment>
  <w:comment w:id="20" w:author="WPS_1757741685 [2]" w:date="2025-12-30T11:01:36Z" w:initials="">
    <w:p w14:paraId="2AFA7799">
      <w:pPr>
        <w:pStyle w:val="11"/>
        <w:rPr>
          <w:rFonts w:hint="default"/>
        </w:rPr>
      </w:pPr>
      <w:bookmarkStart w:id="2548" w:name="_T1218048703_1743051399"/>
      <w:r>
        <w:t>都去掉换成四马架-悦来铁路专线项目</w:t>
      </w:r>
    </w:p>
    <w:bookmarkEnd w:id="2548"/>
  </w:comment>
  <w:comment w:id="21" w:author="WPS_1757741685 [2]" w:date="2025-12-30T11:03:43Z" w:initials="">
    <w:p w14:paraId="3C0DFC76">
      <w:pPr>
        <w:pStyle w:val="11"/>
        <w:rPr>
          <w:rFonts w:hint="default"/>
        </w:rPr>
      </w:pPr>
      <w:bookmarkStart w:id="2549" w:name="_T796464059_1743051399"/>
      <w:r>
        <w:t>改成桦川港口码头建设专项。佳木斯市桦川港区建设项目、桦川县悦来客运码头及客运场站项目</w:t>
      </w:r>
    </w:p>
    <w:bookmarkEnd w:id="2549"/>
  </w:comment>
  <w:comment w:id="22" w:author="i" w:date="2025-12-02T09:04:00Z" w:initials="">
    <w:p w14:paraId="5B5E736D">
      <w:pPr>
        <w:pStyle w:val="11"/>
        <w:rPr>
          <w:rFonts w:eastAsia="仿宋_GB2312"/>
        </w:rPr>
      </w:pPr>
      <w:r>
        <w:rPr>
          <w:rFonts w:eastAsia="仿宋_GB2312"/>
          <w:sz w:val="32"/>
          <w:szCs w:val="32"/>
        </w:rPr>
        <w:t>五年规划需关注人口趋势（新出生人口减少），结合土地适度规模化经营改革</w:t>
      </w:r>
      <w:r>
        <w:rPr>
          <w:rFonts w:hint="eastAsia" w:eastAsia="仿宋_GB2312"/>
          <w:sz w:val="32"/>
          <w:szCs w:val="32"/>
        </w:rPr>
        <w:t>，</w:t>
      </w:r>
      <w:r>
        <w:rPr>
          <w:rFonts w:eastAsia="仿宋_GB2312"/>
          <w:sz w:val="32"/>
          <w:szCs w:val="32"/>
        </w:rPr>
        <w:t>教育、医疗、养老托育、城乡协调发展等配套规划中充分考量人口因素影响</w:t>
      </w:r>
      <w:r>
        <w:rPr>
          <w:rFonts w:hint="eastAsia" w:eastAsia="仿宋_GB2312"/>
          <w:sz w:val="32"/>
          <w:szCs w:val="32"/>
        </w:rPr>
        <w:t>。</w:t>
      </w:r>
    </w:p>
  </w:comment>
  <w:comment w:id="23" w:author="i" w:date="2025-12-02T10:06:00Z" w:initials="">
    <w:p w14:paraId="6B710EBE">
      <w:pPr>
        <w:pStyle w:val="11"/>
      </w:pPr>
      <w:r>
        <w:rPr>
          <w:rFonts w:eastAsia="仿宋_GB2312"/>
          <w:sz w:val="32"/>
          <w:szCs w:val="32"/>
        </w:rPr>
        <w:t>重点关注500个床位项目</w:t>
      </w:r>
    </w:p>
  </w:comment>
  <w:comment w:id="24" w:author="i" w:date="2025-12-02T08:55:00Z" w:initials="">
    <w:p w14:paraId="53A60038">
      <w:pPr>
        <w:pStyle w:val="11"/>
      </w:pPr>
      <w:r>
        <w:rPr>
          <w:rFonts w:hint="eastAsia"/>
        </w:rPr>
        <w:t>新增妇幼保健院医养结合项目</w:t>
      </w:r>
    </w:p>
  </w:comment>
  <w:comment w:id="25" w:author="i" w:date="2025-12-02T09:51:00Z" w:initials="">
    <w:p w14:paraId="7803E41B">
      <w:pPr>
        <w:pStyle w:val="11"/>
        <w:rPr>
          <w:rFonts w:eastAsia="仿宋_GB2312"/>
        </w:rPr>
      </w:pPr>
      <w:r>
        <w:rPr>
          <w:rFonts w:eastAsia="仿宋_GB2312"/>
          <w:sz w:val="32"/>
          <w:szCs w:val="32"/>
        </w:rPr>
        <w:t>规划中提及住房保障，但机制与管理需进一步完善，需考虑农村进城人员居住需求，结合全县公租房空置率情况优化配置</w:t>
      </w:r>
      <w:r>
        <w:rPr>
          <w:rFonts w:hint="eastAsia" w:eastAsia="仿宋_GB2312"/>
          <w:sz w:val="32"/>
          <w:szCs w:val="32"/>
        </w:rPr>
        <w:t>。</w:t>
      </w:r>
    </w:p>
  </w:comment>
  <w:comment w:id="26" w:author="i" w:date="2025-12-02T08:56:00Z" w:initials="">
    <w:p w14:paraId="20896686">
      <w:pPr>
        <w:pStyle w:val="11"/>
        <w:rPr>
          <w:rFonts w:eastAsia="仿宋_GB2312"/>
        </w:rPr>
      </w:pPr>
      <w:r>
        <w:rPr>
          <w:rFonts w:eastAsia="仿宋_GB2312"/>
          <w:sz w:val="32"/>
          <w:szCs w:val="32"/>
        </w:rPr>
        <w:t>将加强湿地生态保护，建设智慧化监测网络相关内容补充</w:t>
      </w:r>
      <w:r>
        <w:rPr>
          <w:rFonts w:hint="eastAsia" w:eastAsia="仿宋_GB2312"/>
          <w:sz w:val="32"/>
          <w:szCs w:val="32"/>
        </w:rPr>
        <w:t>到这</w:t>
      </w:r>
    </w:p>
  </w:comment>
  <w:comment w:id="27" w:author="i" w:date="2025-12-02T08:57:00Z" w:initials="">
    <w:p w14:paraId="764A0BCD">
      <w:pPr>
        <w:pStyle w:val="11"/>
        <w:rPr>
          <w:rFonts w:eastAsia="仿宋_GB2312"/>
        </w:rPr>
      </w:pPr>
      <w:r>
        <w:rPr>
          <w:rFonts w:eastAsia="仿宋_GB2312"/>
          <w:sz w:val="32"/>
          <w:szCs w:val="32"/>
        </w:rPr>
        <w:t>湿地规划仅提及保护，未涉及开放开发与利用，需进一步完善，结合资源特点明确开发利用方向</w:t>
      </w:r>
      <w:r>
        <w:rPr>
          <w:rFonts w:hint="eastAsia" w:eastAsia="仿宋_GB2312"/>
          <w:sz w:val="32"/>
          <w:szCs w:val="32"/>
        </w:rPr>
        <w:t>。</w:t>
      </w:r>
    </w:p>
  </w:comment>
  <w:comment w:id="28" w:author="Administrator" w:date="2025-12-29T21:57:00Z" w:initials="">
    <w:p w14:paraId="65C77DB0">
      <w:pPr>
        <w:pStyle w:val="11"/>
      </w:pPr>
      <w:r>
        <w:rPr>
          <w:rFonts w:hint="eastAsia"/>
        </w:rPr>
        <w:t>已完善。</w:t>
      </w:r>
    </w:p>
  </w:comment>
  <w:comment w:id="29" w:author="Administrator" w:date="2025-12-29T21:58:00Z" w:initials="">
    <w:p w14:paraId="6FAF98FF">
      <w:pPr>
        <w:pStyle w:val="11"/>
      </w:pPr>
      <w:r>
        <w:rPr>
          <w:rFonts w:hint="eastAsia"/>
        </w:rPr>
        <w:t>已补充。</w:t>
      </w:r>
    </w:p>
  </w:comment>
  <w:comment w:id="30" w:author="i" w:date="2025-12-02T10:36:00Z" w:initials="">
    <w:p w14:paraId="1A60B1B9">
      <w:pPr>
        <w:spacing w:line="600" w:lineRule="exact"/>
        <w:ind w:firstLine="640" w:firstLineChars="200"/>
        <w:rPr>
          <w:rFonts w:eastAsia="仿宋_GB2312"/>
          <w:sz w:val="32"/>
          <w:szCs w:val="32"/>
        </w:rPr>
      </w:pPr>
      <w:r>
        <w:rPr>
          <w:rFonts w:eastAsia="仿宋_GB2312"/>
          <w:sz w:val="32"/>
          <w:szCs w:val="32"/>
        </w:rPr>
        <w:t>谋划项目要考虑到网络、数据、智能、智慧这些角度谋划。宣传部用什么项目监管网络安全。建立统一的网络化、智慧化监督体系，从社会安全这个角度，可以谋划项目。</w:t>
      </w:r>
    </w:p>
    <w:p w14:paraId="230C298B">
      <w:pPr>
        <w:pStyle w:val="11"/>
      </w:pPr>
    </w:p>
  </w:comment>
  <w:comment w:id="31" w:author="i" w:date="2025-12-02T10:36:00Z" w:initials="">
    <w:p w14:paraId="0F4C5B9E">
      <w:pPr>
        <w:spacing w:line="600" w:lineRule="exact"/>
        <w:ind w:firstLine="640" w:firstLineChars="200"/>
        <w:rPr>
          <w:rFonts w:eastAsia="仿宋_GB2312"/>
          <w:sz w:val="32"/>
          <w:szCs w:val="32"/>
        </w:rPr>
      </w:pPr>
      <w:r>
        <w:rPr>
          <w:rFonts w:eastAsia="仿宋_GB2312"/>
          <w:sz w:val="32"/>
          <w:szCs w:val="32"/>
        </w:rPr>
        <w:t>谋划项目要考虑到网络、数据、智能、智慧这些角度谋划。宣传部用什么项目监管网络安全。建立统一的网络化、智慧化监督体系，从社会安全这个角度，可以谋划项目。</w:t>
      </w:r>
    </w:p>
    <w:p w14:paraId="0944B836">
      <w:pPr>
        <w:pStyle w:val="11"/>
      </w:pPr>
    </w:p>
  </w:comment>
  <w:comment w:id="32" w:author="i" w:date="2025-12-02T10:00:00Z" w:initials="">
    <w:p w14:paraId="4687D226">
      <w:pPr>
        <w:pStyle w:val="11"/>
      </w:pPr>
      <w:r>
        <w:rPr>
          <w:rFonts w:eastAsia="仿宋_GB2312"/>
          <w:sz w:val="32"/>
          <w:szCs w:val="32"/>
        </w:rPr>
        <w:t>提升法制建设与提升政府法制化可整合一起</w:t>
      </w:r>
      <w:r>
        <w:rPr>
          <w:rFonts w:hint="eastAsia" w:eastAsia="仿宋_GB2312"/>
          <w:sz w:val="32"/>
          <w:szCs w:val="32"/>
        </w:rP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1801D71" w15:done="0"/>
  <w15:commentEx w15:paraId="79F5A527" w15:done="0" w15:paraIdParent="21801D71"/>
  <w15:commentEx w15:paraId="05F92694" w15:done="0"/>
  <w15:commentEx w15:paraId="5D758601" w15:done="0" w15:paraIdParent="05F92694"/>
  <w15:commentEx w15:paraId="7729A3E0" w15:done="0"/>
  <w15:commentEx w15:paraId="2336F297" w15:done="0" w15:paraIdParent="7729A3E0"/>
  <w15:commentEx w15:paraId="13A913F9" w15:done="0"/>
  <w15:commentEx w15:paraId="05DA2487" w15:done="0"/>
  <w15:commentEx w15:paraId="27D66857" w15:done="0"/>
  <w15:commentEx w15:paraId="0DE258C5" w15:done="0"/>
  <w15:commentEx w15:paraId="17E53567" w15:done="0"/>
  <w15:commentEx w15:paraId="0D2D34DA" w15:done="0" w15:paraIdParent="17E53567"/>
  <w15:commentEx w15:paraId="0B881628" w15:done="0"/>
  <w15:commentEx w15:paraId="51EA33D2" w15:done="0"/>
  <w15:commentEx w15:paraId="0FA237F8" w15:done="0" w15:paraIdParent="51EA33D2"/>
  <w15:commentEx w15:paraId="4FBD96A0" w15:done="0"/>
  <w15:commentEx w15:paraId="25522244" w15:done="0"/>
  <w15:commentEx w15:paraId="6E004597" w15:done="0"/>
  <w15:commentEx w15:paraId="5300E9B9" w15:done="0"/>
  <w15:commentEx w15:paraId="4C885EBD" w15:done="0"/>
  <w15:commentEx w15:paraId="2AFA7799" w15:done="0"/>
  <w15:commentEx w15:paraId="3C0DFC76" w15:done="0"/>
  <w15:commentEx w15:paraId="5B5E736D" w15:done="0"/>
  <w15:commentEx w15:paraId="6B710EBE" w15:done="0"/>
  <w15:commentEx w15:paraId="53A60038" w15:done="0"/>
  <w15:commentEx w15:paraId="7803E41B" w15:done="0"/>
  <w15:commentEx w15:paraId="20896686" w15:done="0"/>
  <w15:commentEx w15:paraId="764A0BCD" w15:done="0"/>
  <w15:commentEx w15:paraId="65C77DB0" w15:done="0"/>
  <w15:commentEx w15:paraId="6FAF98FF" w15:done="0"/>
  <w15:commentEx w15:paraId="230C298B" w15:done="0"/>
  <w15:commentEx w15:paraId="0944B836" w15:done="0"/>
  <w15:commentEx w15:paraId="4687D226" w15:done="1"/>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54FBA">
    <w:pPr>
      <w:pStyle w:val="1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5426"/>
                          </w:sdtPr>
                          <w:sdtContent>
                            <w:p w14:paraId="35798C4C">
                              <w:pPr>
                                <w:pStyle w:val="16"/>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5</w:t>
                              </w:r>
                              <w:r>
                                <w:rPr>
                                  <w:rFonts w:hint="eastAsia" w:ascii="宋体" w:hAnsi="宋体" w:eastAsia="宋体" w:cs="宋体"/>
                                  <w:sz w:val="28"/>
                                  <w:szCs w:val="28"/>
                                </w:rPr>
                                <w:fldChar w:fldCharType="end"/>
                              </w:r>
                            </w:p>
                          </w:sdtContent>
                        </w:sdt>
                        <w:p w14:paraId="62EB4E7E"/>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147455426"/>
                    </w:sdtPr>
                    <w:sdtContent>
                      <w:p w14:paraId="35798C4C">
                        <w:pPr>
                          <w:pStyle w:val="16"/>
                          <w:jc w:val="cente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5</w:t>
                        </w:r>
                        <w:r>
                          <w:rPr>
                            <w:rFonts w:hint="eastAsia" w:ascii="宋体" w:hAnsi="宋体" w:eastAsia="宋体" w:cs="宋体"/>
                            <w:sz w:val="28"/>
                            <w:szCs w:val="28"/>
                          </w:rPr>
                          <w:fldChar w:fldCharType="end"/>
                        </w:r>
                      </w:p>
                    </w:sdtContent>
                  </w:sdt>
                  <w:p w14:paraId="62EB4E7E"/>
                </w:txbxContent>
              </v:textbox>
            </v:shape>
          </w:pict>
        </mc:Fallback>
      </mc:AlternateContent>
    </w:r>
  </w:p>
  <w:p w14:paraId="5884E832">
    <w:pPr>
      <w:pStyle w:val="1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5BE0E4EE">
      <w:pPr>
        <w:pStyle w:val="20"/>
      </w:pPr>
      <w:r>
        <w:rPr>
          <w:rStyle w:val="31"/>
        </w:rPr>
        <w:footnoteRef/>
      </w:r>
      <w:r>
        <w:t xml:space="preserve"> </w:t>
      </w:r>
      <w:r>
        <w:rPr>
          <w:rFonts w:hint="eastAsia"/>
        </w:rPr>
        <w:t>“三通三有”，即高速公路通、货运铁路通、内河航运通；应用有AI，营运有数据、全域有公交。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53E71E"/>
    <w:multiLevelType w:val="singleLevel"/>
    <w:tmpl w:val="8A53E71E"/>
    <w:lvl w:ilvl="0" w:tentative="0">
      <w:start w:val="4"/>
      <w:numFmt w:val="chineseCounting"/>
      <w:suff w:val="space"/>
      <w:lvlText w:val="第%1篇"/>
      <w:lvlJc w:val="left"/>
      <w:rPr>
        <w:rFonts w:hint="eastAsia"/>
      </w:rPr>
    </w:lvl>
  </w:abstractNum>
  <w:abstractNum w:abstractNumId="1">
    <w:nsid w:val="96A49238"/>
    <w:multiLevelType w:val="singleLevel"/>
    <w:tmpl w:val="96A49238"/>
    <w:lvl w:ilvl="0" w:tentative="0">
      <w:start w:val="1"/>
      <w:numFmt w:val="chineseCounting"/>
      <w:suff w:val="space"/>
      <w:lvlText w:val="第%1章"/>
      <w:lvlJc w:val="left"/>
      <w:rPr>
        <w:rFonts w:hint="eastAsia"/>
      </w:rPr>
    </w:lvl>
  </w:abstractNum>
  <w:abstractNum w:abstractNumId="2">
    <w:nsid w:val="B250E2DF"/>
    <w:multiLevelType w:val="singleLevel"/>
    <w:tmpl w:val="B250E2DF"/>
    <w:lvl w:ilvl="0" w:tentative="0">
      <w:start w:val="2"/>
      <w:numFmt w:val="chineseCounting"/>
      <w:suff w:val="space"/>
      <w:lvlText w:val="第%1章"/>
      <w:lvlJc w:val="left"/>
      <w:rPr>
        <w:rFonts w:hint="eastAsia"/>
      </w:rPr>
    </w:lvl>
  </w:abstractNum>
  <w:abstractNum w:abstractNumId="3">
    <w:nsid w:val="E2780AC4"/>
    <w:multiLevelType w:val="singleLevel"/>
    <w:tmpl w:val="E2780AC4"/>
    <w:lvl w:ilvl="0" w:tentative="0">
      <w:start w:val="12"/>
      <w:numFmt w:val="chineseCounting"/>
      <w:suff w:val="space"/>
      <w:lvlText w:val="第%1篇"/>
      <w:lvlJc w:val="left"/>
      <w:rPr>
        <w:rFonts w:hint="eastAsia"/>
      </w:rPr>
    </w:lvl>
  </w:abstractNum>
  <w:abstractNum w:abstractNumId="4">
    <w:nsid w:val="39D986B7"/>
    <w:multiLevelType w:val="singleLevel"/>
    <w:tmpl w:val="39D986B7"/>
    <w:lvl w:ilvl="0" w:tentative="0">
      <w:start w:val="1"/>
      <w:numFmt w:val="chineseCounting"/>
      <w:suff w:val="space"/>
      <w:lvlText w:val="第%1篇"/>
      <w:lvlJc w:val="left"/>
      <w:rPr>
        <w:rFonts w:hint="eastAsia"/>
      </w:rPr>
    </w:lvl>
  </w:abstractNum>
  <w:num w:numId="1">
    <w:abstractNumId w:val="4"/>
  </w:num>
  <w:num w:numId="2">
    <w:abstractNumId w:val="2"/>
  </w:num>
  <w:num w:numId="3">
    <w:abstractNumId w:val="1"/>
  </w:num>
  <w:num w:numId="4">
    <w:abstractNumId w:val="0"/>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rson w15:author="i">
    <w15:presenceInfo w15:providerId="None" w15:userId="i"/>
  </w15:person>
  <w15:person w15:author="WPS_1757741685 [2]">
    <w15:presenceInfo w15:providerId="WPS Office" w15:userId="12570318806"/>
  </w15:person>
  <w15:person w15:author="WPS_1668042417">
    <w15:presenceInfo w15:providerId="None" w15:userId="WPS_1668042417"/>
  </w15:person>
  <w15:person w15:author="WPS_1757741685">
    <w15:presenceInfo w15:providerId="None" w15:userId="WPS_17577416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revisionView w:markup="0"/>
  <w:documentProtection w:enforcement="0"/>
  <w:defaultTabStop w:val="420"/>
  <w:drawingGridVerticalSpacing w:val="156"/>
  <w:displayHorizontalDrawingGridEvery w:val="0"/>
  <w:displayVerticalDrawingGridEvery w:val="2"/>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60C"/>
    <w:rsid w:val="00002996"/>
    <w:rsid w:val="000053E0"/>
    <w:rsid w:val="00005486"/>
    <w:rsid w:val="000135E4"/>
    <w:rsid w:val="00020B3F"/>
    <w:rsid w:val="000221E6"/>
    <w:rsid w:val="00022EF7"/>
    <w:rsid w:val="0002326C"/>
    <w:rsid w:val="00025945"/>
    <w:rsid w:val="000276EE"/>
    <w:rsid w:val="0003023F"/>
    <w:rsid w:val="0003073B"/>
    <w:rsid w:val="00034CB2"/>
    <w:rsid w:val="00035E63"/>
    <w:rsid w:val="000362A3"/>
    <w:rsid w:val="00036EA8"/>
    <w:rsid w:val="00037619"/>
    <w:rsid w:val="000473A5"/>
    <w:rsid w:val="000508C4"/>
    <w:rsid w:val="00054E22"/>
    <w:rsid w:val="00055587"/>
    <w:rsid w:val="00056ABD"/>
    <w:rsid w:val="00056DA9"/>
    <w:rsid w:val="00061482"/>
    <w:rsid w:val="00064D9E"/>
    <w:rsid w:val="00066622"/>
    <w:rsid w:val="00071716"/>
    <w:rsid w:val="00074585"/>
    <w:rsid w:val="000760CD"/>
    <w:rsid w:val="00076FDA"/>
    <w:rsid w:val="00077867"/>
    <w:rsid w:val="00081F05"/>
    <w:rsid w:val="000820A8"/>
    <w:rsid w:val="00082319"/>
    <w:rsid w:val="0008285E"/>
    <w:rsid w:val="00083EDD"/>
    <w:rsid w:val="00084917"/>
    <w:rsid w:val="00086ADE"/>
    <w:rsid w:val="0009091C"/>
    <w:rsid w:val="0009534F"/>
    <w:rsid w:val="000963C1"/>
    <w:rsid w:val="000A099A"/>
    <w:rsid w:val="000A11C0"/>
    <w:rsid w:val="000A41F2"/>
    <w:rsid w:val="000A5527"/>
    <w:rsid w:val="000A6A3C"/>
    <w:rsid w:val="000A6D6A"/>
    <w:rsid w:val="000B1097"/>
    <w:rsid w:val="000B2270"/>
    <w:rsid w:val="000B2D2D"/>
    <w:rsid w:val="000B69D1"/>
    <w:rsid w:val="000C0D86"/>
    <w:rsid w:val="000C2392"/>
    <w:rsid w:val="000C29B8"/>
    <w:rsid w:val="000C5975"/>
    <w:rsid w:val="000D474F"/>
    <w:rsid w:val="000E150F"/>
    <w:rsid w:val="000E1959"/>
    <w:rsid w:val="000E352A"/>
    <w:rsid w:val="000E691B"/>
    <w:rsid w:val="000E6DF1"/>
    <w:rsid w:val="000F60F9"/>
    <w:rsid w:val="000F6F07"/>
    <w:rsid w:val="001023A6"/>
    <w:rsid w:val="00112836"/>
    <w:rsid w:val="00112932"/>
    <w:rsid w:val="00112E9C"/>
    <w:rsid w:val="00115023"/>
    <w:rsid w:val="00115CDB"/>
    <w:rsid w:val="00116894"/>
    <w:rsid w:val="00121D9D"/>
    <w:rsid w:val="00123F92"/>
    <w:rsid w:val="0012442B"/>
    <w:rsid w:val="00126B42"/>
    <w:rsid w:val="00131447"/>
    <w:rsid w:val="00132B44"/>
    <w:rsid w:val="0013635D"/>
    <w:rsid w:val="001432A5"/>
    <w:rsid w:val="00144B2A"/>
    <w:rsid w:val="00146589"/>
    <w:rsid w:val="0015764E"/>
    <w:rsid w:val="001602FE"/>
    <w:rsid w:val="00160461"/>
    <w:rsid w:val="00160764"/>
    <w:rsid w:val="00161C9E"/>
    <w:rsid w:val="00165426"/>
    <w:rsid w:val="0017792D"/>
    <w:rsid w:val="0018250B"/>
    <w:rsid w:val="00182FC9"/>
    <w:rsid w:val="00185389"/>
    <w:rsid w:val="0018557F"/>
    <w:rsid w:val="00191BB9"/>
    <w:rsid w:val="00195487"/>
    <w:rsid w:val="001A66F2"/>
    <w:rsid w:val="001B1124"/>
    <w:rsid w:val="001B4D6B"/>
    <w:rsid w:val="001C2009"/>
    <w:rsid w:val="001C2A89"/>
    <w:rsid w:val="001C2B6C"/>
    <w:rsid w:val="001C2C00"/>
    <w:rsid w:val="001C5C0D"/>
    <w:rsid w:val="001C7D80"/>
    <w:rsid w:val="001D15D1"/>
    <w:rsid w:val="001D182E"/>
    <w:rsid w:val="001D1877"/>
    <w:rsid w:val="001D24D0"/>
    <w:rsid w:val="001D319C"/>
    <w:rsid w:val="001D593C"/>
    <w:rsid w:val="001D5975"/>
    <w:rsid w:val="001E1B44"/>
    <w:rsid w:val="001E27F0"/>
    <w:rsid w:val="001F1F6C"/>
    <w:rsid w:val="001F3C40"/>
    <w:rsid w:val="001F7388"/>
    <w:rsid w:val="00204F0B"/>
    <w:rsid w:val="00205DF8"/>
    <w:rsid w:val="00210BD8"/>
    <w:rsid w:val="00210EAA"/>
    <w:rsid w:val="00213CB7"/>
    <w:rsid w:val="00217B05"/>
    <w:rsid w:val="0022044F"/>
    <w:rsid w:val="00220A1D"/>
    <w:rsid w:val="00223C5B"/>
    <w:rsid w:val="00225827"/>
    <w:rsid w:val="00234214"/>
    <w:rsid w:val="002349D1"/>
    <w:rsid w:val="00235DAB"/>
    <w:rsid w:val="00240ACF"/>
    <w:rsid w:val="0024533C"/>
    <w:rsid w:val="00247403"/>
    <w:rsid w:val="00252F8D"/>
    <w:rsid w:val="00255615"/>
    <w:rsid w:val="00256383"/>
    <w:rsid w:val="00256FDC"/>
    <w:rsid w:val="0025747D"/>
    <w:rsid w:val="0026147A"/>
    <w:rsid w:val="0026164A"/>
    <w:rsid w:val="002626E1"/>
    <w:rsid w:val="00263D48"/>
    <w:rsid w:val="0026619F"/>
    <w:rsid w:val="002679D5"/>
    <w:rsid w:val="00271C99"/>
    <w:rsid w:val="00274FA8"/>
    <w:rsid w:val="002761D6"/>
    <w:rsid w:val="002779DB"/>
    <w:rsid w:val="00283A07"/>
    <w:rsid w:val="00283F3A"/>
    <w:rsid w:val="00291A0A"/>
    <w:rsid w:val="00293AAA"/>
    <w:rsid w:val="00296ADB"/>
    <w:rsid w:val="00296EA1"/>
    <w:rsid w:val="002A00BA"/>
    <w:rsid w:val="002A4DD3"/>
    <w:rsid w:val="002A70E0"/>
    <w:rsid w:val="002B14F7"/>
    <w:rsid w:val="002B322C"/>
    <w:rsid w:val="002B6688"/>
    <w:rsid w:val="002C1002"/>
    <w:rsid w:val="002C3C54"/>
    <w:rsid w:val="002C6894"/>
    <w:rsid w:val="002D3985"/>
    <w:rsid w:val="002D3A9E"/>
    <w:rsid w:val="002D40F3"/>
    <w:rsid w:val="002D6072"/>
    <w:rsid w:val="002D7015"/>
    <w:rsid w:val="002E142B"/>
    <w:rsid w:val="002E544F"/>
    <w:rsid w:val="002E7B90"/>
    <w:rsid w:val="002F16E4"/>
    <w:rsid w:val="002F3B44"/>
    <w:rsid w:val="002F42B0"/>
    <w:rsid w:val="002F65B7"/>
    <w:rsid w:val="002F7989"/>
    <w:rsid w:val="002F7ACC"/>
    <w:rsid w:val="0030274A"/>
    <w:rsid w:val="00303084"/>
    <w:rsid w:val="00303641"/>
    <w:rsid w:val="00303D8B"/>
    <w:rsid w:val="0031025B"/>
    <w:rsid w:val="0031288A"/>
    <w:rsid w:val="0031513E"/>
    <w:rsid w:val="00324382"/>
    <w:rsid w:val="00324E57"/>
    <w:rsid w:val="00330238"/>
    <w:rsid w:val="00330D46"/>
    <w:rsid w:val="00343D26"/>
    <w:rsid w:val="00344AF3"/>
    <w:rsid w:val="0036206D"/>
    <w:rsid w:val="0036592E"/>
    <w:rsid w:val="00365BAC"/>
    <w:rsid w:val="00366562"/>
    <w:rsid w:val="00367BD3"/>
    <w:rsid w:val="00370C9B"/>
    <w:rsid w:val="00374EE4"/>
    <w:rsid w:val="0037507E"/>
    <w:rsid w:val="00380993"/>
    <w:rsid w:val="00383C30"/>
    <w:rsid w:val="00384FFF"/>
    <w:rsid w:val="00386325"/>
    <w:rsid w:val="00390D1E"/>
    <w:rsid w:val="0039523C"/>
    <w:rsid w:val="003953F2"/>
    <w:rsid w:val="003A1E87"/>
    <w:rsid w:val="003A45C6"/>
    <w:rsid w:val="003A555F"/>
    <w:rsid w:val="003A70E8"/>
    <w:rsid w:val="003A72F9"/>
    <w:rsid w:val="003B0DDE"/>
    <w:rsid w:val="003B40D7"/>
    <w:rsid w:val="003B52C9"/>
    <w:rsid w:val="003C1B60"/>
    <w:rsid w:val="003C674C"/>
    <w:rsid w:val="003D02BC"/>
    <w:rsid w:val="003D2320"/>
    <w:rsid w:val="003D3404"/>
    <w:rsid w:val="003D45A7"/>
    <w:rsid w:val="003D7F19"/>
    <w:rsid w:val="003E340F"/>
    <w:rsid w:val="003E587D"/>
    <w:rsid w:val="003E7053"/>
    <w:rsid w:val="003E74F2"/>
    <w:rsid w:val="00402C21"/>
    <w:rsid w:val="0040420D"/>
    <w:rsid w:val="004049CB"/>
    <w:rsid w:val="0040567E"/>
    <w:rsid w:val="004102AD"/>
    <w:rsid w:val="004109C7"/>
    <w:rsid w:val="0041442C"/>
    <w:rsid w:val="00414456"/>
    <w:rsid w:val="00416A1A"/>
    <w:rsid w:val="0041734A"/>
    <w:rsid w:val="00423949"/>
    <w:rsid w:val="00426833"/>
    <w:rsid w:val="0043018E"/>
    <w:rsid w:val="0043091B"/>
    <w:rsid w:val="00435896"/>
    <w:rsid w:val="0044194F"/>
    <w:rsid w:val="004431A8"/>
    <w:rsid w:val="00444490"/>
    <w:rsid w:val="00444FF7"/>
    <w:rsid w:val="00445BE1"/>
    <w:rsid w:val="00446EE7"/>
    <w:rsid w:val="00447FCE"/>
    <w:rsid w:val="00450C52"/>
    <w:rsid w:val="004565A4"/>
    <w:rsid w:val="00462133"/>
    <w:rsid w:val="004627F9"/>
    <w:rsid w:val="0046565D"/>
    <w:rsid w:val="0047253E"/>
    <w:rsid w:val="00476C1F"/>
    <w:rsid w:val="0048327E"/>
    <w:rsid w:val="004833E7"/>
    <w:rsid w:val="00485E3D"/>
    <w:rsid w:val="00486297"/>
    <w:rsid w:val="004907B2"/>
    <w:rsid w:val="00490817"/>
    <w:rsid w:val="004936F9"/>
    <w:rsid w:val="0049406D"/>
    <w:rsid w:val="00496D61"/>
    <w:rsid w:val="004A1F46"/>
    <w:rsid w:val="004A3830"/>
    <w:rsid w:val="004A4B1B"/>
    <w:rsid w:val="004A75E5"/>
    <w:rsid w:val="004A7930"/>
    <w:rsid w:val="004A7AB7"/>
    <w:rsid w:val="004A7AE7"/>
    <w:rsid w:val="004B1DC1"/>
    <w:rsid w:val="004B7CEB"/>
    <w:rsid w:val="004C02F7"/>
    <w:rsid w:val="004C06F0"/>
    <w:rsid w:val="004C2A83"/>
    <w:rsid w:val="004C5DA8"/>
    <w:rsid w:val="004D06B2"/>
    <w:rsid w:val="004D123D"/>
    <w:rsid w:val="004D173D"/>
    <w:rsid w:val="004D3518"/>
    <w:rsid w:val="004E27AB"/>
    <w:rsid w:val="004E3428"/>
    <w:rsid w:val="004E4B0C"/>
    <w:rsid w:val="004E50EF"/>
    <w:rsid w:val="004E5A62"/>
    <w:rsid w:val="004F2B5B"/>
    <w:rsid w:val="004F33AB"/>
    <w:rsid w:val="004F3905"/>
    <w:rsid w:val="004F53E3"/>
    <w:rsid w:val="0050173D"/>
    <w:rsid w:val="005041E0"/>
    <w:rsid w:val="005053FB"/>
    <w:rsid w:val="00506BEE"/>
    <w:rsid w:val="0051196C"/>
    <w:rsid w:val="00515085"/>
    <w:rsid w:val="00517D4F"/>
    <w:rsid w:val="005213E7"/>
    <w:rsid w:val="0052217C"/>
    <w:rsid w:val="005246A1"/>
    <w:rsid w:val="00524CC3"/>
    <w:rsid w:val="005253A5"/>
    <w:rsid w:val="00532A30"/>
    <w:rsid w:val="005337C1"/>
    <w:rsid w:val="00535337"/>
    <w:rsid w:val="00535386"/>
    <w:rsid w:val="00536310"/>
    <w:rsid w:val="005411E6"/>
    <w:rsid w:val="005413C5"/>
    <w:rsid w:val="0054142B"/>
    <w:rsid w:val="00541C98"/>
    <w:rsid w:val="00542E81"/>
    <w:rsid w:val="00544A60"/>
    <w:rsid w:val="00544DCB"/>
    <w:rsid w:val="00545C94"/>
    <w:rsid w:val="005563B1"/>
    <w:rsid w:val="00560093"/>
    <w:rsid w:val="005612AC"/>
    <w:rsid w:val="00570808"/>
    <w:rsid w:val="00571F3F"/>
    <w:rsid w:val="00573C2D"/>
    <w:rsid w:val="005742B1"/>
    <w:rsid w:val="005763C3"/>
    <w:rsid w:val="005778CE"/>
    <w:rsid w:val="005779A0"/>
    <w:rsid w:val="00582094"/>
    <w:rsid w:val="00583D67"/>
    <w:rsid w:val="00590010"/>
    <w:rsid w:val="005A7D63"/>
    <w:rsid w:val="005B06FD"/>
    <w:rsid w:val="005B1A98"/>
    <w:rsid w:val="005B4936"/>
    <w:rsid w:val="005C30D5"/>
    <w:rsid w:val="005C5661"/>
    <w:rsid w:val="005C6196"/>
    <w:rsid w:val="005E23A5"/>
    <w:rsid w:val="005E3627"/>
    <w:rsid w:val="005F46F8"/>
    <w:rsid w:val="005F7600"/>
    <w:rsid w:val="00600256"/>
    <w:rsid w:val="00602F01"/>
    <w:rsid w:val="006052CF"/>
    <w:rsid w:val="006054FE"/>
    <w:rsid w:val="0060785F"/>
    <w:rsid w:val="00607CB0"/>
    <w:rsid w:val="00607D11"/>
    <w:rsid w:val="00612C15"/>
    <w:rsid w:val="0061481E"/>
    <w:rsid w:val="00626427"/>
    <w:rsid w:val="006414AD"/>
    <w:rsid w:val="00642655"/>
    <w:rsid w:val="006432EF"/>
    <w:rsid w:val="00643CB4"/>
    <w:rsid w:val="00643E78"/>
    <w:rsid w:val="006449FF"/>
    <w:rsid w:val="006453C4"/>
    <w:rsid w:val="00645EC8"/>
    <w:rsid w:val="00646ECD"/>
    <w:rsid w:val="00652E0B"/>
    <w:rsid w:val="006541C3"/>
    <w:rsid w:val="00657D38"/>
    <w:rsid w:val="0066175B"/>
    <w:rsid w:val="00661D3D"/>
    <w:rsid w:val="00662043"/>
    <w:rsid w:val="006635B4"/>
    <w:rsid w:val="00665171"/>
    <w:rsid w:val="00666495"/>
    <w:rsid w:val="00670E18"/>
    <w:rsid w:val="006716C7"/>
    <w:rsid w:val="0067517D"/>
    <w:rsid w:val="00677DDF"/>
    <w:rsid w:val="00684C3C"/>
    <w:rsid w:val="006859ED"/>
    <w:rsid w:val="00686E0F"/>
    <w:rsid w:val="00687675"/>
    <w:rsid w:val="006901D1"/>
    <w:rsid w:val="00690F54"/>
    <w:rsid w:val="006914FE"/>
    <w:rsid w:val="00694DDF"/>
    <w:rsid w:val="006A14A3"/>
    <w:rsid w:val="006A260C"/>
    <w:rsid w:val="006A5FBF"/>
    <w:rsid w:val="006A6A82"/>
    <w:rsid w:val="006A742E"/>
    <w:rsid w:val="006B0EF5"/>
    <w:rsid w:val="006B1655"/>
    <w:rsid w:val="006B3A2A"/>
    <w:rsid w:val="006B5314"/>
    <w:rsid w:val="006B7759"/>
    <w:rsid w:val="006C064E"/>
    <w:rsid w:val="006C30FF"/>
    <w:rsid w:val="006C3C1A"/>
    <w:rsid w:val="006C453E"/>
    <w:rsid w:val="006C467C"/>
    <w:rsid w:val="006C7844"/>
    <w:rsid w:val="006C7C31"/>
    <w:rsid w:val="006D03EF"/>
    <w:rsid w:val="006D33A8"/>
    <w:rsid w:val="006D3910"/>
    <w:rsid w:val="006D68C3"/>
    <w:rsid w:val="006D726A"/>
    <w:rsid w:val="006E02A4"/>
    <w:rsid w:val="006E4184"/>
    <w:rsid w:val="006E7522"/>
    <w:rsid w:val="006F4307"/>
    <w:rsid w:val="006F435A"/>
    <w:rsid w:val="00700EB3"/>
    <w:rsid w:val="007029FE"/>
    <w:rsid w:val="007034B5"/>
    <w:rsid w:val="0070609F"/>
    <w:rsid w:val="00706804"/>
    <w:rsid w:val="00711DFD"/>
    <w:rsid w:val="007162F4"/>
    <w:rsid w:val="007164A4"/>
    <w:rsid w:val="00722785"/>
    <w:rsid w:val="007231D5"/>
    <w:rsid w:val="00724F98"/>
    <w:rsid w:val="007265EE"/>
    <w:rsid w:val="00726CD2"/>
    <w:rsid w:val="00727235"/>
    <w:rsid w:val="00730859"/>
    <w:rsid w:val="00730BE4"/>
    <w:rsid w:val="007311C0"/>
    <w:rsid w:val="007337B8"/>
    <w:rsid w:val="00737F7E"/>
    <w:rsid w:val="00744343"/>
    <w:rsid w:val="007452FE"/>
    <w:rsid w:val="00746AC6"/>
    <w:rsid w:val="007505BF"/>
    <w:rsid w:val="00751796"/>
    <w:rsid w:val="00752426"/>
    <w:rsid w:val="007556F9"/>
    <w:rsid w:val="00771033"/>
    <w:rsid w:val="00771137"/>
    <w:rsid w:val="00791B2C"/>
    <w:rsid w:val="00791C7C"/>
    <w:rsid w:val="007923A4"/>
    <w:rsid w:val="0079491F"/>
    <w:rsid w:val="00794E94"/>
    <w:rsid w:val="0079554A"/>
    <w:rsid w:val="007A2596"/>
    <w:rsid w:val="007A4BA7"/>
    <w:rsid w:val="007A5659"/>
    <w:rsid w:val="007B1DD5"/>
    <w:rsid w:val="007B214B"/>
    <w:rsid w:val="007B4E89"/>
    <w:rsid w:val="007C1A0C"/>
    <w:rsid w:val="007C37FE"/>
    <w:rsid w:val="007C396F"/>
    <w:rsid w:val="007C71AA"/>
    <w:rsid w:val="007D3BD9"/>
    <w:rsid w:val="007D405C"/>
    <w:rsid w:val="007D74F4"/>
    <w:rsid w:val="007E1550"/>
    <w:rsid w:val="007E4A26"/>
    <w:rsid w:val="007F0212"/>
    <w:rsid w:val="007F1326"/>
    <w:rsid w:val="007F3D1E"/>
    <w:rsid w:val="007F44D6"/>
    <w:rsid w:val="007F621C"/>
    <w:rsid w:val="008129A5"/>
    <w:rsid w:val="00813DBD"/>
    <w:rsid w:val="00814EC4"/>
    <w:rsid w:val="00815234"/>
    <w:rsid w:val="00815643"/>
    <w:rsid w:val="0082564A"/>
    <w:rsid w:val="00826619"/>
    <w:rsid w:val="00826A91"/>
    <w:rsid w:val="00840E15"/>
    <w:rsid w:val="008452A0"/>
    <w:rsid w:val="008460E9"/>
    <w:rsid w:val="008462AA"/>
    <w:rsid w:val="0085014E"/>
    <w:rsid w:val="00854951"/>
    <w:rsid w:val="008556AB"/>
    <w:rsid w:val="00855A67"/>
    <w:rsid w:val="00856ABE"/>
    <w:rsid w:val="00857160"/>
    <w:rsid w:val="00860366"/>
    <w:rsid w:val="00861C10"/>
    <w:rsid w:val="00862A44"/>
    <w:rsid w:val="00863F86"/>
    <w:rsid w:val="008655EE"/>
    <w:rsid w:val="00865638"/>
    <w:rsid w:val="00870E50"/>
    <w:rsid w:val="00871635"/>
    <w:rsid w:val="00874213"/>
    <w:rsid w:val="00874EA7"/>
    <w:rsid w:val="0087534A"/>
    <w:rsid w:val="008764F3"/>
    <w:rsid w:val="00882462"/>
    <w:rsid w:val="008853E7"/>
    <w:rsid w:val="00890795"/>
    <w:rsid w:val="00891998"/>
    <w:rsid w:val="00891CD8"/>
    <w:rsid w:val="00891FE4"/>
    <w:rsid w:val="0089336D"/>
    <w:rsid w:val="00895C7B"/>
    <w:rsid w:val="00896191"/>
    <w:rsid w:val="00896E10"/>
    <w:rsid w:val="00897969"/>
    <w:rsid w:val="008A498B"/>
    <w:rsid w:val="008A62DF"/>
    <w:rsid w:val="008B2CD5"/>
    <w:rsid w:val="008B44C9"/>
    <w:rsid w:val="008B66E0"/>
    <w:rsid w:val="008B68C3"/>
    <w:rsid w:val="008B6CEE"/>
    <w:rsid w:val="008C2143"/>
    <w:rsid w:val="008C54DA"/>
    <w:rsid w:val="008C5636"/>
    <w:rsid w:val="008C5F04"/>
    <w:rsid w:val="008C6FEF"/>
    <w:rsid w:val="008C74D8"/>
    <w:rsid w:val="008C7886"/>
    <w:rsid w:val="008D06E5"/>
    <w:rsid w:val="008D541B"/>
    <w:rsid w:val="008E33A7"/>
    <w:rsid w:val="008E464E"/>
    <w:rsid w:val="008E5C8A"/>
    <w:rsid w:val="008F286C"/>
    <w:rsid w:val="008F3BD8"/>
    <w:rsid w:val="008F3E47"/>
    <w:rsid w:val="00900B1C"/>
    <w:rsid w:val="00905479"/>
    <w:rsid w:val="00905B9E"/>
    <w:rsid w:val="00911097"/>
    <w:rsid w:val="00911B3C"/>
    <w:rsid w:val="00913CBB"/>
    <w:rsid w:val="009150EF"/>
    <w:rsid w:val="00916921"/>
    <w:rsid w:val="00920AFD"/>
    <w:rsid w:val="00933958"/>
    <w:rsid w:val="0093413F"/>
    <w:rsid w:val="009341A7"/>
    <w:rsid w:val="00935197"/>
    <w:rsid w:val="00936027"/>
    <w:rsid w:val="00941224"/>
    <w:rsid w:val="0094129F"/>
    <w:rsid w:val="00946697"/>
    <w:rsid w:val="00946980"/>
    <w:rsid w:val="00951057"/>
    <w:rsid w:val="00951B70"/>
    <w:rsid w:val="00953839"/>
    <w:rsid w:val="00954958"/>
    <w:rsid w:val="0095509C"/>
    <w:rsid w:val="00956D48"/>
    <w:rsid w:val="00957F94"/>
    <w:rsid w:val="009611ED"/>
    <w:rsid w:val="00962D38"/>
    <w:rsid w:val="0096438A"/>
    <w:rsid w:val="00966A38"/>
    <w:rsid w:val="00972840"/>
    <w:rsid w:val="00977E30"/>
    <w:rsid w:val="00980636"/>
    <w:rsid w:val="009814DE"/>
    <w:rsid w:val="0098153A"/>
    <w:rsid w:val="009878F1"/>
    <w:rsid w:val="0099388A"/>
    <w:rsid w:val="00995B95"/>
    <w:rsid w:val="009A631C"/>
    <w:rsid w:val="009A670A"/>
    <w:rsid w:val="009B111F"/>
    <w:rsid w:val="009B4968"/>
    <w:rsid w:val="009B554A"/>
    <w:rsid w:val="009B57AA"/>
    <w:rsid w:val="009B64CE"/>
    <w:rsid w:val="009B75CE"/>
    <w:rsid w:val="009C159D"/>
    <w:rsid w:val="009C3D94"/>
    <w:rsid w:val="009C668C"/>
    <w:rsid w:val="009C67EB"/>
    <w:rsid w:val="009C7963"/>
    <w:rsid w:val="009D0F67"/>
    <w:rsid w:val="009D1DC8"/>
    <w:rsid w:val="009D3BD3"/>
    <w:rsid w:val="009D4211"/>
    <w:rsid w:val="009D5564"/>
    <w:rsid w:val="009D5C4D"/>
    <w:rsid w:val="009D648A"/>
    <w:rsid w:val="009E0D1D"/>
    <w:rsid w:val="009F55E2"/>
    <w:rsid w:val="00A02763"/>
    <w:rsid w:val="00A02D98"/>
    <w:rsid w:val="00A049E2"/>
    <w:rsid w:val="00A10989"/>
    <w:rsid w:val="00A14A01"/>
    <w:rsid w:val="00A20B0E"/>
    <w:rsid w:val="00A20F47"/>
    <w:rsid w:val="00A227D6"/>
    <w:rsid w:val="00A251DB"/>
    <w:rsid w:val="00A27539"/>
    <w:rsid w:val="00A30877"/>
    <w:rsid w:val="00A36073"/>
    <w:rsid w:val="00A47469"/>
    <w:rsid w:val="00A47603"/>
    <w:rsid w:val="00A477E2"/>
    <w:rsid w:val="00A47CF4"/>
    <w:rsid w:val="00A50103"/>
    <w:rsid w:val="00A5160F"/>
    <w:rsid w:val="00A51A55"/>
    <w:rsid w:val="00A5204C"/>
    <w:rsid w:val="00A52DD0"/>
    <w:rsid w:val="00A56DCC"/>
    <w:rsid w:val="00A57E33"/>
    <w:rsid w:val="00A63112"/>
    <w:rsid w:val="00A67B11"/>
    <w:rsid w:val="00A751C6"/>
    <w:rsid w:val="00A759B7"/>
    <w:rsid w:val="00A817B6"/>
    <w:rsid w:val="00A818E3"/>
    <w:rsid w:val="00A81F63"/>
    <w:rsid w:val="00A824FE"/>
    <w:rsid w:val="00A86032"/>
    <w:rsid w:val="00A86835"/>
    <w:rsid w:val="00A9013A"/>
    <w:rsid w:val="00A90559"/>
    <w:rsid w:val="00A921A9"/>
    <w:rsid w:val="00A924A3"/>
    <w:rsid w:val="00A92A2C"/>
    <w:rsid w:val="00A95D9A"/>
    <w:rsid w:val="00AA1B71"/>
    <w:rsid w:val="00AA7801"/>
    <w:rsid w:val="00AB0E68"/>
    <w:rsid w:val="00AB302E"/>
    <w:rsid w:val="00AB3F2A"/>
    <w:rsid w:val="00AC08E4"/>
    <w:rsid w:val="00AC2F90"/>
    <w:rsid w:val="00AC396D"/>
    <w:rsid w:val="00AC3A6A"/>
    <w:rsid w:val="00AD0292"/>
    <w:rsid w:val="00AD1D6B"/>
    <w:rsid w:val="00AD29E8"/>
    <w:rsid w:val="00AD41B8"/>
    <w:rsid w:val="00AD4699"/>
    <w:rsid w:val="00AE2323"/>
    <w:rsid w:val="00AE5548"/>
    <w:rsid w:val="00AF1EB7"/>
    <w:rsid w:val="00AF3544"/>
    <w:rsid w:val="00AF3DDC"/>
    <w:rsid w:val="00AF62C7"/>
    <w:rsid w:val="00AF7E90"/>
    <w:rsid w:val="00B01790"/>
    <w:rsid w:val="00B03FF4"/>
    <w:rsid w:val="00B06912"/>
    <w:rsid w:val="00B10256"/>
    <w:rsid w:val="00B1208A"/>
    <w:rsid w:val="00B150B4"/>
    <w:rsid w:val="00B16FBB"/>
    <w:rsid w:val="00B171B9"/>
    <w:rsid w:val="00B21928"/>
    <w:rsid w:val="00B269DD"/>
    <w:rsid w:val="00B304E4"/>
    <w:rsid w:val="00B30B61"/>
    <w:rsid w:val="00B3252D"/>
    <w:rsid w:val="00B32F0B"/>
    <w:rsid w:val="00B3450F"/>
    <w:rsid w:val="00B34900"/>
    <w:rsid w:val="00B34C3B"/>
    <w:rsid w:val="00B34E7B"/>
    <w:rsid w:val="00B36D12"/>
    <w:rsid w:val="00B4050D"/>
    <w:rsid w:val="00B41DCA"/>
    <w:rsid w:val="00B43018"/>
    <w:rsid w:val="00B44974"/>
    <w:rsid w:val="00B44A0C"/>
    <w:rsid w:val="00B51455"/>
    <w:rsid w:val="00B60000"/>
    <w:rsid w:val="00B60231"/>
    <w:rsid w:val="00B604B1"/>
    <w:rsid w:val="00B629EE"/>
    <w:rsid w:val="00B64A4B"/>
    <w:rsid w:val="00B6771E"/>
    <w:rsid w:val="00B72A9A"/>
    <w:rsid w:val="00B9019F"/>
    <w:rsid w:val="00B939E3"/>
    <w:rsid w:val="00B94EEC"/>
    <w:rsid w:val="00B955BF"/>
    <w:rsid w:val="00BA03A9"/>
    <w:rsid w:val="00BA1C9E"/>
    <w:rsid w:val="00BA27A1"/>
    <w:rsid w:val="00BA3E2F"/>
    <w:rsid w:val="00BA5EEE"/>
    <w:rsid w:val="00BA6522"/>
    <w:rsid w:val="00BA6B55"/>
    <w:rsid w:val="00BA78F2"/>
    <w:rsid w:val="00BB6D58"/>
    <w:rsid w:val="00BC1C6D"/>
    <w:rsid w:val="00BC3053"/>
    <w:rsid w:val="00BC3C66"/>
    <w:rsid w:val="00BC3E92"/>
    <w:rsid w:val="00BC5377"/>
    <w:rsid w:val="00BC70A8"/>
    <w:rsid w:val="00BD124C"/>
    <w:rsid w:val="00BD6060"/>
    <w:rsid w:val="00BE180A"/>
    <w:rsid w:val="00BE4A4C"/>
    <w:rsid w:val="00BE5E95"/>
    <w:rsid w:val="00BE7CF3"/>
    <w:rsid w:val="00BF1351"/>
    <w:rsid w:val="00BF40EA"/>
    <w:rsid w:val="00BF6448"/>
    <w:rsid w:val="00BF7CCA"/>
    <w:rsid w:val="00C0138C"/>
    <w:rsid w:val="00C014B1"/>
    <w:rsid w:val="00C06F64"/>
    <w:rsid w:val="00C07180"/>
    <w:rsid w:val="00C11206"/>
    <w:rsid w:val="00C14AA5"/>
    <w:rsid w:val="00C167D5"/>
    <w:rsid w:val="00C20349"/>
    <w:rsid w:val="00C2233E"/>
    <w:rsid w:val="00C31BA0"/>
    <w:rsid w:val="00C32373"/>
    <w:rsid w:val="00C341C9"/>
    <w:rsid w:val="00C34431"/>
    <w:rsid w:val="00C351E1"/>
    <w:rsid w:val="00C421FA"/>
    <w:rsid w:val="00C423D0"/>
    <w:rsid w:val="00C42CAB"/>
    <w:rsid w:val="00C444DE"/>
    <w:rsid w:val="00C4558A"/>
    <w:rsid w:val="00C46655"/>
    <w:rsid w:val="00C47D3A"/>
    <w:rsid w:val="00C50B77"/>
    <w:rsid w:val="00C54192"/>
    <w:rsid w:val="00C554A4"/>
    <w:rsid w:val="00C56BC0"/>
    <w:rsid w:val="00C604E0"/>
    <w:rsid w:val="00C62A1E"/>
    <w:rsid w:val="00C64AE6"/>
    <w:rsid w:val="00C706DC"/>
    <w:rsid w:val="00C763D4"/>
    <w:rsid w:val="00C77CED"/>
    <w:rsid w:val="00C90708"/>
    <w:rsid w:val="00C9304F"/>
    <w:rsid w:val="00C96822"/>
    <w:rsid w:val="00CB171B"/>
    <w:rsid w:val="00CC4CCE"/>
    <w:rsid w:val="00CC7B23"/>
    <w:rsid w:val="00CD0E58"/>
    <w:rsid w:val="00CD1D34"/>
    <w:rsid w:val="00CE3A29"/>
    <w:rsid w:val="00CE4F33"/>
    <w:rsid w:val="00CE52B1"/>
    <w:rsid w:val="00CE5ACA"/>
    <w:rsid w:val="00CE5E83"/>
    <w:rsid w:val="00CF0019"/>
    <w:rsid w:val="00CF21D1"/>
    <w:rsid w:val="00CF5E96"/>
    <w:rsid w:val="00CF6649"/>
    <w:rsid w:val="00D00D75"/>
    <w:rsid w:val="00D01A84"/>
    <w:rsid w:val="00D01FB7"/>
    <w:rsid w:val="00D072EA"/>
    <w:rsid w:val="00D113F4"/>
    <w:rsid w:val="00D15E2F"/>
    <w:rsid w:val="00D177E7"/>
    <w:rsid w:val="00D20D5B"/>
    <w:rsid w:val="00D21837"/>
    <w:rsid w:val="00D222A1"/>
    <w:rsid w:val="00D23FAB"/>
    <w:rsid w:val="00D274C9"/>
    <w:rsid w:val="00D346CA"/>
    <w:rsid w:val="00D35FBE"/>
    <w:rsid w:val="00D40494"/>
    <w:rsid w:val="00D41F11"/>
    <w:rsid w:val="00D43F64"/>
    <w:rsid w:val="00D45534"/>
    <w:rsid w:val="00D50AE1"/>
    <w:rsid w:val="00D54BF6"/>
    <w:rsid w:val="00D55D16"/>
    <w:rsid w:val="00D5757D"/>
    <w:rsid w:val="00D57B48"/>
    <w:rsid w:val="00D608D3"/>
    <w:rsid w:val="00D6125A"/>
    <w:rsid w:val="00D62437"/>
    <w:rsid w:val="00D64724"/>
    <w:rsid w:val="00D671F1"/>
    <w:rsid w:val="00D67750"/>
    <w:rsid w:val="00D701A0"/>
    <w:rsid w:val="00D704C5"/>
    <w:rsid w:val="00D7125A"/>
    <w:rsid w:val="00D7131F"/>
    <w:rsid w:val="00D723B0"/>
    <w:rsid w:val="00D73C62"/>
    <w:rsid w:val="00D744A6"/>
    <w:rsid w:val="00D74C01"/>
    <w:rsid w:val="00D84B78"/>
    <w:rsid w:val="00D86283"/>
    <w:rsid w:val="00D90095"/>
    <w:rsid w:val="00D9137F"/>
    <w:rsid w:val="00D9138C"/>
    <w:rsid w:val="00D92288"/>
    <w:rsid w:val="00D92CDA"/>
    <w:rsid w:val="00D94276"/>
    <w:rsid w:val="00D94D28"/>
    <w:rsid w:val="00DA0C58"/>
    <w:rsid w:val="00DA1391"/>
    <w:rsid w:val="00DB342A"/>
    <w:rsid w:val="00DB5A78"/>
    <w:rsid w:val="00DB69FA"/>
    <w:rsid w:val="00DB7342"/>
    <w:rsid w:val="00DC1F28"/>
    <w:rsid w:val="00DC7891"/>
    <w:rsid w:val="00DD1A02"/>
    <w:rsid w:val="00DD3E76"/>
    <w:rsid w:val="00DD69C8"/>
    <w:rsid w:val="00DD7873"/>
    <w:rsid w:val="00DE2F8D"/>
    <w:rsid w:val="00DE471A"/>
    <w:rsid w:val="00DE614E"/>
    <w:rsid w:val="00DF11DD"/>
    <w:rsid w:val="00DF2856"/>
    <w:rsid w:val="00DF32C9"/>
    <w:rsid w:val="00DF454B"/>
    <w:rsid w:val="00DF4B9C"/>
    <w:rsid w:val="00DF5679"/>
    <w:rsid w:val="00E0295E"/>
    <w:rsid w:val="00E0381F"/>
    <w:rsid w:val="00E03D72"/>
    <w:rsid w:val="00E04594"/>
    <w:rsid w:val="00E055B3"/>
    <w:rsid w:val="00E1508B"/>
    <w:rsid w:val="00E15703"/>
    <w:rsid w:val="00E15A66"/>
    <w:rsid w:val="00E20E9F"/>
    <w:rsid w:val="00E21CA4"/>
    <w:rsid w:val="00E3052B"/>
    <w:rsid w:val="00E328AC"/>
    <w:rsid w:val="00E3554D"/>
    <w:rsid w:val="00E41831"/>
    <w:rsid w:val="00E447E2"/>
    <w:rsid w:val="00E45815"/>
    <w:rsid w:val="00E46BD1"/>
    <w:rsid w:val="00E47686"/>
    <w:rsid w:val="00E47B1B"/>
    <w:rsid w:val="00E50E6B"/>
    <w:rsid w:val="00E51197"/>
    <w:rsid w:val="00E52F95"/>
    <w:rsid w:val="00E554B5"/>
    <w:rsid w:val="00E55566"/>
    <w:rsid w:val="00E5633C"/>
    <w:rsid w:val="00E56A28"/>
    <w:rsid w:val="00E56D5A"/>
    <w:rsid w:val="00E6380A"/>
    <w:rsid w:val="00E64517"/>
    <w:rsid w:val="00E667D7"/>
    <w:rsid w:val="00E6789F"/>
    <w:rsid w:val="00E7032B"/>
    <w:rsid w:val="00E71B66"/>
    <w:rsid w:val="00E75D78"/>
    <w:rsid w:val="00E81440"/>
    <w:rsid w:val="00E81968"/>
    <w:rsid w:val="00E8774A"/>
    <w:rsid w:val="00E964DC"/>
    <w:rsid w:val="00EA0136"/>
    <w:rsid w:val="00EA05C9"/>
    <w:rsid w:val="00EA0D11"/>
    <w:rsid w:val="00EA3258"/>
    <w:rsid w:val="00EA3EAF"/>
    <w:rsid w:val="00EA5638"/>
    <w:rsid w:val="00EA5F7E"/>
    <w:rsid w:val="00EA7E0A"/>
    <w:rsid w:val="00EB1875"/>
    <w:rsid w:val="00EB1C7F"/>
    <w:rsid w:val="00EB4661"/>
    <w:rsid w:val="00EB4F2B"/>
    <w:rsid w:val="00EB734E"/>
    <w:rsid w:val="00EB7A6C"/>
    <w:rsid w:val="00EC0E15"/>
    <w:rsid w:val="00EC4DC6"/>
    <w:rsid w:val="00EC76FB"/>
    <w:rsid w:val="00EC7BC7"/>
    <w:rsid w:val="00ED1009"/>
    <w:rsid w:val="00ED5C24"/>
    <w:rsid w:val="00ED5C9C"/>
    <w:rsid w:val="00ED7D44"/>
    <w:rsid w:val="00EE3BFC"/>
    <w:rsid w:val="00EE40D2"/>
    <w:rsid w:val="00EE5576"/>
    <w:rsid w:val="00EF0D25"/>
    <w:rsid w:val="00EF3846"/>
    <w:rsid w:val="00EF3BD7"/>
    <w:rsid w:val="00EF6D89"/>
    <w:rsid w:val="00F001AB"/>
    <w:rsid w:val="00F0410F"/>
    <w:rsid w:val="00F04A33"/>
    <w:rsid w:val="00F04C4D"/>
    <w:rsid w:val="00F054C3"/>
    <w:rsid w:val="00F06D30"/>
    <w:rsid w:val="00F06E8C"/>
    <w:rsid w:val="00F1083D"/>
    <w:rsid w:val="00F150C1"/>
    <w:rsid w:val="00F23F2C"/>
    <w:rsid w:val="00F260A6"/>
    <w:rsid w:val="00F278AA"/>
    <w:rsid w:val="00F27B32"/>
    <w:rsid w:val="00F3102D"/>
    <w:rsid w:val="00F313A6"/>
    <w:rsid w:val="00F32E10"/>
    <w:rsid w:val="00F32EC5"/>
    <w:rsid w:val="00F341EC"/>
    <w:rsid w:val="00F34EB7"/>
    <w:rsid w:val="00F455ED"/>
    <w:rsid w:val="00F47E92"/>
    <w:rsid w:val="00F50749"/>
    <w:rsid w:val="00F5144B"/>
    <w:rsid w:val="00F51CD8"/>
    <w:rsid w:val="00F52DD2"/>
    <w:rsid w:val="00F5545F"/>
    <w:rsid w:val="00F576CA"/>
    <w:rsid w:val="00F6278E"/>
    <w:rsid w:val="00F65B70"/>
    <w:rsid w:val="00F66160"/>
    <w:rsid w:val="00F6640F"/>
    <w:rsid w:val="00F6716D"/>
    <w:rsid w:val="00F70EA1"/>
    <w:rsid w:val="00F70FF7"/>
    <w:rsid w:val="00F7359B"/>
    <w:rsid w:val="00F735E0"/>
    <w:rsid w:val="00F81602"/>
    <w:rsid w:val="00F8435E"/>
    <w:rsid w:val="00F910C9"/>
    <w:rsid w:val="00F949A9"/>
    <w:rsid w:val="00F96164"/>
    <w:rsid w:val="00F9645A"/>
    <w:rsid w:val="00FA0CEB"/>
    <w:rsid w:val="00FA15E5"/>
    <w:rsid w:val="00FA2C66"/>
    <w:rsid w:val="00FA53C5"/>
    <w:rsid w:val="00FA5538"/>
    <w:rsid w:val="00FB1612"/>
    <w:rsid w:val="00FB28B4"/>
    <w:rsid w:val="00FB4B58"/>
    <w:rsid w:val="00FB4E94"/>
    <w:rsid w:val="00FB57C5"/>
    <w:rsid w:val="00FC13B4"/>
    <w:rsid w:val="00FC1FD2"/>
    <w:rsid w:val="00FC2B34"/>
    <w:rsid w:val="00FC6741"/>
    <w:rsid w:val="00FC6F68"/>
    <w:rsid w:val="00FC7C46"/>
    <w:rsid w:val="00FC7E88"/>
    <w:rsid w:val="00FD0888"/>
    <w:rsid w:val="00FD3F44"/>
    <w:rsid w:val="00FE72D4"/>
    <w:rsid w:val="018B239E"/>
    <w:rsid w:val="01B97AD2"/>
    <w:rsid w:val="01BF53F8"/>
    <w:rsid w:val="02931E22"/>
    <w:rsid w:val="02DA1F3A"/>
    <w:rsid w:val="02EE30A7"/>
    <w:rsid w:val="03D96696"/>
    <w:rsid w:val="0433224A"/>
    <w:rsid w:val="05CF08BB"/>
    <w:rsid w:val="062478E7"/>
    <w:rsid w:val="06477D96"/>
    <w:rsid w:val="06FC6923"/>
    <w:rsid w:val="07110BDD"/>
    <w:rsid w:val="07C40A52"/>
    <w:rsid w:val="07C7422E"/>
    <w:rsid w:val="07DE53F0"/>
    <w:rsid w:val="07F55173"/>
    <w:rsid w:val="084542FA"/>
    <w:rsid w:val="08615753"/>
    <w:rsid w:val="08B9738C"/>
    <w:rsid w:val="095B4783"/>
    <w:rsid w:val="0A6E5D8A"/>
    <w:rsid w:val="0B21104E"/>
    <w:rsid w:val="0B87361F"/>
    <w:rsid w:val="0BAD1A98"/>
    <w:rsid w:val="0BBB7CE5"/>
    <w:rsid w:val="0BDA0FBE"/>
    <w:rsid w:val="0BEF0685"/>
    <w:rsid w:val="0C4B7291"/>
    <w:rsid w:val="0C9C52B7"/>
    <w:rsid w:val="0CB63A18"/>
    <w:rsid w:val="0CED4708"/>
    <w:rsid w:val="0D5242CA"/>
    <w:rsid w:val="0DCC4B10"/>
    <w:rsid w:val="0DE1B05D"/>
    <w:rsid w:val="0DE5D317"/>
    <w:rsid w:val="0E5C414B"/>
    <w:rsid w:val="0EC97E29"/>
    <w:rsid w:val="0EFA4090"/>
    <w:rsid w:val="0F384BB8"/>
    <w:rsid w:val="0F581C88"/>
    <w:rsid w:val="0F66EE52"/>
    <w:rsid w:val="0FEFA6AE"/>
    <w:rsid w:val="0FF623B4"/>
    <w:rsid w:val="0FF87EA4"/>
    <w:rsid w:val="0FFFCDFF"/>
    <w:rsid w:val="106C2D6C"/>
    <w:rsid w:val="10C304B2"/>
    <w:rsid w:val="10DF11BD"/>
    <w:rsid w:val="12661A3D"/>
    <w:rsid w:val="1375208F"/>
    <w:rsid w:val="13917771"/>
    <w:rsid w:val="13AA5959"/>
    <w:rsid w:val="13F73AC0"/>
    <w:rsid w:val="142F2DDA"/>
    <w:rsid w:val="146A2E28"/>
    <w:rsid w:val="146E56F1"/>
    <w:rsid w:val="14EE4EEE"/>
    <w:rsid w:val="15113EE2"/>
    <w:rsid w:val="157F8BEB"/>
    <w:rsid w:val="15FFDF07"/>
    <w:rsid w:val="16481D93"/>
    <w:rsid w:val="1665A075"/>
    <w:rsid w:val="167F5BC6"/>
    <w:rsid w:val="168B7CC4"/>
    <w:rsid w:val="16EA3C40"/>
    <w:rsid w:val="16F05C47"/>
    <w:rsid w:val="16F940E7"/>
    <w:rsid w:val="17103D25"/>
    <w:rsid w:val="17141A67"/>
    <w:rsid w:val="17364FC2"/>
    <w:rsid w:val="175E61A2"/>
    <w:rsid w:val="180513B0"/>
    <w:rsid w:val="18AB324A"/>
    <w:rsid w:val="18CBCC57"/>
    <w:rsid w:val="196B292F"/>
    <w:rsid w:val="19BF7716"/>
    <w:rsid w:val="19CE5FFB"/>
    <w:rsid w:val="1A7F3E74"/>
    <w:rsid w:val="1AFF9913"/>
    <w:rsid w:val="1B716318"/>
    <w:rsid w:val="1B7791F0"/>
    <w:rsid w:val="1BB0204C"/>
    <w:rsid w:val="1BDE1564"/>
    <w:rsid w:val="1BEBF455"/>
    <w:rsid w:val="1BFE775C"/>
    <w:rsid w:val="1BFF7929"/>
    <w:rsid w:val="1C34594F"/>
    <w:rsid w:val="1C7C42DE"/>
    <w:rsid w:val="1C8A03F1"/>
    <w:rsid w:val="1CB54312"/>
    <w:rsid w:val="1CFDFFE9"/>
    <w:rsid w:val="1CFF4507"/>
    <w:rsid w:val="1D2A57A2"/>
    <w:rsid w:val="1D9769D9"/>
    <w:rsid w:val="1DD9F356"/>
    <w:rsid w:val="1DDDEE7D"/>
    <w:rsid w:val="1DF7CE08"/>
    <w:rsid w:val="1DFAAF78"/>
    <w:rsid w:val="1DFF5E6D"/>
    <w:rsid w:val="1ED35C1A"/>
    <w:rsid w:val="1EF96EE7"/>
    <w:rsid w:val="1EFEF512"/>
    <w:rsid w:val="1F2B10BA"/>
    <w:rsid w:val="1F3B45B0"/>
    <w:rsid w:val="1F5F2B49"/>
    <w:rsid w:val="1F7F344D"/>
    <w:rsid w:val="1F7FEFFC"/>
    <w:rsid w:val="1FBC8E66"/>
    <w:rsid w:val="1FBD4830"/>
    <w:rsid w:val="1FBD9788"/>
    <w:rsid w:val="1FBFBCC5"/>
    <w:rsid w:val="1FCB6119"/>
    <w:rsid w:val="1FCFAA3E"/>
    <w:rsid w:val="1FDF77CD"/>
    <w:rsid w:val="1FE89C1D"/>
    <w:rsid w:val="1FF665F6"/>
    <w:rsid w:val="1FF7A2C1"/>
    <w:rsid w:val="1FFE53C4"/>
    <w:rsid w:val="201D0F3D"/>
    <w:rsid w:val="201F40D4"/>
    <w:rsid w:val="202E11D8"/>
    <w:rsid w:val="206B5CB9"/>
    <w:rsid w:val="20C75D9C"/>
    <w:rsid w:val="20CB235B"/>
    <w:rsid w:val="20FB50A8"/>
    <w:rsid w:val="211B07A6"/>
    <w:rsid w:val="21582E98"/>
    <w:rsid w:val="21B473DC"/>
    <w:rsid w:val="21CF5E82"/>
    <w:rsid w:val="224A1CD5"/>
    <w:rsid w:val="22DD3655"/>
    <w:rsid w:val="22EC4C90"/>
    <w:rsid w:val="23435695"/>
    <w:rsid w:val="238A6B37"/>
    <w:rsid w:val="239A7550"/>
    <w:rsid w:val="23EE3E19"/>
    <w:rsid w:val="24173BFC"/>
    <w:rsid w:val="249C309C"/>
    <w:rsid w:val="254F2BC8"/>
    <w:rsid w:val="25971A11"/>
    <w:rsid w:val="25DF256A"/>
    <w:rsid w:val="25F9E45D"/>
    <w:rsid w:val="2687344A"/>
    <w:rsid w:val="26F6F8B9"/>
    <w:rsid w:val="277F0CA9"/>
    <w:rsid w:val="277F9CD2"/>
    <w:rsid w:val="278D7653"/>
    <w:rsid w:val="27B7B8FD"/>
    <w:rsid w:val="27D0102C"/>
    <w:rsid w:val="27E7E5AC"/>
    <w:rsid w:val="27F0124D"/>
    <w:rsid w:val="27F37CEA"/>
    <w:rsid w:val="27F7500E"/>
    <w:rsid w:val="28667C49"/>
    <w:rsid w:val="28732366"/>
    <w:rsid w:val="29404EC5"/>
    <w:rsid w:val="29C91767"/>
    <w:rsid w:val="29F55FAD"/>
    <w:rsid w:val="2A481CFC"/>
    <w:rsid w:val="2AA026A1"/>
    <w:rsid w:val="2AB124E0"/>
    <w:rsid w:val="2AD7F57C"/>
    <w:rsid w:val="2AF754D0"/>
    <w:rsid w:val="2B116592"/>
    <w:rsid w:val="2B5301BB"/>
    <w:rsid w:val="2BFF4008"/>
    <w:rsid w:val="2CC70804"/>
    <w:rsid w:val="2D1EE11E"/>
    <w:rsid w:val="2D9FA596"/>
    <w:rsid w:val="2DA213D5"/>
    <w:rsid w:val="2DEE775F"/>
    <w:rsid w:val="2DFBD822"/>
    <w:rsid w:val="2E402CEA"/>
    <w:rsid w:val="2E9F0B36"/>
    <w:rsid w:val="2EB3DAB8"/>
    <w:rsid w:val="2EB59F65"/>
    <w:rsid w:val="2EEC1AF4"/>
    <w:rsid w:val="2EF7F8D8"/>
    <w:rsid w:val="2EFA1321"/>
    <w:rsid w:val="2F2D6B88"/>
    <w:rsid w:val="2F3A78C7"/>
    <w:rsid w:val="2F73C7D4"/>
    <w:rsid w:val="2FAF9275"/>
    <w:rsid w:val="2FBDAE34"/>
    <w:rsid w:val="2FBF6A47"/>
    <w:rsid w:val="2FC23076"/>
    <w:rsid w:val="2FCE7303"/>
    <w:rsid w:val="2FCF90E7"/>
    <w:rsid w:val="2FDEA410"/>
    <w:rsid w:val="2FE70A33"/>
    <w:rsid w:val="2FED3152"/>
    <w:rsid w:val="2FEF8E71"/>
    <w:rsid w:val="2FFAA8C0"/>
    <w:rsid w:val="3065620A"/>
    <w:rsid w:val="309D88CF"/>
    <w:rsid w:val="30B4604E"/>
    <w:rsid w:val="30C87EF1"/>
    <w:rsid w:val="3146642E"/>
    <w:rsid w:val="317F8DCA"/>
    <w:rsid w:val="31B701E4"/>
    <w:rsid w:val="31D07203"/>
    <w:rsid w:val="322040CC"/>
    <w:rsid w:val="32DB2117"/>
    <w:rsid w:val="32F6E4CC"/>
    <w:rsid w:val="3376A84B"/>
    <w:rsid w:val="33FE9317"/>
    <w:rsid w:val="33FF362B"/>
    <w:rsid w:val="344B5540"/>
    <w:rsid w:val="345B262C"/>
    <w:rsid w:val="346F64E9"/>
    <w:rsid w:val="348A01B6"/>
    <w:rsid w:val="3491197E"/>
    <w:rsid w:val="34BE3298"/>
    <w:rsid w:val="35020CF9"/>
    <w:rsid w:val="35130693"/>
    <w:rsid w:val="35366BDD"/>
    <w:rsid w:val="3551481A"/>
    <w:rsid w:val="35762725"/>
    <w:rsid w:val="357B488F"/>
    <w:rsid w:val="358A53B9"/>
    <w:rsid w:val="358E358F"/>
    <w:rsid w:val="35B12CA3"/>
    <w:rsid w:val="35BB9290"/>
    <w:rsid w:val="35DB109E"/>
    <w:rsid w:val="35FD60A3"/>
    <w:rsid w:val="366E7C59"/>
    <w:rsid w:val="367F3C28"/>
    <w:rsid w:val="36C11657"/>
    <w:rsid w:val="36EA2AD1"/>
    <w:rsid w:val="37095A0C"/>
    <w:rsid w:val="374A6B4C"/>
    <w:rsid w:val="37675110"/>
    <w:rsid w:val="376F4463"/>
    <w:rsid w:val="377766F9"/>
    <w:rsid w:val="37A9C74C"/>
    <w:rsid w:val="37ADD876"/>
    <w:rsid w:val="37C38D57"/>
    <w:rsid w:val="37EA34F5"/>
    <w:rsid w:val="37F1DE89"/>
    <w:rsid w:val="37F6FF1D"/>
    <w:rsid w:val="37FB5C18"/>
    <w:rsid w:val="37FF08E5"/>
    <w:rsid w:val="37FFB395"/>
    <w:rsid w:val="37FFFDDF"/>
    <w:rsid w:val="386C41A1"/>
    <w:rsid w:val="388C0F0E"/>
    <w:rsid w:val="38980ACE"/>
    <w:rsid w:val="38A2738A"/>
    <w:rsid w:val="38D3500A"/>
    <w:rsid w:val="39217350"/>
    <w:rsid w:val="3952204B"/>
    <w:rsid w:val="397E247C"/>
    <w:rsid w:val="39AD9D21"/>
    <w:rsid w:val="39AE0030"/>
    <w:rsid w:val="39B6EDE4"/>
    <w:rsid w:val="39BC591B"/>
    <w:rsid w:val="39CA7A2B"/>
    <w:rsid w:val="39F20325"/>
    <w:rsid w:val="39F8940F"/>
    <w:rsid w:val="3A2A1A13"/>
    <w:rsid w:val="3A5B73CC"/>
    <w:rsid w:val="3A7DC2CA"/>
    <w:rsid w:val="3A8B4729"/>
    <w:rsid w:val="3AAF9ECD"/>
    <w:rsid w:val="3ADD85A3"/>
    <w:rsid w:val="3AEFAF8D"/>
    <w:rsid w:val="3AFBDA09"/>
    <w:rsid w:val="3B555A62"/>
    <w:rsid w:val="3B7D3AF8"/>
    <w:rsid w:val="3B892C45"/>
    <w:rsid w:val="3BAD9B7E"/>
    <w:rsid w:val="3BD05721"/>
    <w:rsid w:val="3BDF7D6E"/>
    <w:rsid w:val="3BED5335"/>
    <w:rsid w:val="3BEF06C1"/>
    <w:rsid w:val="3BF62501"/>
    <w:rsid w:val="3BF7B866"/>
    <w:rsid w:val="3BFDDD07"/>
    <w:rsid w:val="3BFF1765"/>
    <w:rsid w:val="3C744685"/>
    <w:rsid w:val="3C9D66C0"/>
    <w:rsid w:val="3CEF18DF"/>
    <w:rsid w:val="3D141F11"/>
    <w:rsid w:val="3D2263DC"/>
    <w:rsid w:val="3D377209"/>
    <w:rsid w:val="3D3F2FDA"/>
    <w:rsid w:val="3D564B09"/>
    <w:rsid w:val="3D57CF79"/>
    <w:rsid w:val="3D70183F"/>
    <w:rsid w:val="3DBA4E8A"/>
    <w:rsid w:val="3DEBB2FD"/>
    <w:rsid w:val="3DF31E13"/>
    <w:rsid w:val="3DF7D232"/>
    <w:rsid w:val="3DFAC75F"/>
    <w:rsid w:val="3DFCF4D5"/>
    <w:rsid w:val="3DFDE7EB"/>
    <w:rsid w:val="3E611A08"/>
    <w:rsid w:val="3E9F4907"/>
    <w:rsid w:val="3EB730FB"/>
    <w:rsid w:val="3EDDC657"/>
    <w:rsid w:val="3EED4746"/>
    <w:rsid w:val="3EEFB7A3"/>
    <w:rsid w:val="3EF0A7A1"/>
    <w:rsid w:val="3EFA3CB7"/>
    <w:rsid w:val="3EFC7D15"/>
    <w:rsid w:val="3EFCF3CD"/>
    <w:rsid w:val="3EFF833C"/>
    <w:rsid w:val="3F570F0C"/>
    <w:rsid w:val="3F623B2B"/>
    <w:rsid w:val="3F7BF8CA"/>
    <w:rsid w:val="3F7FBA2A"/>
    <w:rsid w:val="3F7FE125"/>
    <w:rsid w:val="3FA1087D"/>
    <w:rsid w:val="3FAD501B"/>
    <w:rsid w:val="3FBAE223"/>
    <w:rsid w:val="3FBF5B4C"/>
    <w:rsid w:val="3FBF9B6C"/>
    <w:rsid w:val="3FC70B52"/>
    <w:rsid w:val="3FCB643E"/>
    <w:rsid w:val="3FD52942"/>
    <w:rsid w:val="3FDD9269"/>
    <w:rsid w:val="3FDF35F1"/>
    <w:rsid w:val="3FEB1935"/>
    <w:rsid w:val="3FEFFBDE"/>
    <w:rsid w:val="3FF1EE5A"/>
    <w:rsid w:val="3FF60163"/>
    <w:rsid w:val="3FF6ADE4"/>
    <w:rsid w:val="3FF9B82A"/>
    <w:rsid w:val="3FFA90B6"/>
    <w:rsid w:val="3FFD3270"/>
    <w:rsid w:val="3FFDFB69"/>
    <w:rsid w:val="3FFEDF17"/>
    <w:rsid w:val="3FFEE139"/>
    <w:rsid w:val="3FFF20E3"/>
    <w:rsid w:val="3FFF23A6"/>
    <w:rsid w:val="3FFF5211"/>
    <w:rsid w:val="3FFF5F06"/>
    <w:rsid w:val="3FFFBA15"/>
    <w:rsid w:val="3FFFD4A9"/>
    <w:rsid w:val="40027E0E"/>
    <w:rsid w:val="407B2A6E"/>
    <w:rsid w:val="419D0057"/>
    <w:rsid w:val="41BA2E58"/>
    <w:rsid w:val="42507548"/>
    <w:rsid w:val="425B39A2"/>
    <w:rsid w:val="42E02CAB"/>
    <w:rsid w:val="42E763CC"/>
    <w:rsid w:val="42FF6DD2"/>
    <w:rsid w:val="44286A8D"/>
    <w:rsid w:val="44591B47"/>
    <w:rsid w:val="44B518E4"/>
    <w:rsid w:val="452F62C1"/>
    <w:rsid w:val="455751FA"/>
    <w:rsid w:val="461F8E70"/>
    <w:rsid w:val="46380A1F"/>
    <w:rsid w:val="468F024E"/>
    <w:rsid w:val="46A87ACE"/>
    <w:rsid w:val="46FD8782"/>
    <w:rsid w:val="477F88EA"/>
    <w:rsid w:val="47874D6A"/>
    <w:rsid w:val="47950573"/>
    <w:rsid w:val="47AA04C8"/>
    <w:rsid w:val="47B42327"/>
    <w:rsid w:val="47C42849"/>
    <w:rsid w:val="47D626FA"/>
    <w:rsid w:val="47FFD8B8"/>
    <w:rsid w:val="483F6AC4"/>
    <w:rsid w:val="4853044D"/>
    <w:rsid w:val="4877738D"/>
    <w:rsid w:val="48943DA0"/>
    <w:rsid w:val="49241A07"/>
    <w:rsid w:val="494A7598"/>
    <w:rsid w:val="496D4E83"/>
    <w:rsid w:val="49FB0F56"/>
    <w:rsid w:val="49FFC0CB"/>
    <w:rsid w:val="4A0A4518"/>
    <w:rsid w:val="4A184CD0"/>
    <w:rsid w:val="4A537A00"/>
    <w:rsid w:val="4A966E1A"/>
    <w:rsid w:val="4AAD305D"/>
    <w:rsid w:val="4B087C2A"/>
    <w:rsid w:val="4B7E91CA"/>
    <w:rsid w:val="4B9D0402"/>
    <w:rsid w:val="4BDBB3D6"/>
    <w:rsid w:val="4BDECB60"/>
    <w:rsid w:val="4CEC418A"/>
    <w:rsid w:val="4D7D4B84"/>
    <w:rsid w:val="4D7E3E1A"/>
    <w:rsid w:val="4D863EEF"/>
    <w:rsid w:val="4DCC8B8B"/>
    <w:rsid w:val="4E61488B"/>
    <w:rsid w:val="4E6B6B73"/>
    <w:rsid w:val="4EDF5DAA"/>
    <w:rsid w:val="4EEBE6D8"/>
    <w:rsid w:val="4EED4B25"/>
    <w:rsid w:val="4EFD32B6"/>
    <w:rsid w:val="4F374549"/>
    <w:rsid w:val="4F59B6EA"/>
    <w:rsid w:val="4F6F697B"/>
    <w:rsid w:val="4F8EC6FE"/>
    <w:rsid w:val="4F9F8267"/>
    <w:rsid w:val="4FD5108C"/>
    <w:rsid w:val="4FF71D80"/>
    <w:rsid w:val="509176A9"/>
    <w:rsid w:val="50E35A2B"/>
    <w:rsid w:val="51034E08"/>
    <w:rsid w:val="51AD7AEB"/>
    <w:rsid w:val="51E67581"/>
    <w:rsid w:val="521A36CE"/>
    <w:rsid w:val="523F1E54"/>
    <w:rsid w:val="52DF5E77"/>
    <w:rsid w:val="5334256E"/>
    <w:rsid w:val="533C1349"/>
    <w:rsid w:val="537ECB6E"/>
    <w:rsid w:val="53C79E54"/>
    <w:rsid w:val="542A1CA2"/>
    <w:rsid w:val="5507618C"/>
    <w:rsid w:val="55214D74"/>
    <w:rsid w:val="5522640E"/>
    <w:rsid w:val="554D7917"/>
    <w:rsid w:val="55FFBB03"/>
    <w:rsid w:val="56415220"/>
    <w:rsid w:val="566ED126"/>
    <w:rsid w:val="56A647A0"/>
    <w:rsid w:val="56D7CB8C"/>
    <w:rsid w:val="56DB091D"/>
    <w:rsid w:val="571B6E2D"/>
    <w:rsid w:val="572B1EDA"/>
    <w:rsid w:val="576B57C4"/>
    <w:rsid w:val="57B0EB00"/>
    <w:rsid w:val="57B73C29"/>
    <w:rsid w:val="57D7C2C5"/>
    <w:rsid w:val="57DF09E6"/>
    <w:rsid w:val="57EBB8DF"/>
    <w:rsid w:val="57EEE14D"/>
    <w:rsid w:val="57EF42A3"/>
    <w:rsid w:val="57FB7E22"/>
    <w:rsid w:val="57FDABFD"/>
    <w:rsid w:val="57FFBFF1"/>
    <w:rsid w:val="586C2E1D"/>
    <w:rsid w:val="58EB08F7"/>
    <w:rsid w:val="591744C4"/>
    <w:rsid w:val="59965D30"/>
    <w:rsid w:val="59A85A64"/>
    <w:rsid w:val="59FF39D0"/>
    <w:rsid w:val="5A184988"/>
    <w:rsid w:val="5ADFDDCE"/>
    <w:rsid w:val="5AF979AA"/>
    <w:rsid w:val="5AFDF3E2"/>
    <w:rsid w:val="5AFFC3F4"/>
    <w:rsid w:val="5AFFFBA9"/>
    <w:rsid w:val="5B13823A"/>
    <w:rsid w:val="5B771B00"/>
    <w:rsid w:val="5BABCD82"/>
    <w:rsid w:val="5BB26434"/>
    <w:rsid w:val="5BD9793F"/>
    <w:rsid w:val="5BDDF06C"/>
    <w:rsid w:val="5BDE7DAF"/>
    <w:rsid w:val="5BEF56AA"/>
    <w:rsid w:val="5BF513E7"/>
    <w:rsid w:val="5BF680BD"/>
    <w:rsid w:val="5BFD0617"/>
    <w:rsid w:val="5BFD944D"/>
    <w:rsid w:val="5C45137A"/>
    <w:rsid w:val="5C5CF3E9"/>
    <w:rsid w:val="5CD3101B"/>
    <w:rsid w:val="5D4F6977"/>
    <w:rsid w:val="5D4F9101"/>
    <w:rsid w:val="5D6E04F5"/>
    <w:rsid w:val="5DA85103"/>
    <w:rsid w:val="5DB37E14"/>
    <w:rsid w:val="5DD11B86"/>
    <w:rsid w:val="5DD69BFD"/>
    <w:rsid w:val="5DDF433E"/>
    <w:rsid w:val="5DFFCE24"/>
    <w:rsid w:val="5DFFFEB2"/>
    <w:rsid w:val="5E730C4A"/>
    <w:rsid w:val="5EF370FA"/>
    <w:rsid w:val="5EF9505D"/>
    <w:rsid w:val="5EFE1F8D"/>
    <w:rsid w:val="5EFF50A8"/>
    <w:rsid w:val="5EFF854A"/>
    <w:rsid w:val="5F04373C"/>
    <w:rsid w:val="5F155949"/>
    <w:rsid w:val="5F2FE98F"/>
    <w:rsid w:val="5F5226F9"/>
    <w:rsid w:val="5F6FBE17"/>
    <w:rsid w:val="5F7F67C7"/>
    <w:rsid w:val="5F7FD774"/>
    <w:rsid w:val="5F8B6F09"/>
    <w:rsid w:val="5FB67940"/>
    <w:rsid w:val="5FB70501"/>
    <w:rsid w:val="5FBD3EC7"/>
    <w:rsid w:val="5FBF7F4B"/>
    <w:rsid w:val="5FC5E431"/>
    <w:rsid w:val="5FD38BF4"/>
    <w:rsid w:val="5FDB5986"/>
    <w:rsid w:val="5FDEB550"/>
    <w:rsid w:val="5FDED009"/>
    <w:rsid w:val="5FE33438"/>
    <w:rsid w:val="5FE425EA"/>
    <w:rsid w:val="5FED3520"/>
    <w:rsid w:val="5FEDA3FF"/>
    <w:rsid w:val="5FEEF1E1"/>
    <w:rsid w:val="5FF30FFF"/>
    <w:rsid w:val="5FFA4F51"/>
    <w:rsid w:val="5FFB2A29"/>
    <w:rsid w:val="5FFD96E0"/>
    <w:rsid w:val="5FFEC76B"/>
    <w:rsid w:val="5FFF1FD5"/>
    <w:rsid w:val="5FFF5921"/>
    <w:rsid w:val="5FFF6FBE"/>
    <w:rsid w:val="5FFFE4DE"/>
    <w:rsid w:val="600A6B30"/>
    <w:rsid w:val="602252E7"/>
    <w:rsid w:val="605B3923"/>
    <w:rsid w:val="60720532"/>
    <w:rsid w:val="60966616"/>
    <w:rsid w:val="60D5A687"/>
    <w:rsid w:val="611B27FE"/>
    <w:rsid w:val="61720EED"/>
    <w:rsid w:val="61AB60F1"/>
    <w:rsid w:val="61FB6841"/>
    <w:rsid w:val="61FE4881"/>
    <w:rsid w:val="62206888"/>
    <w:rsid w:val="62404A8B"/>
    <w:rsid w:val="629DF6FE"/>
    <w:rsid w:val="62AF800D"/>
    <w:rsid w:val="62F7A72E"/>
    <w:rsid w:val="62F9D646"/>
    <w:rsid w:val="630625BE"/>
    <w:rsid w:val="632773E8"/>
    <w:rsid w:val="632F2672"/>
    <w:rsid w:val="63B73326"/>
    <w:rsid w:val="63BBD5D7"/>
    <w:rsid w:val="63D76508"/>
    <w:rsid w:val="63F22DE8"/>
    <w:rsid w:val="63F915E0"/>
    <w:rsid w:val="63FEACF1"/>
    <w:rsid w:val="63FFA2B3"/>
    <w:rsid w:val="645736BB"/>
    <w:rsid w:val="647CE9D9"/>
    <w:rsid w:val="64C05668"/>
    <w:rsid w:val="65521946"/>
    <w:rsid w:val="655C3B7E"/>
    <w:rsid w:val="65D2051C"/>
    <w:rsid w:val="65F363BA"/>
    <w:rsid w:val="660F3A96"/>
    <w:rsid w:val="66666FEE"/>
    <w:rsid w:val="667E09A0"/>
    <w:rsid w:val="66BF5573"/>
    <w:rsid w:val="66CD2E8B"/>
    <w:rsid w:val="66E9560E"/>
    <w:rsid w:val="66EE6E0E"/>
    <w:rsid w:val="66FC31D3"/>
    <w:rsid w:val="672C66A4"/>
    <w:rsid w:val="673E51F0"/>
    <w:rsid w:val="677C642D"/>
    <w:rsid w:val="678F0975"/>
    <w:rsid w:val="67A8780D"/>
    <w:rsid w:val="67AC3349"/>
    <w:rsid w:val="67BD3CE9"/>
    <w:rsid w:val="67EC95C8"/>
    <w:rsid w:val="67EFA3A4"/>
    <w:rsid w:val="67EFED11"/>
    <w:rsid w:val="67FF01C4"/>
    <w:rsid w:val="68330BEE"/>
    <w:rsid w:val="684667E0"/>
    <w:rsid w:val="68EB56D6"/>
    <w:rsid w:val="691B1ADA"/>
    <w:rsid w:val="69713F0D"/>
    <w:rsid w:val="69FD901B"/>
    <w:rsid w:val="6A72F89D"/>
    <w:rsid w:val="6A89513B"/>
    <w:rsid w:val="6B10211D"/>
    <w:rsid w:val="6B2655DF"/>
    <w:rsid w:val="6B3F4C06"/>
    <w:rsid w:val="6B563571"/>
    <w:rsid w:val="6B6A2ECA"/>
    <w:rsid w:val="6B8840A1"/>
    <w:rsid w:val="6B9FCDD1"/>
    <w:rsid w:val="6BC7674A"/>
    <w:rsid w:val="6BDD3CFC"/>
    <w:rsid w:val="6BFF1D00"/>
    <w:rsid w:val="6C571436"/>
    <w:rsid w:val="6C7F6D5C"/>
    <w:rsid w:val="6CAD8D46"/>
    <w:rsid w:val="6CF4CA52"/>
    <w:rsid w:val="6CF75045"/>
    <w:rsid w:val="6D17BFAF"/>
    <w:rsid w:val="6D353073"/>
    <w:rsid w:val="6D4C0319"/>
    <w:rsid w:val="6D9D4039"/>
    <w:rsid w:val="6DA393F7"/>
    <w:rsid w:val="6DCD61B3"/>
    <w:rsid w:val="6DE58E17"/>
    <w:rsid w:val="6DEA4600"/>
    <w:rsid w:val="6DFB5D0A"/>
    <w:rsid w:val="6E3EC558"/>
    <w:rsid w:val="6E3F60CC"/>
    <w:rsid w:val="6E49116B"/>
    <w:rsid w:val="6E4D3F8B"/>
    <w:rsid w:val="6E5B7EBB"/>
    <w:rsid w:val="6E6F44A9"/>
    <w:rsid w:val="6E77E039"/>
    <w:rsid w:val="6E7BDB1B"/>
    <w:rsid w:val="6E7E4272"/>
    <w:rsid w:val="6E7EC813"/>
    <w:rsid w:val="6EB95B12"/>
    <w:rsid w:val="6ED70AF4"/>
    <w:rsid w:val="6EEDB19E"/>
    <w:rsid w:val="6EF75E5D"/>
    <w:rsid w:val="6EFFFDC3"/>
    <w:rsid w:val="6F060E0B"/>
    <w:rsid w:val="6F3D4D6A"/>
    <w:rsid w:val="6F58DB5C"/>
    <w:rsid w:val="6F5FC1B7"/>
    <w:rsid w:val="6F6B3FE6"/>
    <w:rsid w:val="6F6F1111"/>
    <w:rsid w:val="6F71097A"/>
    <w:rsid w:val="6F9D573B"/>
    <w:rsid w:val="6FA7E6BD"/>
    <w:rsid w:val="6FB3B321"/>
    <w:rsid w:val="6FB4D574"/>
    <w:rsid w:val="6FBBEB70"/>
    <w:rsid w:val="6FCA5C72"/>
    <w:rsid w:val="6FCB251A"/>
    <w:rsid w:val="6FCFF146"/>
    <w:rsid w:val="6FDB4360"/>
    <w:rsid w:val="6FE60993"/>
    <w:rsid w:val="6FED6EE4"/>
    <w:rsid w:val="6FEDA758"/>
    <w:rsid w:val="6FEF84B8"/>
    <w:rsid w:val="6FEF91BE"/>
    <w:rsid w:val="6FEFAAB6"/>
    <w:rsid w:val="6FEFC367"/>
    <w:rsid w:val="6FF78D5A"/>
    <w:rsid w:val="6FFBBB8A"/>
    <w:rsid w:val="6FFBD58B"/>
    <w:rsid w:val="6FFD0F45"/>
    <w:rsid w:val="6FFE366C"/>
    <w:rsid w:val="6FFE55FF"/>
    <w:rsid w:val="6FFE7224"/>
    <w:rsid w:val="6FFF171D"/>
    <w:rsid w:val="6FFFE465"/>
    <w:rsid w:val="70131A31"/>
    <w:rsid w:val="706D00CE"/>
    <w:rsid w:val="71322033"/>
    <w:rsid w:val="71434477"/>
    <w:rsid w:val="717F1BC2"/>
    <w:rsid w:val="717FA9C4"/>
    <w:rsid w:val="71976FDB"/>
    <w:rsid w:val="71A87F57"/>
    <w:rsid w:val="71B84408"/>
    <w:rsid w:val="71BE5594"/>
    <w:rsid w:val="71F331AD"/>
    <w:rsid w:val="71FF5650"/>
    <w:rsid w:val="72606732"/>
    <w:rsid w:val="727D3C9A"/>
    <w:rsid w:val="72EFBF60"/>
    <w:rsid w:val="73577E87"/>
    <w:rsid w:val="7359804D"/>
    <w:rsid w:val="7367A722"/>
    <w:rsid w:val="73AB01D2"/>
    <w:rsid w:val="73DD68D6"/>
    <w:rsid w:val="73DF3616"/>
    <w:rsid w:val="73DF57E5"/>
    <w:rsid w:val="73E79CBE"/>
    <w:rsid w:val="73FF1A22"/>
    <w:rsid w:val="74444475"/>
    <w:rsid w:val="74821B80"/>
    <w:rsid w:val="748EB3A5"/>
    <w:rsid w:val="74A62B15"/>
    <w:rsid w:val="74C5CE21"/>
    <w:rsid w:val="74CF1C9F"/>
    <w:rsid w:val="74DDC61C"/>
    <w:rsid w:val="74E60341"/>
    <w:rsid w:val="74FFC127"/>
    <w:rsid w:val="75157C52"/>
    <w:rsid w:val="753C5177"/>
    <w:rsid w:val="756778D0"/>
    <w:rsid w:val="757506A0"/>
    <w:rsid w:val="7575A153"/>
    <w:rsid w:val="757E1685"/>
    <w:rsid w:val="75ADF6C9"/>
    <w:rsid w:val="75BC66C7"/>
    <w:rsid w:val="75BF4089"/>
    <w:rsid w:val="75BFD2FB"/>
    <w:rsid w:val="75BFE90C"/>
    <w:rsid w:val="75D36C81"/>
    <w:rsid w:val="75DBF85F"/>
    <w:rsid w:val="75E6285F"/>
    <w:rsid w:val="75E696EC"/>
    <w:rsid w:val="75EEEFBD"/>
    <w:rsid w:val="75F91A69"/>
    <w:rsid w:val="75FE0544"/>
    <w:rsid w:val="75FE7F0D"/>
    <w:rsid w:val="75FFB151"/>
    <w:rsid w:val="76BFC778"/>
    <w:rsid w:val="76CF121E"/>
    <w:rsid w:val="76DFE5D7"/>
    <w:rsid w:val="76ED1A1C"/>
    <w:rsid w:val="76EF3F2B"/>
    <w:rsid w:val="76FE0BEA"/>
    <w:rsid w:val="76FF8FB4"/>
    <w:rsid w:val="7716E078"/>
    <w:rsid w:val="77244EC8"/>
    <w:rsid w:val="774F6AD9"/>
    <w:rsid w:val="777E8531"/>
    <w:rsid w:val="777F2C81"/>
    <w:rsid w:val="779E0D6F"/>
    <w:rsid w:val="77AD6E78"/>
    <w:rsid w:val="77B3D65E"/>
    <w:rsid w:val="77B84BFD"/>
    <w:rsid w:val="77BE0021"/>
    <w:rsid w:val="77BF6A91"/>
    <w:rsid w:val="77CC60B0"/>
    <w:rsid w:val="77CF0AF1"/>
    <w:rsid w:val="77E754EB"/>
    <w:rsid w:val="77ED3CB0"/>
    <w:rsid w:val="77EE5F2F"/>
    <w:rsid w:val="77FAED91"/>
    <w:rsid w:val="77FB5E5B"/>
    <w:rsid w:val="77FD45B7"/>
    <w:rsid w:val="77FD7635"/>
    <w:rsid w:val="77FF0A74"/>
    <w:rsid w:val="77FF40E8"/>
    <w:rsid w:val="77FF5E05"/>
    <w:rsid w:val="77FFB7CF"/>
    <w:rsid w:val="77FFF00E"/>
    <w:rsid w:val="78491FE5"/>
    <w:rsid w:val="78D72DC6"/>
    <w:rsid w:val="78E026CC"/>
    <w:rsid w:val="78FD13B0"/>
    <w:rsid w:val="79181E66"/>
    <w:rsid w:val="791D77D5"/>
    <w:rsid w:val="79382508"/>
    <w:rsid w:val="797B47CA"/>
    <w:rsid w:val="797BFCE8"/>
    <w:rsid w:val="797D0F4B"/>
    <w:rsid w:val="799FA8FD"/>
    <w:rsid w:val="79B25E17"/>
    <w:rsid w:val="79DD4174"/>
    <w:rsid w:val="79EF768C"/>
    <w:rsid w:val="79EFD2E8"/>
    <w:rsid w:val="79F344DB"/>
    <w:rsid w:val="79FD5A90"/>
    <w:rsid w:val="79FF8407"/>
    <w:rsid w:val="7A3704A7"/>
    <w:rsid w:val="7A3B1B36"/>
    <w:rsid w:val="7A3BB586"/>
    <w:rsid w:val="7A773BBC"/>
    <w:rsid w:val="7A7FB574"/>
    <w:rsid w:val="7AAC917E"/>
    <w:rsid w:val="7AD29BAC"/>
    <w:rsid w:val="7AEFF1DE"/>
    <w:rsid w:val="7AF306F7"/>
    <w:rsid w:val="7AF66F64"/>
    <w:rsid w:val="7AF78DDA"/>
    <w:rsid w:val="7AF7945A"/>
    <w:rsid w:val="7AFC4964"/>
    <w:rsid w:val="7AFF552D"/>
    <w:rsid w:val="7AFFEBB3"/>
    <w:rsid w:val="7B3ED0BE"/>
    <w:rsid w:val="7B3FE99E"/>
    <w:rsid w:val="7B4B1524"/>
    <w:rsid w:val="7B6F1B7B"/>
    <w:rsid w:val="7B803C35"/>
    <w:rsid w:val="7B8C45F4"/>
    <w:rsid w:val="7BA708D6"/>
    <w:rsid w:val="7BAD4322"/>
    <w:rsid w:val="7BAF02DF"/>
    <w:rsid w:val="7BBAA4D6"/>
    <w:rsid w:val="7BBEAF0A"/>
    <w:rsid w:val="7BBF8766"/>
    <w:rsid w:val="7BBF8C83"/>
    <w:rsid w:val="7BDA9719"/>
    <w:rsid w:val="7BDC8FF1"/>
    <w:rsid w:val="7BE4F09A"/>
    <w:rsid w:val="7BEBBBCF"/>
    <w:rsid w:val="7BEEDC8C"/>
    <w:rsid w:val="7BF1F472"/>
    <w:rsid w:val="7BF5E640"/>
    <w:rsid w:val="7BF7B04F"/>
    <w:rsid w:val="7BFA6E4D"/>
    <w:rsid w:val="7BFAB3D7"/>
    <w:rsid w:val="7BFBF625"/>
    <w:rsid w:val="7BFF0DED"/>
    <w:rsid w:val="7C6CB9C9"/>
    <w:rsid w:val="7C6ECC90"/>
    <w:rsid w:val="7C6FFBB8"/>
    <w:rsid w:val="7C79B4AD"/>
    <w:rsid w:val="7C7B2FEC"/>
    <w:rsid w:val="7C82CF07"/>
    <w:rsid w:val="7CAA2D29"/>
    <w:rsid w:val="7CB3913C"/>
    <w:rsid w:val="7CEC1423"/>
    <w:rsid w:val="7CEF1641"/>
    <w:rsid w:val="7D034BDB"/>
    <w:rsid w:val="7D1B2A1F"/>
    <w:rsid w:val="7D27AC70"/>
    <w:rsid w:val="7D3DC33E"/>
    <w:rsid w:val="7D567401"/>
    <w:rsid w:val="7D5A29D1"/>
    <w:rsid w:val="7D5F4FCE"/>
    <w:rsid w:val="7D6EEAB7"/>
    <w:rsid w:val="7D7B5F36"/>
    <w:rsid w:val="7D8775BA"/>
    <w:rsid w:val="7D8E706B"/>
    <w:rsid w:val="7DB77BEB"/>
    <w:rsid w:val="7DB788FA"/>
    <w:rsid w:val="7DCF9D98"/>
    <w:rsid w:val="7DD3185A"/>
    <w:rsid w:val="7DD6AF80"/>
    <w:rsid w:val="7DD85A33"/>
    <w:rsid w:val="7DDF297B"/>
    <w:rsid w:val="7DDF3E1B"/>
    <w:rsid w:val="7DE49226"/>
    <w:rsid w:val="7DEE33A7"/>
    <w:rsid w:val="7DF523A2"/>
    <w:rsid w:val="7DF9DBB9"/>
    <w:rsid w:val="7DFD1C6A"/>
    <w:rsid w:val="7DFD9774"/>
    <w:rsid w:val="7DFDD9D3"/>
    <w:rsid w:val="7DFF1762"/>
    <w:rsid w:val="7DFF29F5"/>
    <w:rsid w:val="7DFF388F"/>
    <w:rsid w:val="7DFF5A34"/>
    <w:rsid w:val="7DFF9DA3"/>
    <w:rsid w:val="7E186F4B"/>
    <w:rsid w:val="7E3E2381"/>
    <w:rsid w:val="7E400488"/>
    <w:rsid w:val="7E5E4C9B"/>
    <w:rsid w:val="7E67EDFD"/>
    <w:rsid w:val="7E799CC8"/>
    <w:rsid w:val="7E7DE08B"/>
    <w:rsid w:val="7E96A1A6"/>
    <w:rsid w:val="7EA9EF6C"/>
    <w:rsid w:val="7EAC8769"/>
    <w:rsid w:val="7EBD13A8"/>
    <w:rsid w:val="7EBD7135"/>
    <w:rsid w:val="7EC7CD9E"/>
    <w:rsid w:val="7ED7CC23"/>
    <w:rsid w:val="7EDE0694"/>
    <w:rsid w:val="7EE70BB8"/>
    <w:rsid w:val="7EEE7C27"/>
    <w:rsid w:val="7EF114C9"/>
    <w:rsid w:val="7EF71F28"/>
    <w:rsid w:val="7EFE1BBE"/>
    <w:rsid w:val="7EFF6535"/>
    <w:rsid w:val="7EFFBDAE"/>
    <w:rsid w:val="7F1B620C"/>
    <w:rsid w:val="7F2E3098"/>
    <w:rsid w:val="7F3DA612"/>
    <w:rsid w:val="7F50254A"/>
    <w:rsid w:val="7F528000"/>
    <w:rsid w:val="7F53CDA9"/>
    <w:rsid w:val="7F5BFCD3"/>
    <w:rsid w:val="7F5D9816"/>
    <w:rsid w:val="7F5E81BF"/>
    <w:rsid w:val="7F5F07EF"/>
    <w:rsid w:val="7F5F7175"/>
    <w:rsid w:val="7F636467"/>
    <w:rsid w:val="7F6A6D34"/>
    <w:rsid w:val="7F6DA4AE"/>
    <w:rsid w:val="7F772590"/>
    <w:rsid w:val="7F7AA0C1"/>
    <w:rsid w:val="7F7BC316"/>
    <w:rsid w:val="7F7EE419"/>
    <w:rsid w:val="7F7F095C"/>
    <w:rsid w:val="7F7F7E24"/>
    <w:rsid w:val="7F7FACB4"/>
    <w:rsid w:val="7F7FD2FE"/>
    <w:rsid w:val="7F7FFFF4"/>
    <w:rsid w:val="7F990DB6"/>
    <w:rsid w:val="7F9F8158"/>
    <w:rsid w:val="7FAF9220"/>
    <w:rsid w:val="7FB725CF"/>
    <w:rsid w:val="7FB75508"/>
    <w:rsid w:val="7FBC12FC"/>
    <w:rsid w:val="7FBD36F4"/>
    <w:rsid w:val="7FBF2822"/>
    <w:rsid w:val="7FBF5964"/>
    <w:rsid w:val="7FBF6EAD"/>
    <w:rsid w:val="7FBF9EC5"/>
    <w:rsid w:val="7FBFBD7D"/>
    <w:rsid w:val="7FC63E1B"/>
    <w:rsid w:val="7FC95C68"/>
    <w:rsid w:val="7FCDD5F2"/>
    <w:rsid w:val="7FCEC416"/>
    <w:rsid w:val="7FD10FC1"/>
    <w:rsid w:val="7FD3BEBE"/>
    <w:rsid w:val="7FDDD67E"/>
    <w:rsid w:val="7FDEB1E7"/>
    <w:rsid w:val="7FDEC47F"/>
    <w:rsid w:val="7FDF0457"/>
    <w:rsid w:val="7FDF7976"/>
    <w:rsid w:val="7FDF965F"/>
    <w:rsid w:val="7FDFC063"/>
    <w:rsid w:val="7FDFDEE0"/>
    <w:rsid w:val="7FE338EC"/>
    <w:rsid w:val="7FE76189"/>
    <w:rsid w:val="7FEA0819"/>
    <w:rsid w:val="7FEC67CA"/>
    <w:rsid w:val="7FED43BD"/>
    <w:rsid w:val="7FEEA1D0"/>
    <w:rsid w:val="7FEF5D99"/>
    <w:rsid w:val="7FEF6640"/>
    <w:rsid w:val="7FEF8B7A"/>
    <w:rsid w:val="7FF3FA1F"/>
    <w:rsid w:val="7FF5207A"/>
    <w:rsid w:val="7FF52886"/>
    <w:rsid w:val="7FF63BEC"/>
    <w:rsid w:val="7FF68FF2"/>
    <w:rsid w:val="7FF71D10"/>
    <w:rsid w:val="7FF78BE3"/>
    <w:rsid w:val="7FF7C0EB"/>
    <w:rsid w:val="7FF7D6A6"/>
    <w:rsid w:val="7FF7DCB3"/>
    <w:rsid w:val="7FF7E5E5"/>
    <w:rsid w:val="7FF906AC"/>
    <w:rsid w:val="7FF93A69"/>
    <w:rsid w:val="7FFAD83F"/>
    <w:rsid w:val="7FFBD6DC"/>
    <w:rsid w:val="7FFBE30E"/>
    <w:rsid w:val="7FFBFE4E"/>
    <w:rsid w:val="7FFD15BD"/>
    <w:rsid w:val="7FFD393E"/>
    <w:rsid w:val="7FFDD7FA"/>
    <w:rsid w:val="7FFE60E7"/>
    <w:rsid w:val="7FFE9156"/>
    <w:rsid w:val="7FFEAC0E"/>
    <w:rsid w:val="7FFEDC8D"/>
    <w:rsid w:val="7FFF0100"/>
    <w:rsid w:val="7FFF5587"/>
    <w:rsid w:val="7FFF7203"/>
    <w:rsid w:val="7FFF8510"/>
    <w:rsid w:val="7FFF8C58"/>
    <w:rsid w:val="7FFFAFA3"/>
    <w:rsid w:val="7FFFB93D"/>
    <w:rsid w:val="7FFFC211"/>
    <w:rsid w:val="8175321B"/>
    <w:rsid w:val="83CBCF57"/>
    <w:rsid w:val="83FDA78F"/>
    <w:rsid w:val="87F608D0"/>
    <w:rsid w:val="87FFD5AA"/>
    <w:rsid w:val="895F2B25"/>
    <w:rsid w:val="89FF76DA"/>
    <w:rsid w:val="8AB74873"/>
    <w:rsid w:val="8BDF1DFE"/>
    <w:rsid w:val="8D1E7A5D"/>
    <w:rsid w:val="8DDB8E13"/>
    <w:rsid w:val="8F7D443E"/>
    <w:rsid w:val="8FEF6526"/>
    <w:rsid w:val="91DD1C48"/>
    <w:rsid w:val="93986886"/>
    <w:rsid w:val="95FC55E5"/>
    <w:rsid w:val="977DF4B7"/>
    <w:rsid w:val="97E77529"/>
    <w:rsid w:val="97F3706E"/>
    <w:rsid w:val="97FF18B9"/>
    <w:rsid w:val="97FF7C8F"/>
    <w:rsid w:val="99733AC2"/>
    <w:rsid w:val="9ABC09CD"/>
    <w:rsid w:val="9AFFFE66"/>
    <w:rsid w:val="9BB7FB8E"/>
    <w:rsid w:val="9BD78979"/>
    <w:rsid w:val="9BDF06EA"/>
    <w:rsid w:val="9BEDF55D"/>
    <w:rsid w:val="9BF82795"/>
    <w:rsid w:val="9BFC1D16"/>
    <w:rsid w:val="9BFE4B6A"/>
    <w:rsid w:val="9BFF244D"/>
    <w:rsid w:val="9BFF2495"/>
    <w:rsid w:val="9C4D3D37"/>
    <w:rsid w:val="9D66F919"/>
    <w:rsid w:val="9ED43257"/>
    <w:rsid w:val="9EFF023C"/>
    <w:rsid w:val="9F2F7190"/>
    <w:rsid w:val="9F6E7426"/>
    <w:rsid w:val="9F8F70CB"/>
    <w:rsid w:val="9FBD0151"/>
    <w:rsid w:val="9FEBFE3D"/>
    <w:rsid w:val="9FEFA893"/>
    <w:rsid w:val="9FF30799"/>
    <w:rsid w:val="9FFA93B1"/>
    <w:rsid w:val="9FFDAA2A"/>
    <w:rsid w:val="9FFFB8CB"/>
    <w:rsid w:val="9FFFDBD3"/>
    <w:rsid w:val="A2EF5683"/>
    <w:rsid w:val="A7DDADCA"/>
    <w:rsid w:val="A7F3F5A5"/>
    <w:rsid w:val="A9FE8B3F"/>
    <w:rsid w:val="AAFE3616"/>
    <w:rsid w:val="AB258F0D"/>
    <w:rsid w:val="ABCE04D3"/>
    <w:rsid w:val="ABD07459"/>
    <w:rsid w:val="ABEB9357"/>
    <w:rsid w:val="ABEFDD77"/>
    <w:rsid w:val="ABFEF04A"/>
    <w:rsid w:val="ADD7C29E"/>
    <w:rsid w:val="ADFD2F3C"/>
    <w:rsid w:val="AEFF1892"/>
    <w:rsid w:val="AF5B7A6D"/>
    <w:rsid w:val="AF6772CF"/>
    <w:rsid w:val="AF6F22F9"/>
    <w:rsid w:val="AF74B5DF"/>
    <w:rsid w:val="AF7A5093"/>
    <w:rsid w:val="AF9CE5BD"/>
    <w:rsid w:val="AFD70C86"/>
    <w:rsid w:val="AFE7D442"/>
    <w:rsid w:val="B1FE9BBC"/>
    <w:rsid w:val="B1FFEAA1"/>
    <w:rsid w:val="B3FF0B23"/>
    <w:rsid w:val="B476693B"/>
    <w:rsid w:val="B4BF1584"/>
    <w:rsid w:val="B5DB0F9A"/>
    <w:rsid w:val="B5DF2A97"/>
    <w:rsid w:val="B657206F"/>
    <w:rsid w:val="B69B341B"/>
    <w:rsid w:val="B6AA180F"/>
    <w:rsid w:val="B6FEEE97"/>
    <w:rsid w:val="B6FF3C6B"/>
    <w:rsid w:val="B723CDBB"/>
    <w:rsid w:val="B76F2423"/>
    <w:rsid w:val="B77FF6E3"/>
    <w:rsid w:val="B7A859D2"/>
    <w:rsid w:val="B7E7BB4E"/>
    <w:rsid w:val="B7F730F9"/>
    <w:rsid w:val="B7FFC4EC"/>
    <w:rsid w:val="B8FFB98C"/>
    <w:rsid w:val="B9DA3EBA"/>
    <w:rsid w:val="B9F77C6E"/>
    <w:rsid w:val="BA5EA923"/>
    <w:rsid w:val="BA7D979A"/>
    <w:rsid w:val="BB5F54E7"/>
    <w:rsid w:val="BB7B9BA4"/>
    <w:rsid w:val="BB7F2C1A"/>
    <w:rsid w:val="BB7F3910"/>
    <w:rsid w:val="BB7FA497"/>
    <w:rsid w:val="BBA39978"/>
    <w:rsid w:val="BBC73424"/>
    <w:rsid w:val="BBEC48C1"/>
    <w:rsid w:val="BBED22EF"/>
    <w:rsid w:val="BBEFAD37"/>
    <w:rsid w:val="BBF5142A"/>
    <w:rsid w:val="BBFD7A84"/>
    <w:rsid w:val="BC3D545E"/>
    <w:rsid w:val="BCE6243D"/>
    <w:rsid w:val="BCFFCCE3"/>
    <w:rsid w:val="BCFFFEAD"/>
    <w:rsid w:val="BD67D4ED"/>
    <w:rsid w:val="BD7FE161"/>
    <w:rsid w:val="BDB7451A"/>
    <w:rsid w:val="BDCF553E"/>
    <w:rsid w:val="BDD3C3D6"/>
    <w:rsid w:val="BDE59F51"/>
    <w:rsid w:val="BDE71818"/>
    <w:rsid w:val="BDE76327"/>
    <w:rsid w:val="BDFDA12F"/>
    <w:rsid w:val="BDFF8B63"/>
    <w:rsid w:val="BDFFBE6E"/>
    <w:rsid w:val="BE68D6C2"/>
    <w:rsid w:val="BEBFDFB8"/>
    <w:rsid w:val="BEC68AF6"/>
    <w:rsid w:val="BECABDE2"/>
    <w:rsid w:val="BECED72C"/>
    <w:rsid w:val="BEDB4B6E"/>
    <w:rsid w:val="BEDE4837"/>
    <w:rsid w:val="BEDF086D"/>
    <w:rsid w:val="BEED385D"/>
    <w:rsid w:val="BEEF3D24"/>
    <w:rsid w:val="BF2F14F4"/>
    <w:rsid w:val="BF3E3CAE"/>
    <w:rsid w:val="BF4DFF6E"/>
    <w:rsid w:val="BF4E4682"/>
    <w:rsid w:val="BF6F479C"/>
    <w:rsid w:val="BF702A94"/>
    <w:rsid w:val="BF737213"/>
    <w:rsid w:val="BF7C8375"/>
    <w:rsid w:val="BF7ED276"/>
    <w:rsid w:val="BF966141"/>
    <w:rsid w:val="BF9EA2AA"/>
    <w:rsid w:val="BFA7637E"/>
    <w:rsid w:val="BFBE15C1"/>
    <w:rsid w:val="BFBED261"/>
    <w:rsid w:val="BFBF1323"/>
    <w:rsid w:val="BFDB0ED9"/>
    <w:rsid w:val="BFDE3FA4"/>
    <w:rsid w:val="BFDE4CDC"/>
    <w:rsid w:val="BFE82066"/>
    <w:rsid w:val="BFEF3C28"/>
    <w:rsid w:val="BFEFF845"/>
    <w:rsid w:val="BFF3C248"/>
    <w:rsid w:val="BFF69168"/>
    <w:rsid w:val="BFF7AA28"/>
    <w:rsid w:val="BFF7AE58"/>
    <w:rsid w:val="BFFA108F"/>
    <w:rsid w:val="BFFCFFC0"/>
    <w:rsid w:val="BFFD4CFB"/>
    <w:rsid w:val="BFFEC92F"/>
    <w:rsid w:val="BFFF35B8"/>
    <w:rsid w:val="BFFF9602"/>
    <w:rsid w:val="C1B6DCA0"/>
    <w:rsid w:val="C37933AC"/>
    <w:rsid w:val="C4CFAD5A"/>
    <w:rsid w:val="C59F27A8"/>
    <w:rsid w:val="C5F182D7"/>
    <w:rsid w:val="C6FDAE32"/>
    <w:rsid w:val="C7DF3999"/>
    <w:rsid w:val="CBAFBEA2"/>
    <w:rsid w:val="CBBF3AFD"/>
    <w:rsid w:val="CBED7131"/>
    <w:rsid w:val="CC7795A9"/>
    <w:rsid w:val="CDEEBF91"/>
    <w:rsid w:val="CDFF34C8"/>
    <w:rsid w:val="CE4EC727"/>
    <w:rsid w:val="CE5F152A"/>
    <w:rsid w:val="CED7DC09"/>
    <w:rsid w:val="CF6BF5E7"/>
    <w:rsid w:val="CF7B9236"/>
    <w:rsid w:val="CFB7693E"/>
    <w:rsid w:val="CFDF08DB"/>
    <w:rsid w:val="CFF1CDE4"/>
    <w:rsid w:val="CFF39C38"/>
    <w:rsid w:val="CFF67349"/>
    <w:rsid w:val="CFFDB1E2"/>
    <w:rsid w:val="D07D7E46"/>
    <w:rsid w:val="D1FDF5A2"/>
    <w:rsid w:val="D2FBA869"/>
    <w:rsid w:val="D37F6ACD"/>
    <w:rsid w:val="D3BCB1E2"/>
    <w:rsid w:val="D3DF4DD0"/>
    <w:rsid w:val="D3F49BAF"/>
    <w:rsid w:val="D4FFEB6D"/>
    <w:rsid w:val="D57F9ABE"/>
    <w:rsid w:val="D5B3ADBA"/>
    <w:rsid w:val="D5CEEAF8"/>
    <w:rsid w:val="D5D701A0"/>
    <w:rsid w:val="D67F7182"/>
    <w:rsid w:val="D6DFCAFC"/>
    <w:rsid w:val="D6EF30DD"/>
    <w:rsid w:val="D6FB50E0"/>
    <w:rsid w:val="D703D0D8"/>
    <w:rsid w:val="D731E0BF"/>
    <w:rsid w:val="D73AF8C1"/>
    <w:rsid w:val="D796B7C5"/>
    <w:rsid w:val="D7AE9DD1"/>
    <w:rsid w:val="D7B50108"/>
    <w:rsid w:val="D7BBFA90"/>
    <w:rsid w:val="D7EB0D80"/>
    <w:rsid w:val="D7EDB442"/>
    <w:rsid w:val="D7FF3214"/>
    <w:rsid w:val="D8BEEAA4"/>
    <w:rsid w:val="D90C9556"/>
    <w:rsid w:val="D9BB9C2B"/>
    <w:rsid w:val="D9BE87D7"/>
    <w:rsid w:val="D9D779BF"/>
    <w:rsid w:val="D9DB0162"/>
    <w:rsid w:val="D9FDF811"/>
    <w:rsid w:val="DA3F262B"/>
    <w:rsid w:val="DA5624A0"/>
    <w:rsid w:val="DAAFBFA4"/>
    <w:rsid w:val="DABFDD3C"/>
    <w:rsid w:val="DAE94903"/>
    <w:rsid w:val="DAFF3228"/>
    <w:rsid w:val="DB1FA5A7"/>
    <w:rsid w:val="DB3792E0"/>
    <w:rsid w:val="DB3B423F"/>
    <w:rsid w:val="DB5FD66F"/>
    <w:rsid w:val="DB7F36E0"/>
    <w:rsid w:val="DBA5A249"/>
    <w:rsid w:val="DBE616A6"/>
    <w:rsid w:val="DBF60295"/>
    <w:rsid w:val="DBFDE5BE"/>
    <w:rsid w:val="DBFFF809"/>
    <w:rsid w:val="DC1B7BCE"/>
    <w:rsid w:val="DC7EEF38"/>
    <w:rsid w:val="DD3FA8AA"/>
    <w:rsid w:val="DD4F0188"/>
    <w:rsid w:val="DD7F18BC"/>
    <w:rsid w:val="DDBF022C"/>
    <w:rsid w:val="DDF6A789"/>
    <w:rsid w:val="DDFAB085"/>
    <w:rsid w:val="DDFF0A82"/>
    <w:rsid w:val="DDFF0B5D"/>
    <w:rsid w:val="DDFFCDA0"/>
    <w:rsid w:val="DE3D911B"/>
    <w:rsid w:val="DE6C0C8B"/>
    <w:rsid w:val="DE6F7211"/>
    <w:rsid w:val="DEBAA513"/>
    <w:rsid w:val="DEBD7281"/>
    <w:rsid w:val="DEDFB23D"/>
    <w:rsid w:val="DEEFF3C9"/>
    <w:rsid w:val="DEF28CD5"/>
    <w:rsid w:val="DEF6733E"/>
    <w:rsid w:val="DEFEEFD8"/>
    <w:rsid w:val="DEFF082B"/>
    <w:rsid w:val="DEFF4A4F"/>
    <w:rsid w:val="DF0DEE40"/>
    <w:rsid w:val="DF355116"/>
    <w:rsid w:val="DF5F93EC"/>
    <w:rsid w:val="DF7DEA0A"/>
    <w:rsid w:val="DF7FE38B"/>
    <w:rsid w:val="DF867849"/>
    <w:rsid w:val="DFAAE41D"/>
    <w:rsid w:val="DFBFA7B8"/>
    <w:rsid w:val="DFBFC7B8"/>
    <w:rsid w:val="DFCA51EB"/>
    <w:rsid w:val="DFDDF455"/>
    <w:rsid w:val="DFDE4BF9"/>
    <w:rsid w:val="DFDF16A9"/>
    <w:rsid w:val="DFDFFB53"/>
    <w:rsid w:val="DFE3E110"/>
    <w:rsid w:val="DFE6A0B4"/>
    <w:rsid w:val="DFE6EBA9"/>
    <w:rsid w:val="DFF12ED7"/>
    <w:rsid w:val="DFF55FDB"/>
    <w:rsid w:val="DFF70BA1"/>
    <w:rsid w:val="DFF7C690"/>
    <w:rsid w:val="DFFBA454"/>
    <w:rsid w:val="DFFBDA15"/>
    <w:rsid w:val="DFFD3816"/>
    <w:rsid w:val="DFFE5938"/>
    <w:rsid w:val="DFFEBDA9"/>
    <w:rsid w:val="DFFF34A9"/>
    <w:rsid w:val="DFFFAB33"/>
    <w:rsid w:val="DFFFC085"/>
    <w:rsid w:val="E0F310C7"/>
    <w:rsid w:val="E18F2411"/>
    <w:rsid w:val="E1EFA026"/>
    <w:rsid w:val="E3EF04FD"/>
    <w:rsid w:val="E3EFD099"/>
    <w:rsid w:val="E3FD2CFF"/>
    <w:rsid w:val="E51534EE"/>
    <w:rsid w:val="E5D7556B"/>
    <w:rsid w:val="E5E9D448"/>
    <w:rsid w:val="E5F08504"/>
    <w:rsid w:val="E5FD0995"/>
    <w:rsid w:val="E67BA257"/>
    <w:rsid w:val="E67FC9A3"/>
    <w:rsid w:val="E79F8F0E"/>
    <w:rsid w:val="E7BD0B31"/>
    <w:rsid w:val="E7BEC5BB"/>
    <w:rsid w:val="E7BF2D3D"/>
    <w:rsid w:val="E7F3B235"/>
    <w:rsid w:val="E7F7F312"/>
    <w:rsid w:val="E7FB3C65"/>
    <w:rsid w:val="E8E4DBB9"/>
    <w:rsid w:val="E9EF919C"/>
    <w:rsid w:val="E9FB661E"/>
    <w:rsid w:val="EA9CDDD7"/>
    <w:rsid w:val="EAEFD197"/>
    <w:rsid w:val="EAFB3012"/>
    <w:rsid w:val="EAFEA5EE"/>
    <w:rsid w:val="EB1BFC6C"/>
    <w:rsid w:val="EB3F6CBC"/>
    <w:rsid w:val="EB6F3F0A"/>
    <w:rsid w:val="EB7C2B9C"/>
    <w:rsid w:val="EB7F0611"/>
    <w:rsid w:val="EB7F8EF0"/>
    <w:rsid w:val="EB957461"/>
    <w:rsid w:val="EBAB1505"/>
    <w:rsid w:val="EBAFEE96"/>
    <w:rsid w:val="EBBE6A93"/>
    <w:rsid w:val="EBD77F4D"/>
    <w:rsid w:val="EBD7FD6B"/>
    <w:rsid w:val="EBEEB24E"/>
    <w:rsid w:val="EBEFBC7D"/>
    <w:rsid w:val="EC7953BC"/>
    <w:rsid w:val="EC7D323E"/>
    <w:rsid w:val="ECAF2D3F"/>
    <w:rsid w:val="ECFF4056"/>
    <w:rsid w:val="ECFFF58D"/>
    <w:rsid w:val="ED2FE7EC"/>
    <w:rsid w:val="ED6E5E3A"/>
    <w:rsid w:val="ED755102"/>
    <w:rsid w:val="ED7B6530"/>
    <w:rsid w:val="EDBE40A0"/>
    <w:rsid w:val="EDD5B5B9"/>
    <w:rsid w:val="EDDF18F4"/>
    <w:rsid w:val="EDEF3631"/>
    <w:rsid w:val="EDFE423F"/>
    <w:rsid w:val="EDFFDE27"/>
    <w:rsid w:val="EE4FE9E7"/>
    <w:rsid w:val="EE5391DF"/>
    <w:rsid w:val="EE7BF0FA"/>
    <w:rsid w:val="EE7EDF02"/>
    <w:rsid w:val="EEA84102"/>
    <w:rsid w:val="EEBFDCF7"/>
    <w:rsid w:val="EECFEC1E"/>
    <w:rsid w:val="EEDFDF9A"/>
    <w:rsid w:val="EEF15CB1"/>
    <w:rsid w:val="EEFBCA61"/>
    <w:rsid w:val="EF2B56A0"/>
    <w:rsid w:val="EF2B92DF"/>
    <w:rsid w:val="EF5BEFBB"/>
    <w:rsid w:val="EF7D2C3B"/>
    <w:rsid w:val="EF7E5ECE"/>
    <w:rsid w:val="EF9A3463"/>
    <w:rsid w:val="EFAE187F"/>
    <w:rsid w:val="EFBF5D2D"/>
    <w:rsid w:val="EFC3DF7F"/>
    <w:rsid w:val="EFC7F41F"/>
    <w:rsid w:val="EFD78200"/>
    <w:rsid w:val="EFDD9954"/>
    <w:rsid w:val="EFDE40D5"/>
    <w:rsid w:val="EFDFF714"/>
    <w:rsid w:val="EFEBFAD0"/>
    <w:rsid w:val="EFF1838E"/>
    <w:rsid w:val="EFF577AC"/>
    <w:rsid w:val="EFF73D6A"/>
    <w:rsid w:val="EFFB2413"/>
    <w:rsid w:val="EFFB7541"/>
    <w:rsid w:val="EFFE66DF"/>
    <w:rsid w:val="EFFEB6CB"/>
    <w:rsid w:val="EFFEC8F8"/>
    <w:rsid w:val="EFFF3D03"/>
    <w:rsid w:val="EFFF842A"/>
    <w:rsid w:val="F0508213"/>
    <w:rsid w:val="F16ED2DC"/>
    <w:rsid w:val="F1768C81"/>
    <w:rsid w:val="F1ABA12A"/>
    <w:rsid w:val="F1FF25C4"/>
    <w:rsid w:val="F1FF825F"/>
    <w:rsid w:val="F2B78582"/>
    <w:rsid w:val="F33D4EB2"/>
    <w:rsid w:val="F3ECA485"/>
    <w:rsid w:val="F3EEC572"/>
    <w:rsid w:val="F3FC8231"/>
    <w:rsid w:val="F3FF51CF"/>
    <w:rsid w:val="F462FD26"/>
    <w:rsid w:val="F4AE58F7"/>
    <w:rsid w:val="F4DA9D69"/>
    <w:rsid w:val="F57FD565"/>
    <w:rsid w:val="F587D5C2"/>
    <w:rsid w:val="F5D7E22F"/>
    <w:rsid w:val="F5DE6156"/>
    <w:rsid w:val="F5DF01C0"/>
    <w:rsid w:val="F5F516FE"/>
    <w:rsid w:val="F5F752C3"/>
    <w:rsid w:val="F5FBE4DB"/>
    <w:rsid w:val="F63701F5"/>
    <w:rsid w:val="F65F1B77"/>
    <w:rsid w:val="F67F751E"/>
    <w:rsid w:val="F67F7C78"/>
    <w:rsid w:val="F6972579"/>
    <w:rsid w:val="F69F4516"/>
    <w:rsid w:val="F6B72F80"/>
    <w:rsid w:val="F6B74BD4"/>
    <w:rsid w:val="F6BE4342"/>
    <w:rsid w:val="F6BFC6F6"/>
    <w:rsid w:val="F6C7D2D3"/>
    <w:rsid w:val="F6DED7BF"/>
    <w:rsid w:val="F6E40933"/>
    <w:rsid w:val="F6EB12D8"/>
    <w:rsid w:val="F6FA3D05"/>
    <w:rsid w:val="F7377875"/>
    <w:rsid w:val="F73F9673"/>
    <w:rsid w:val="F756E74E"/>
    <w:rsid w:val="F75CAE2C"/>
    <w:rsid w:val="F76687B0"/>
    <w:rsid w:val="F77F1FF9"/>
    <w:rsid w:val="F7841A52"/>
    <w:rsid w:val="F79784C6"/>
    <w:rsid w:val="F7AB128A"/>
    <w:rsid w:val="F7B3B99E"/>
    <w:rsid w:val="F7B9DB75"/>
    <w:rsid w:val="F7BA3AC2"/>
    <w:rsid w:val="F7BD26BF"/>
    <w:rsid w:val="F7BEFC5E"/>
    <w:rsid w:val="F7BFC3B1"/>
    <w:rsid w:val="F7BFDCFA"/>
    <w:rsid w:val="F7CD7D68"/>
    <w:rsid w:val="F7CF092B"/>
    <w:rsid w:val="F7D9FE36"/>
    <w:rsid w:val="F7D9FFD0"/>
    <w:rsid w:val="F7DF7EDE"/>
    <w:rsid w:val="F7DFDF5C"/>
    <w:rsid w:val="F7E71F1A"/>
    <w:rsid w:val="F7E7A96F"/>
    <w:rsid w:val="F7EBEA98"/>
    <w:rsid w:val="F7EF805B"/>
    <w:rsid w:val="F7F0185A"/>
    <w:rsid w:val="F7F314EE"/>
    <w:rsid w:val="F7F3C423"/>
    <w:rsid w:val="F7F735B8"/>
    <w:rsid w:val="F7FB3F07"/>
    <w:rsid w:val="F7FB79F2"/>
    <w:rsid w:val="F7FD5DFC"/>
    <w:rsid w:val="F7FD8210"/>
    <w:rsid w:val="F7FD9282"/>
    <w:rsid w:val="F7FF0F64"/>
    <w:rsid w:val="F84FA482"/>
    <w:rsid w:val="F8AFEC37"/>
    <w:rsid w:val="F8EF35A1"/>
    <w:rsid w:val="F90ABF15"/>
    <w:rsid w:val="F91F17AD"/>
    <w:rsid w:val="F95F809C"/>
    <w:rsid w:val="F97FC781"/>
    <w:rsid w:val="F997D85F"/>
    <w:rsid w:val="F9B7AB7F"/>
    <w:rsid w:val="F9C4A7E3"/>
    <w:rsid w:val="F9D5AC5E"/>
    <w:rsid w:val="F9FF16C1"/>
    <w:rsid w:val="F9FF9929"/>
    <w:rsid w:val="FA2D10F2"/>
    <w:rsid w:val="FA3EAA26"/>
    <w:rsid w:val="FA67634D"/>
    <w:rsid w:val="FACCD5E8"/>
    <w:rsid w:val="FAEB5D9C"/>
    <w:rsid w:val="FAEF883B"/>
    <w:rsid w:val="FAFFAC50"/>
    <w:rsid w:val="FB3E7075"/>
    <w:rsid w:val="FB43CF82"/>
    <w:rsid w:val="FB5D3692"/>
    <w:rsid w:val="FB5D77F8"/>
    <w:rsid w:val="FB5F82E6"/>
    <w:rsid w:val="FB777623"/>
    <w:rsid w:val="FB7BD7DD"/>
    <w:rsid w:val="FB7F00CF"/>
    <w:rsid w:val="FB7F262B"/>
    <w:rsid w:val="FB7F37BD"/>
    <w:rsid w:val="FB975117"/>
    <w:rsid w:val="FB97F441"/>
    <w:rsid w:val="FB9F2614"/>
    <w:rsid w:val="FBB3F2FE"/>
    <w:rsid w:val="FBBAEBE5"/>
    <w:rsid w:val="FBBC4D7A"/>
    <w:rsid w:val="FBBFA091"/>
    <w:rsid w:val="FBCEA747"/>
    <w:rsid w:val="FBDA813B"/>
    <w:rsid w:val="FBDBF92D"/>
    <w:rsid w:val="FBEF52FD"/>
    <w:rsid w:val="FBF2A39F"/>
    <w:rsid w:val="FBF592B8"/>
    <w:rsid w:val="FBF710FD"/>
    <w:rsid w:val="FBF9BFD0"/>
    <w:rsid w:val="FBFAC24C"/>
    <w:rsid w:val="FBFD96C0"/>
    <w:rsid w:val="FBFDBAA7"/>
    <w:rsid w:val="FBFDF9DC"/>
    <w:rsid w:val="FBFF9816"/>
    <w:rsid w:val="FBFFF667"/>
    <w:rsid w:val="FC7D887A"/>
    <w:rsid w:val="FC9E2C77"/>
    <w:rsid w:val="FCBCA791"/>
    <w:rsid w:val="FCBF8605"/>
    <w:rsid w:val="FCBFDEB7"/>
    <w:rsid w:val="FCBFE9B9"/>
    <w:rsid w:val="FCCFEB92"/>
    <w:rsid w:val="FCE34F87"/>
    <w:rsid w:val="FCE7AB5C"/>
    <w:rsid w:val="FCF68872"/>
    <w:rsid w:val="FCF71A98"/>
    <w:rsid w:val="FCF77888"/>
    <w:rsid w:val="FCFF7B19"/>
    <w:rsid w:val="FCFFE8B9"/>
    <w:rsid w:val="FD3B3604"/>
    <w:rsid w:val="FD3BF0C0"/>
    <w:rsid w:val="FD577017"/>
    <w:rsid w:val="FD5B9DB4"/>
    <w:rsid w:val="FD5DDD1D"/>
    <w:rsid w:val="FD77B503"/>
    <w:rsid w:val="FD7D310C"/>
    <w:rsid w:val="FD7D9B37"/>
    <w:rsid w:val="FD8BC5EA"/>
    <w:rsid w:val="FDAB202F"/>
    <w:rsid w:val="FDB595CA"/>
    <w:rsid w:val="FDB90583"/>
    <w:rsid w:val="FDBD158C"/>
    <w:rsid w:val="FDCF9184"/>
    <w:rsid w:val="FDD82847"/>
    <w:rsid w:val="FDE582F5"/>
    <w:rsid w:val="FDEBDFC4"/>
    <w:rsid w:val="FDEE7C19"/>
    <w:rsid w:val="FDEE7E2F"/>
    <w:rsid w:val="FDEF0A64"/>
    <w:rsid w:val="FDEF36D6"/>
    <w:rsid w:val="FDEFDB91"/>
    <w:rsid w:val="FDF56E82"/>
    <w:rsid w:val="FDF5D9EA"/>
    <w:rsid w:val="FDF70E33"/>
    <w:rsid w:val="FDFB46EF"/>
    <w:rsid w:val="FDFB5F09"/>
    <w:rsid w:val="FDFC2DA3"/>
    <w:rsid w:val="FDFF10E6"/>
    <w:rsid w:val="FDFF30C3"/>
    <w:rsid w:val="FDFF32BF"/>
    <w:rsid w:val="FDFF3323"/>
    <w:rsid w:val="FDFF459B"/>
    <w:rsid w:val="FDFF6D70"/>
    <w:rsid w:val="FDFFB7E8"/>
    <w:rsid w:val="FDFFC03A"/>
    <w:rsid w:val="FE3D98C0"/>
    <w:rsid w:val="FE4DDCC4"/>
    <w:rsid w:val="FE67FD3B"/>
    <w:rsid w:val="FE7ECCA2"/>
    <w:rsid w:val="FEA7495A"/>
    <w:rsid w:val="FEB7A79F"/>
    <w:rsid w:val="FEB7EADC"/>
    <w:rsid w:val="FEBAE383"/>
    <w:rsid w:val="FEBB8173"/>
    <w:rsid w:val="FEBDDA3A"/>
    <w:rsid w:val="FEBF7D6B"/>
    <w:rsid w:val="FEBFA1D1"/>
    <w:rsid w:val="FEBFFB02"/>
    <w:rsid w:val="FEDFC7B1"/>
    <w:rsid w:val="FEE73B73"/>
    <w:rsid w:val="FEF74499"/>
    <w:rsid w:val="FEF74AD6"/>
    <w:rsid w:val="FEF75D5C"/>
    <w:rsid w:val="FEF769C9"/>
    <w:rsid w:val="FEFB2638"/>
    <w:rsid w:val="FEFCCC79"/>
    <w:rsid w:val="FEFF0A31"/>
    <w:rsid w:val="FEFF4F7E"/>
    <w:rsid w:val="FEFF54AD"/>
    <w:rsid w:val="FEFFC1CA"/>
    <w:rsid w:val="FF12C3F5"/>
    <w:rsid w:val="FF1DC43B"/>
    <w:rsid w:val="FF3D11BD"/>
    <w:rsid w:val="FF3F9D3F"/>
    <w:rsid w:val="FF3FDC41"/>
    <w:rsid w:val="FF4739C0"/>
    <w:rsid w:val="FF47A29F"/>
    <w:rsid w:val="FF5302EE"/>
    <w:rsid w:val="FF6B065C"/>
    <w:rsid w:val="FF6C1270"/>
    <w:rsid w:val="FF707D05"/>
    <w:rsid w:val="FF716D2E"/>
    <w:rsid w:val="FF72DE47"/>
    <w:rsid w:val="FF768A96"/>
    <w:rsid w:val="FF774B16"/>
    <w:rsid w:val="FF79C193"/>
    <w:rsid w:val="FF7A2DD2"/>
    <w:rsid w:val="FF7D0D95"/>
    <w:rsid w:val="FF7D2272"/>
    <w:rsid w:val="FF7D7CA6"/>
    <w:rsid w:val="FF7DF554"/>
    <w:rsid w:val="FF7E5E58"/>
    <w:rsid w:val="FF7FD781"/>
    <w:rsid w:val="FF8FC173"/>
    <w:rsid w:val="FF973820"/>
    <w:rsid w:val="FF9BFEFF"/>
    <w:rsid w:val="FF9F226E"/>
    <w:rsid w:val="FFAF5D1F"/>
    <w:rsid w:val="FFB336C6"/>
    <w:rsid w:val="FFB33C04"/>
    <w:rsid w:val="FFB361CC"/>
    <w:rsid w:val="FFB42D91"/>
    <w:rsid w:val="FFB7A499"/>
    <w:rsid w:val="FFB9B38E"/>
    <w:rsid w:val="FFBED594"/>
    <w:rsid w:val="FFBFC2F9"/>
    <w:rsid w:val="FFC9F50C"/>
    <w:rsid w:val="FFCFC060"/>
    <w:rsid w:val="FFCFE734"/>
    <w:rsid w:val="FFDAF287"/>
    <w:rsid w:val="FFDB7DFA"/>
    <w:rsid w:val="FFDEDAB3"/>
    <w:rsid w:val="FFE3F2C0"/>
    <w:rsid w:val="FFE5C492"/>
    <w:rsid w:val="FFE70B52"/>
    <w:rsid w:val="FFEB79B7"/>
    <w:rsid w:val="FFEE19CD"/>
    <w:rsid w:val="FFEE6E61"/>
    <w:rsid w:val="FFEED925"/>
    <w:rsid w:val="FFEF878D"/>
    <w:rsid w:val="FFEFC8B5"/>
    <w:rsid w:val="FFEFE3D3"/>
    <w:rsid w:val="FFF15051"/>
    <w:rsid w:val="FFF1A629"/>
    <w:rsid w:val="FFF2B6AF"/>
    <w:rsid w:val="FFF3A6BC"/>
    <w:rsid w:val="FFF3B15B"/>
    <w:rsid w:val="FFF5A325"/>
    <w:rsid w:val="FFF61F9E"/>
    <w:rsid w:val="FFF704CE"/>
    <w:rsid w:val="FFF78AA3"/>
    <w:rsid w:val="FFF960A5"/>
    <w:rsid w:val="FFF96839"/>
    <w:rsid w:val="FFFA55BD"/>
    <w:rsid w:val="FFFA645F"/>
    <w:rsid w:val="FFFAA763"/>
    <w:rsid w:val="FFFC7020"/>
    <w:rsid w:val="FFFD25DB"/>
    <w:rsid w:val="FFFD3C83"/>
    <w:rsid w:val="FFFDEA37"/>
    <w:rsid w:val="FFFEB45C"/>
    <w:rsid w:val="FFFEE1EF"/>
    <w:rsid w:val="FFFEE98E"/>
    <w:rsid w:val="FFFEECEF"/>
    <w:rsid w:val="FFFF33FC"/>
    <w:rsid w:val="FFFF4C54"/>
    <w:rsid w:val="FFFF53D2"/>
    <w:rsid w:val="FFFF8A80"/>
    <w:rsid w:val="FFFFE31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2"/>
    <w:qFormat/>
    <w:uiPriority w:val="9"/>
    <w:pPr>
      <w:keepNext/>
      <w:keepLines/>
      <w:spacing w:before="480" w:after="80" w:line="278" w:lineRule="auto"/>
      <w:jc w:val="left"/>
      <w:outlineLvl w:val="0"/>
    </w:pPr>
    <w:rPr>
      <w:rFonts w:ascii="等线 Light" w:hAnsi="等线 Light" w:eastAsia="等线 Light" w:cs="宋体"/>
      <w:color w:val="2F5496"/>
      <w:sz w:val="48"/>
      <w:szCs w:val="48"/>
      <w14:ligatures w14:val="standardContextual"/>
    </w:rPr>
  </w:style>
  <w:style w:type="paragraph" w:styleId="3">
    <w:name w:val="heading 2"/>
    <w:basedOn w:val="1"/>
    <w:next w:val="1"/>
    <w:link w:val="33"/>
    <w:qFormat/>
    <w:uiPriority w:val="9"/>
    <w:pPr>
      <w:keepNext/>
      <w:keepLines/>
      <w:spacing w:before="160" w:after="80" w:line="278" w:lineRule="auto"/>
      <w:jc w:val="left"/>
      <w:outlineLvl w:val="1"/>
    </w:pPr>
    <w:rPr>
      <w:rFonts w:ascii="等线 Light" w:hAnsi="等线 Light" w:eastAsia="等线 Light" w:cs="宋体"/>
      <w:color w:val="2F5496"/>
      <w:sz w:val="40"/>
      <w:szCs w:val="40"/>
      <w14:ligatures w14:val="standardContextual"/>
    </w:rPr>
  </w:style>
  <w:style w:type="paragraph" w:styleId="4">
    <w:name w:val="heading 3"/>
    <w:basedOn w:val="1"/>
    <w:next w:val="1"/>
    <w:link w:val="34"/>
    <w:qFormat/>
    <w:uiPriority w:val="9"/>
    <w:pPr>
      <w:keepNext/>
      <w:keepLines/>
      <w:spacing w:before="160" w:after="80" w:line="278" w:lineRule="auto"/>
      <w:jc w:val="left"/>
      <w:outlineLvl w:val="2"/>
    </w:pPr>
    <w:rPr>
      <w:rFonts w:ascii="等线 Light" w:hAnsi="等线 Light" w:eastAsia="等线 Light" w:cs="宋体"/>
      <w:color w:val="2F5496"/>
      <w:sz w:val="32"/>
      <w:szCs w:val="32"/>
      <w14:ligatures w14:val="standardContextual"/>
    </w:rPr>
  </w:style>
  <w:style w:type="paragraph" w:styleId="5">
    <w:name w:val="heading 4"/>
    <w:basedOn w:val="1"/>
    <w:next w:val="1"/>
    <w:link w:val="35"/>
    <w:qFormat/>
    <w:uiPriority w:val="9"/>
    <w:pPr>
      <w:keepNext/>
      <w:keepLines/>
      <w:spacing w:before="80" w:after="40" w:line="278" w:lineRule="auto"/>
      <w:jc w:val="left"/>
      <w:outlineLvl w:val="3"/>
    </w:pPr>
    <w:rPr>
      <w:rFonts w:ascii="等线" w:hAnsi="等线" w:eastAsia="等线" w:cs="宋体"/>
      <w:color w:val="2F5496"/>
      <w:sz w:val="28"/>
      <w:szCs w:val="28"/>
      <w14:ligatures w14:val="standardContextual"/>
    </w:rPr>
  </w:style>
  <w:style w:type="paragraph" w:styleId="6">
    <w:name w:val="heading 5"/>
    <w:basedOn w:val="1"/>
    <w:next w:val="1"/>
    <w:link w:val="36"/>
    <w:qFormat/>
    <w:uiPriority w:val="9"/>
    <w:pPr>
      <w:keepNext/>
      <w:keepLines/>
      <w:spacing w:before="80" w:after="40" w:line="278" w:lineRule="auto"/>
      <w:jc w:val="left"/>
      <w:outlineLvl w:val="4"/>
    </w:pPr>
    <w:rPr>
      <w:rFonts w:ascii="等线" w:hAnsi="等线" w:eastAsia="等线" w:cs="宋体"/>
      <w:color w:val="2F5496"/>
      <w:sz w:val="24"/>
      <w14:ligatures w14:val="standardContextual"/>
    </w:rPr>
  </w:style>
  <w:style w:type="paragraph" w:styleId="7">
    <w:name w:val="heading 6"/>
    <w:basedOn w:val="1"/>
    <w:next w:val="1"/>
    <w:link w:val="37"/>
    <w:qFormat/>
    <w:uiPriority w:val="9"/>
    <w:pPr>
      <w:keepNext/>
      <w:keepLines/>
      <w:spacing w:before="40" w:line="278" w:lineRule="auto"/>
      <w:jc w:val="left"/>
      <w:outlineLvl w:val="5"/>
    </w:pPr>
    <w:rPr>
      <w:rFonts w:ascii="等线" w:hAnsi="等线" w:eastAsia="等线" w:cs="宋体"/>
      <w:b/>
      <w:bCs/>
      <w:color w:val="2F5496"/>
      <w:sz w:val="22"/>
      <w14:ligatures w14:val="standardContextual"/>
    </w:rPr>
  </w:style>
  <w:style w:type="paragraph" w:styleId="8">
    <w:name w:val="heading 7"/>
    <w:basedOn w:val="1"/>
    <w:next w:val="1"/>
    <w:link w:val="38"/>
    <w:qFormat/>
    <w:uiPriority w:val="9"/>
    <w:pPr>
      <w:keepNext/>
      <w:keepLines/>
      <w:spacing w:before="40" w:line="278" w:lineRule="auto"/>
      <w:jc w:val="left"/>
      <w:outlineLvl w:val="6"/>
    </w:pPr>
    <w:rPr>
      <w:rFonts w:ascii="等线" w:hAnsi="等线" w:eastAsia="等线" w:cs="宋体"/>
      <w:b/>
      <w:bCs/>
      <w:color w:val="595959"/>
      <w:sz w:val="22"/>
      <w14:ligatures w14:val="standardContextual"/>
    </w:rPr>
  </w:style>
  <w:style w:type="paragraph" w:styleId="9">
    <w:name w:val="heading 8"/>
    <w:basedOn w:val="1"/>
    <w:next w:val="1"/>
    <w:link w:val="39"/>
    <w:qFormat/>
    <w:uiPriority w:val="9"/>
    <w:pPr>
      <w:keepNext/>
      <w:keepLines/>
      <w:spacing w:line="278" w:lineRule="auto"/>
      <w:jc w:val="left"/>
      <w:outlineLvl w:val="7"/>
    </w:pPr>
    <w:rPr>
      <w:rFonts w:ascii="等线" w:hAnsi="等线" w:eastAsia="等线" w:cs="宋体"/>
      <w:color w:val="595959"/>
      <w:sz w:val="22"/>
      <w14:ligatures w14:val="standardContextual"/>
    </w:rPr>
  </w:style>
  <w:style w:type="paragraph" w:styleId="10">
    <w:name w:val="heading 9"/>
    <w:basedOn w:val="1"/>
    <w:next w:val="1"/>
    <w:link w:val="40"/>
    <w:qFormat/>
    <w:uiPriority w:val="9"/>
    <w:pPr>
      <w:keepNext/>
      <w:keepLines/>
      <w:spacing w:line="278" w:lineRule="auto"/>
      <w:jc w:val="left"/>
      <w:outlineLvl w:val="8"/>
    </w:pPr>
    <w:rPr>
      <w:rFonts w:ascii="等线" w:hAnsi="等线" w:eastAsia="等线 Light" w:cs="宋体"/>
      <w:color w:val="595959"/>
      <w:sz w:val="22"/>
      <w14:ligatures w14:val="standardContextual"/>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41"/>
    <w:semiHidden/>
    <w:unhideWhenUsed/>
    <w:qFormat/>
    <w:uiPriority w:val="99"/>
    <w:pPr>
      <w:jc w:val="left"/>
    </w:pPr>
  </w:style>
  <w:style w:type="paragraph" w:styleId="12">
    <w:name w:val="Body Text"/>
    <w:basedOn w:val="1"/>
    <w:next w:val="1"/>
    <w:unhideWhenUsed/>
    <w:qFormat/>
    <w:uiPriority w:val="0"/>
    <w:pPr>
      <w:spacing w:after="120"/>
    </w:pPr>
  </w:style>
  <w:style w:type="paragraph" w:styleId="13">
    <w:name w:val="toc 3"/>
    <w:basedOn w:val="1"/>
    <w:next w:val="1"/>
    <w:autoRedefine/>
    <w:unhideWhenUsed/>
    <w:qFormat/>
    <w:uiPriority w:val="39"/>
    <w:pPr>
      <w:ind w:left="840" w:leftChars="400"/>
    </w:pPr>
    <w:rPr>
      <w:rFonts w:ascii="Times New Roman" w:hAnsi="Times New Roman" w:eastAsia="仿宋_GB2312"/>
      <w:sz w:val="28"/>
    </w:rPr>
  </w:style>
  <w:style w:type="paragraph" w:styleId="14">
    <w:name w:val="Date"/>
    <w:basedOn w:val="1"/>
    <w:next w:val="1"/>
    <w:link w:val="42"/>
    <w:semiHidden/>
    <w:unhideWhenUsed/>
    <w:qFormat/>
    <w:uiPriority w:val="99"/>
    <w:pPr>
      <w:ind w:left="100" w:leftChars="2500"/>
    </w:pPr>
  </w:style>
  <w:style w:type="paragraph" w:styleId="15">
    <w:name w:val="Balloon Text"/>
    <w:basedOn w:val="1"/>
    <w:link w:val="43"/>
    <w:unhideWhenUsed/>
    <w:qFormat/>
    <w:uiPriority w:val="99"/>
    <w:rPr>
      <w:sz w:val="18"/>
      <w:szCs w:val="18"/>
    </w:rPr>
  </w:style>
  <w:style w:type="paragraph" w:styleId="16">
    <w:name w:val="footer"/>
    <w:basedOn w:val="1"/>
    <w:link w:val="44"/>
    <w:qFormat/>
    <w:uiPriority w:val="99"/>
    <w:pPr>
      <w:tabs>
        <w:tab w:val="center" w:pos="4153"/>
        <w:tab w:val="right" w:pos="8306"/>
      </w:tabs>
      <w:snapToGrid w:val="0"/>
      <w:jc w:val="left"/>
    </w:pPr>
    <w:rPr>
      <w:sz w:val="18"/>
      <w:szCs w:val="18"/>
    </w:rPr>
  </w:style>
  <w:style w:type="paragraph" w:styleId="17">
    <w:name w:val="header"/>
    <w:basedOn w:val="1"/>
    <w:link w:val="45"/>
    <w:qFormat/>
    <w:uiPriority w:val="99"/>
    <w:pPr>
      <w:tabs>
        <w:tab w:val="center" w:pos="4153"/>
        <w:tab w:val="right" w:pos="8306"/>
      </w:tabs>
      <w:snapToGrid w:val="0"/>
      <w:jc w:val="center"/>
    </w:pPr>
    <w:rPr>
      <w:sz w:val="18"/>
      <w:szCs w:val="18"/>
    </w:rPr>
  </w:style>
  <w:style w:type="paragraph" w:styleId="18">
    <w:name w:val="toc 1"/>
    <w:basedOn w:val="1"/>
    <w:next w:val="1"/>
    <w:autoRedefine/>
    <w:unhideWhenUsed/>
    <w:qFormat/>
    <w:uiPriority w:val="39"/>
    <w:pPr>
      <w:tabs>
        <w:tab w:val="right" w:leader="dot" w:pos="8296"/>
      </w:tabs>
      <w:pPrChange w:id="0" w:author="Administrator" w:date="2025-12-29T23:05:00Z">
        <w:pPr>
          <w:widowControl w:val="0"/>
          <w:jc w:val="both"/>
        </w:pPr>
      </w:pPrChange>
    </w:pPr>
    <w:rPr>
      <w:rFonts w:ascii="Times New Roman" w:hAnsi="Times New Roman" w:eastAsia="黑体"/>
      <w:sz w:val="28"/>
      <w:szCs w:val="32"/>
      <w:rPrChange w:id="1" w:author="Administrator" w:date="2025-12-29T23:05:00Z">
        <w:rPr>
          <w:rFonts w:eastAsia="黑体"/>
          <w:kern w:val="2"/>
          <w:sz w:val="32"/>
          <w:szCs w:val="32"/>
          <w:lang w:val="en-US" w:eastAsia="zh-CN" w:bidi="ar-SA"/>
          <w14:ligatures w14:val="standardContextual"/>
        </w:rPr>
      </w:rPrChange>
      <w14:ligatures w14:val="standardContextual"/>
    </w:rPr>
  </w:style>
  <w:style w:type="paragraph" w:styleId="19">
    <w:name w:val="Subtitle"/>
    <w:basedOn w:val="1"/>
    <w:next w:val="1"/>
    <w:link w:val="46"/>
    <w:qFormat/>
    <w:uiPriority w:val="11"/>
    <w:pPr>
      <w:spacing w:after="160" w:line="278" w:lineRule="auto"/>
      <w:jc w:val="center"/>
    </w:pPr>
    <w:rPr>
      <w:rFonts w:ascii="等线 Light" w:hAnsi="等线 Light" w:eastAsia="等线 Light" w:cs="宋体"/>
      <w:color w:val="595959"/>
      <w:spacing w:val="15"/>
      <w:sz w:val="28"/>
      <w:szCs w:val="28"/>
      <w14:ligatures w14:val="standardContextual"/>
    </w:rPr>
  </w:style>
  <w:style w:type="paragraph" w:styleId="20">
    <w:name w:val="footnote text"/>
    <w:basedOn w:val="1"/>
    <w:link w:val="47"/>
    <w:semiHidden/>
    <w:unhideWhenUsed/>
    <w:qFormat/>
    <w:uiPriority w:val="99"/>
    <w:pPr>
      <w:snapToGrid w:val="0"/>
      <w:jc w:val="left"/>
    </w:pPr>
    <w:rPr>
      <w:sz w:val="18"/>
      <w:szCs w:val="18"/>
    </w:rPr>
  </w:style>
  <w:style w:type="paragraph" w:styleId="21">
    <w:name w:val="toc 2"/>
    <w:basedOn w:val="1"/>
    <w:next w:val="1"/>
    <w:autoRedefine/>
    <w:unhideWhenUsed/>
    <w:qFormat/>
    <w:uiPriority w:val="39"/>
    <w:pPr>
      <w:tabs>
        <w:tab w:val="right" w:leader="dot" w:pos="8296"/>
      </w:tabs>
      <w:ind w:left="420" w:leftChars="200"/>
      <w:pPrChange w:id="2" w:author="Administrator" w:date="2025-12-29T23:08:00Z">
        <w:pPr>
          <w:widowControl w:val="0"/>
          <w:ind w:left="420" w:leftChars="200"/>
          <w:jc w:val="both"/>
        </w:pPr>
      </w:pPrChange>
    </w:pPr>
    <w:rPr>
      <w:rFonts w:ascii="方正楷体_GBK" w:hAnsi="方正楷体_GBK" w:eastAsia="楷体_GB2312"/>
      <w:sz w:val="30"/>
      <w:szCs w:val="32"/>
      <w:rPrChange w:id="3" w:author="Administrator" w:date="2025-12-29T23:08:00Z">
        <w:rPr>
          <w:rFonts w:ascii="楷体_GB2312" w:eastAsia="楷体_GB2312"/>
          <w:kern w:val="2"/>
          <w:sz w:val="32"/>
          <w:szCs w:val="32"/>
          <w:lang w:val="en-US" w:eastAsia="zh-CN" w:bidi="ar-SA"/>
        </w:rPr>
      </w:rPrChange>
    </w:rPr>
  </w:style>
  <w:style w:type="paragraph" w:styleId="22">
    <w:name w:val="Normal (Web)"/>
    <w:basedOn w:val="1"/>
    <w:semiHidden/>
    <w:unhideWhenUsed/>
    <w:qFormat/>
    <w:uiPriority w:val="99"/>
    <w:pPr>
      <w:spacing w:beforeAutospacing="1" w:afterAutospacing="1"/>
      <w:jc w:val="left"/>
    </w:pPr>
    <w:rPr>
      <w:kern w:val="0"/>
      <w:sz w:val="24"/>
    </w:rPr>
  </w:style>
  <w:style w:type="paragraph" w:styleId="23">
    <w:name w:val="Title"/>
    <w:basedOn w:val="1"/>
    <w:next w:val="1"/>
    <w:link w:val="48"/>
    <w:qFormat/>
    <w:uiPriority w:val="10"/>
    <w:pPr>
      <w:spacing w:after="80"/>
      <w:contextualSpacing/>
      <w:jc w:val="center"/>
    </w:pPr>
    <w:rPr>
      <w:rFonts w:ascii="等线 Light" w:hAnsi="等线 Light" w:eastAsia="等线 Light" w:cs="宋体"/>
      <w:spacing w:val="-10"/>
      <w:kern w:val="28"/>
      <w:sz w:val="56"/>
      <w:szCs w:val="56"/>
      <w14:ligatures w14:val="standardContextual"/>
    </w:rPr>
  </w:style>
  <w:style w:type="paragraph" w:styleId="24">
    <w:name w:val="annotation subject"/>
    <w:basedOn w:val="11"/>
    <w:next w:val="11"/>
    <w:link w:val="49"/>
    <w:semiHidden/>
    <w:unhideWhenUsed/>
    <w:qFormat/>
    <w:uiPriority w:val="99"/>
    <w:rPr>
      <w:b/>
      <w:bCs/>
    </w:rPr>
  </w:style>
  <w:style w:type="table" w:styleId="26">
    <w:name w:val="Table Grid"/>
    <w:basedOn w:val="2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22"/>
    <w:rPr>
      <w:b/>
    </w:rPr>
  </w:style>
  <w:style w:type="character" w:styleId="29">
    <w:name w:val="Hyperlink"/>
    <w:basedOn w:val="27"/>
    <w:qFormat/>
    <w:uiPriority w:val="99"/>
    <w:rPr>
      <w:color w:val="0563C1"/>
      <w:u w:val="single"/>
    </w:rPr>
  </w:style>
  <w:style w:type="character" w:styleId="30">
    <w:name w:val="annotation reference"/>
    <w:basedOn w:val="27"/>
    <w:semiHidden/>
    <w:unhideWhenUsed/>
    <w:qFormat/>
    <w:uiPriority w:val="99"/>
    <w:rPr>
      <w:sz w:val="21"/>
      <w:szCs w:val="21"/>
    </w:rPr>
  </w:style>
  <w:style w:type="character" w:styleId="31">
    <w:name w:val="footnote reference"/>
    <w:basedOn w:val="27"/>
    <w:semiHidden/>
    <w:unhideWhenUsed/>
    <w:qFormat/>
    <w:uiPriority w:val="99"/>
    <w:rPr>
      <w:vertAlign w:val="superscript"/>
    </w:rPr>
  </w:style>
  <w:style w:type="character" w:customStyle="1" w:styleId="32">
    <w:name w:val="标题 1 字符"/>
    <w:basedOn w:val="27"/>
    <w:link w:val="2"/>
    <w:qFormat/>
    <w:uiPriority w:val="9"/>
    <w:rPr>
      <w:rFonts w:ascii="等线 Light" w:hAnsi="等线 Light" w:eastAsia="等线 Light" w:cs="宋体"/>
      <w:color w:val="2F5496"/>
      <w:sz w:val="48"/>
      <w:szCs w:val="48"/>
    </w:rPr>
  </w:style>
  <w:style w:type="character" w:customStyle="1" w:styleId="33">
    <w:name w:val="标题 2 字符"/>
    <w:basedOn w:val="27"/>
    <w:link w:val="3"/>
    <w:qFormat/>
    <w:uiPriority w:val="9"/>
    <w:rPr>
      <w:rFonts w:ascii="等线 Light" w:hAnsi="等线 Light" w:eastAsia="等线 Light" w:cs="宋体"/>
      <w:color w:val="2F5496"/>
      <w:sz w:val="40"/>
      <w:szCs w:val="40"/>
    </w:rPr>
  </w:style>
  <w:style w:type="character" w:customStyle="1" w:styleId="34">
    <w:name w:val="标题 3 字符"/>
    <w:basedOn w:val="27"/>
    <w:link w:val="4"/>
    <w:qFormat/>
    <w:uiPriority w:val="9"/>
    <w:rPr>
      <w:rFonts w:ascii="等线 Light" w:hAnsi="等线 Light" w:eastAsia="等线 Light" w:cs="宋体"/>
      <w:color w:val="2F5496"/>
      <w:sz w:val="32"/>
      <w:szCs w:val="32"/>
    </w:rPr>
  </w:style>
  <w:style w:type="character" w:customStyle="1" w:styleId="35">
    <w:name w:val="标题 4 字符"/>
    <w:basedOn w:val="27"/>
    <w:link w:val="5"/>
    <w:qFormat/>
    <w:uiPriority w:val="9"/>
    <w:rPr>
      <w:rFonts w:cs="宋体"/>
      <w:color w:val="2F5496"/>
      <w:sz w:val="28"/>
      <w:szCs w:val="28"/>
    </w:rPr>
  </w:style>
  <w:style w:type="character" w:customStyle="1" w:styleId="36">
    <w:name w:val="标题 5 字符"/>
    <w:basedOn w:val="27"/>
    <w:link w:val="6"/>
    <w:qFormat/>
    <w:uiPriority w:val="9"/>
    <w:rPr>
      <w:rFonts w:cs="宋体"/>
      <w:color w:val="2F5496"/>
      <w:sz w:val="24"/>
    </w:rPr>
  </w:style>
  <w:style w:type="character" w:customStyle="1" w:styleId="37">
    <w:name w:val="标题 6 字符"/>
    <w:basedOn w:val="27"/>
    <w:link w:val="7"/>
    <w:qFormat/>
    <w:uiPriority w:val="9"/>
    <w:rPr>
      <w:rFonts w:cs="宋体"/>
      <w:b/>
      <w:bCs/>
      <w:color w:val="2F5496"/>
    </w:rPr>
  </w:style>
  <w:style w:type="character" w:customStyle="1" w:styleId="38">
    <w:name w:val="标题 7 字符"/>
    <w:basedOn w:val="27"/>
    <w:link w:val="8"/>
    <w:qFormat/>
    <w:uiPriority w:val="9"/>
    <w:rPr>
      <w:rFonts w:cs="宋体"/>
      <w:b/>
      <w:bCs/>
      <w:color w:val="595959"/>
    </w:rPr>
  </w:style>
  <w:style w:type="character" w:customStyle="1" w:styleId="39">
    <w:name w:val="标题 8 字符"/>
    <w:basedOn w:val="27"/>
    <w:link w:val="9"/>
    <w:qFormat/>
    <w:uiPriority w:val="9"/>
    <w:rPr>
      <w:rFonts w:cs="宋体"/>
      <w:color w:val="595959"/>
    </w:rPr>
  </w:style>
  <w:style w:type="character" w:customStyle="1" w:styleId="40">
    <w:name w:val="标题 9 字符"/>
    <w:basedOn w:val="27"/>
    <w:link w:val="10"/>
    <w:qFormat/>
    <w:uiPriority w:val="9"/>
    <w:rPr>
      <w:rFonts w:eastAsia="等线 Light" w:cs="宋体"/>
      <w:color w:val="595959"/>
    </w:rPr>
  </w:style>
  <w:style w:type="character" w:customStyle="1" w:styleId="41">
    <w:name w:val="批注文字 字符"/>
    <w:basedOn w:val="27"/>
    <w:link w:val="11"/>
    <w:semiHidden/>
    <w:qFormat/>
    <w:uiPriority w:val="99"/>
    <w:rPr>
      <w:kern w:val="2"/>
      <w:sz w:val="21"/>
      <w:szCs w:val="24"/>
    </w:rPr>
  </w:style>
  <w:style w:type="character" w:customStyle="1" w:styleId="42">
    <w:name w:val="日期 字符"/>
    <w:basedOn w:val="27"/>
    <w:link w:val="14"/>
    <w:semiHidden/>
    <w:qFormat/>
    <w:uiPriority w:val="99"/>
    <w:rPr>
      <w:rFonts w:ascii="Times New Roman" w:hAnsi="Times New Roman" w:eastAsia="宋体" w:cs="Times New Roman"/>
      <w:kern w:val="2"/>
      <w:sz w:val="21"/>
      <w:szCs w:val="24"/>
    </w:rPr>
  </w:style>
  <w:style w:type="character" w:customStyle="1" w:styleId="43">
    <w:name w:val="批注框文本 字符"/>
    <w:basedOn w:val="27"/>
    <w:link w:val="15"/>
    <w:qFormat/>
    <w:uiPriority w:val="99"/>
    <w:rPr>
      <w:rFonts w:ascii="Times New Roman" w:hAnsi="Times New Roman" w:eastAsia="宋体" w:cs="Times New Roman"/>
      <w:kern w:val="2"/>
      <w:sz w:val="18"/>
      <w:szCs w:val="18"/>
    </w:rPr>
  </w:style>
  <w:style w:type="character" w:customStyle="1" w:styleId="44">
    <w:name w:val="页脚 字符"/>
    <w:basedOn w:val="27"/>
    <w:link w:val="16"/>
    <w:qFormat/>
    <w:uiPriority w:val="99"/>
    <w:rPr>
      <w:rFonts w:ascii="Times New Roman" w:hAnsi="Times New Roman" w:eastAsia="宋体" w:cs="Times New Roman"/>
      <w:sz w:val="18"/>
      <w:szCs w:val="18"/>
      <w14:ligatures w14:val="none"/>
    </w:rPr>
  </w:style>
  <w:style w:type="character" w:customStyle="1" w:styleId="45">
    <w:name w:val="页眉 字符"/>
    <w:basedOn w:val="27"/>
    <w:link w:val="17"/>
    <w:qFormat/>
    <w:uiPriority w:val="99"/>
    <w:rPr>
      <w:rFonts w:ascii="Times New Roman" w:hAnsi="Times New Roman" w:eastAsia="宋体" w:cs="Times New Roman"/>
      <w:sz w:val="18"/>
      <w:szCs w:val="18"/>
      <w14:ligatures w14:val="none"/>
    </w:rPr>
  </w:style>
  <w:style w:type="character" w:customStyle="1" w:styleId="46">
    <w:name w:val="副标题 字符"/>
    <w:basedOn w:val="27"/>
    <w:link w:val="19"/>
    <w:qFormat/>
    <w:uiPriority w:val="11"/>
    <w:rPr>
      <w:rFonts w:ascii="等线 Light" w:hAnsi="等线 Light" w:eastAsia="等线 Light" w:cs="宋体"/>
      <w:color w:val="595959"/>
      <w:spacing w:val="15"/>
      <w:sz w:val="28"/>
      <w:szCs w:val="28"/>
    </w:rPr>
  </w:style>
  <w:style w:type="character" w:customStyle="1" w:styleId="47">
    <w:name w:val="脚注文本 字符"/>
    <w:basedOn w:val="27"/>
    <w:link w:val="20"/>
    <w:semiHidden/>
    <w:qFormat/>
    <w:uiPriority w:val="99"/>
    <w:rPr>
      <w:rFonts w:ascii="Times New Roman" w:hAnsi="Times New Roman" w:eastAsia="宋体" w:cs="Times New Roman"/>
      <w:kern w:val="2"/>
      <w:sz w:val="18"/>
      <w:szCs w:val="18"/>
    </w:rPr>
  </w:style>
  <w:style w:type="character" w:customStyle="1" w:styleId="48">
    <w:name w:val="标题 字符"/>
    <w:basedOn w:val="27"/>
    <w:link w:val="23"/>
    <w:qFormat/>
    <w:uiPriority w:val="10"/>
    <w:rPr>
      <w:rFonts w:ascii="等线 Light" w:hAnsi="等线 Light" w:eastAsia="等线 Light" w:cs="宋体"/>
      <w:spacing w:val="-10"/>
      <w:kern w:val="28"/>
      <w:sz w:val="56"/>
      <w:szCs w:val="56"/>
    </w:rPr>
  </w:style>
  <w:style w:type="character" w:customStyle="1" w:styleId="49">
    <w:name w:val="批注主题 字符"/>
    <w:basedOn w:val="41"/>
    <w:link w:val="24"/>
    <w:semiHidden/>
    <w:qFormat/>
    <w:uiPriority w:val="99"/>
    <w:rPr>
      <w:b/>
      <w:bCs/>
      <w:kern w:val="2"/>
      <w:sz w:val="21"/>
      <w:szCs w:val="24"/>
    </w:rPr>
  </w:style>
  <w:style w:type="paragraph" w:styleId="50">
    <w:name w:val="Quote"/>
    <w:basedOn w:val="1"/>
    <w:next w:val="1"/>
    <w:link w:val="51"/>
    <w:qFormat/>
    <w:uiPriority w:val="29"/>
    <w:pPr>
      <w:spacing w:before="160" w:after="160" w:line="278" w:lineRule="auto"/>
      <w:jc w:val="center"/>
    </w:pPr>
    <w:rPr>
      <w:rFonts w:ascii="等线" w:hAnsi="等线" w:eastAsia="等线" w:cs="宋体"/>
      <w:i/>
      <w:iCs/>
      <w:color w:val="404040"/>
      <w:sz w:val="22"/>
      <w14:ligatures w14:val="standardContextual"/>
    </w:rPr>
  </w:style>
  <w:style w:type="character" w:customStyle="1" w:styleId="51">
    <w:name w:val="引用 字符"/>
    <w:basedOn w:val="27"/>
    <w:link w:val="50"/>
    <w:qFormat/>
    <w:uiPriority w:val="29"/>
    <w:rPr>
      <w:i/>
      <w:iCs/>
      <w:color w:val="404040"/>
    </w:rPr>
  </w:style>
  <w:style w:type="paragraph" w:styleId="52">
    <w:name w:val="List Paragraph"/>
    <w:basedOn w:val="1"/>
    <w:qFormat/>
    <w:uiPriority w:val="34"/>
    <w:pPr>
      <w:spacing w:after="160" w:line="278" w:lineRule="auto"/>
      <w:ind w:left="720"/>
      <w:contextualSpacing/>
      <w:jc w:val="left"/>
    </w:pPr>
    <w:rPr>
      <w:rFonts w:ascii="等线" w:hAnsi="等线" w:eastAsia="等线" w:cs="宋体"/>
      <w:sz w:val="22"/>
      <w14:ligatures w14:val="standardContextual"/>
    </w:rPr>
  </w:style>
  <w:style w:type="character" w:customStyle="1" w:styleId="53">
    <w:name w:val="明显强调1"/>
    <w:basedOn w:val="27"/>
    <w:qFormat/>
    <w:uiPriority w:val="21"/>
    <w:rPr>
      <w:i/>
      <w:iCs/>
      <w:color w:val="2F5496"/>
    </w:rPr>
  </w:style>
  <w:style w:type="paragraph" w:styleId="54">
    <w:name w:val="Intense Quote"/>
    <w:basedOn w:val="1"/>
    <w:next w:val="1"/>
    <w:link w:val="55"/>
    <w:qFormat/>
    <w:uiPriority w:val="30"/>
    <w:pPr>
      <w:pBdr>
        <w:top w:val="single" w:color="2F5496" w:sz="4" w:space="10"/>
        <w:bottom w:val="single" w:color="2F5496" w:sz="4" w:space="10"/>
      </w:pBdr>
      <w:spacing w:before="360" w:after="360" w:line="278" w:lineRule="auto"/>
      <w:ind w:left="864" w:right="864"/>
      <w:jc w:val="center"/>
    </w:pPr>
    <w:rPr>
      <w:rFonts w:ascii="等线" w:hAnsi="等线" w:eastAsia="等线" w:cs="宋体"/>
      <w:i/>
      <w:iCs/>
      <w:color w:val="2F5496"/>
      <w:sz w:val="22"/>
      <w14:ligatures w14:val="standardContextual"/>
    </w:rPr>
  </w:style>
  <w:style w:type="character" w:customStyle="1" w:styleId="55">
    <w:name w:val="明显引用 字符"/>
    <w:basedOn w:val="27"/>
    <w:link w:val="54"/>
    <w:qFormat/>
    <w:uiPriority w:val="30"/>
    <w:rPr>
      <w:i/>
      <w:iCs/>
      <w:color w:val="2F5496"/>
    </w:rPr>
  </w:style>
  <w:style w:type="character" w:customStyle="1" w:styleId="56">
    <w:name w:val="明显参考1"/>
    <w:basedOn w:val="27"/>
    <w:qFormat/>
    <w:uiPriority w:val="32"/>
    <w:rPr>
      <w:b/>
      <w:bCs/>
      <w:smallCaps/>
      <w:color w:val="2F5496"/>
      <w:spacing w:val="5"/>
    </w:rPr>
  </w:style>
  <w:style w:type="character" w:customStyle="1" w:styleId="57">
    <w:name w:val="未处理的提及1"/>
    <w:basedOn w:val="27"/>
    <w:qFormat/>
    <w:uiPriority w:val="99"/>
    <w:rPr>
      <w:color w:val="605E5C"/>
      <w:shd w:val="clear" w:color="auto" w:fill="E1DFDD"/>
    </w:rPr>
  </w:style>
  <w:style w:type="paragraph" w:customStyle="1" w:styleId="58">
    <w:name w:val="修订1"/>
    <w:qFormat/>
    <w:uiPriority w:val="99"/>
    <w:rPr>
      <w:rFonts w:ascii="Times New Roman" w:hAnsi="Times New Roman" w:eastAsia="宋体" w:cs="Times New Roman"/>
      <w:kern w:val="2"/>
      <w:sz w:val="21"/>
      <w:szCs w:val="24"/>
      <w:lang w:val="en-US" w:eastAsia="zh-CN" w:bidi="ar-SA"/>
    </w:rPr>
  </w:style>
  <w:style w:type="table" w:customStyle="1" w:styleId="59">
    <w:name w:val="网格型11"/>
    <w:basedOn w:val="25"/>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0">
    <w:name w:val="网格型22"/>
    <w:basedOn w:val="25"/>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61">
    <w:name w:val="TOC 标题1"/>
    <w:basedOn w:val="2"/>
    <w:next w:val="1"/>
    <w:unhideWhenUsed/>
    <w:qFormat/>
    <w:uiPriority w:val="39"/>
    <w:pPr>
      <w:widowControl/>
      <w:spacing w:before="240" w:after="0" w:line="259" w:lineRule="auto"/>
      <w:outlineLvl w:val="9"/>
    </w:pPr>
    <w:rPr>
      <w:rFonts w:asciiTheme="majorHAnsi" w:hAnsiTheme="majorHAnsi" w:eastAsiaTheme="majorEastAsia" w:cstheme="majorBidi"/>
      <w:color w:val="376092" w:themeColor="accent1" w:themeShade="BF"/>
      <w:kern w:val="0"/>
      <w:sz w:val="32"/>
      <w:szCs w:val="32"/>
      <w14:ligatures w14: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9a674e59-3278-46cb-8378-7098b1425ce1</errorID>
      <errorWord>党</errorWord>
      <group>L1_Word</group>
      <groupName>字词问题</groupName>
      <ability>L2_Typo</ability>
      <abilityName>字词错误</abilityName>
      <candidateList>
        <item>党向</item>
      </candidateList>
      <explain/>
      <paraID>4F55C3E3</paraID>
      <start>9</start>
      <end>10</end>
      <status>unmodified</status>
      <modifiedWord/>
      <trackRevisions>false</trackRevisions>
    </reviewItem>
    <reviewItem>
      <errorID>d59f46ff-8234-4033-9d5b-00ec879cd8f6</errorID>
      <errorWord>农文体旅融合发展</errorWord>
      <group>L1_Political</group>
      <groupName>政治性问题</groupName>
      <ability>L2_Keyword</ability>
      <abilityName>固定表述</abilityName>
      <candidateList>
        <item>农文旅融合发展</item>
      </candidateList>
      <explain>词汇“农文旅融合发展”在特定场景下为固定表述形式，请确认此处的“农文体旅融合发展”是否存在不当。</explain>
      <paraID>1FF2D5CC</paraID>
      <start>6</start>
      <end>14</end>
      <status>unmodified</status>
      <modifiedWord/>
      <trackRevisions>false</trackRevisions>
    </reviewItem>
    <reviewItem>
      <errorID>7f66f9a9-b7fa-4fdb-b5cd-a0668938543b</errorID>
      <errorWord>农文体旅融合发展</errorWord>
      <group>L1_Political</group>
      <groupName>政治性问题</groupName>
      <ability>L2_Keyword</ability>
      <abilityName>固定表述</abilityName>
      <candidateList>
        <item>农文旅融合发展</item>
      </candidateList>
      <explain>词汇“农文旅融合发展”在特定场景下为固定表述形式，请确认此处的“农文体旅融合发展”是否存在不当。</explain>
      <paraID>122D0A3C</paraID>
      <start>107</start>
      <end>115</end>
      <status>unmodified</status>
      <modifiedWord/>
      <trackRevisions>false</trackRevisions>
    </reviewItem>
    <reviewItem>
      <errorID>0fc74df4-a508-4603-954d-6665239514fb</errorID>
      <errorWord>经济实力、科技实力、综合实力</errorWord>
      <group>L1_Political</group>
      <groupName>政治性问题</groupName>
      <ability>L2_Keyword</ability>
      <abilityName>固定表述</abilityName>
      <candidateList>
        <item>经济实力、科技实力、综合国力</item>
      </candidateList>
      <explain>词汇“经济实力、科技实力、综合国力”在特定场景下为固定表述形式，请确认此处的“经济实力、科技实力、综合实力”是否存在不当。</explain>
      <paraID>207A0858</paraID>
      <start>20</start>
      <end>34</end>
      <status>unmodified</status>
      <modifiedWord/>
      <trackRevisions>false</trackRevisions>
    </reviewItem>
    <reviewItem>
      <errorID>e9833aa7-9583-437e-b0fc-2e34497cb035</errorID>
      <errorWord>农业局</errorWord>
      <group>L1_Political</group>
      <groupName>政治性问题</groupName>
      <ability>L2_Unpolitical</ability>
      <abilityName>政治敏感错误</abilityName>
      <candidateList>
        <item>农业农村局</item>
      </candidateList>
      <explain/>
      <paraID>4E5F644F</paraID>
      <start>0</start>
      <end>3</end>
      <status>unmodified</status>
      <modifiedWord/>
      <trackRevisions>false</trackRevisions>
    </reviewItem>
    <reviewItem>
      <errorID>10558770-d637-4a50-8aab-6be0eb886019</errorID>
      <errorWord>农业局</errorWord>
      <group>L1_Political</group>
      <groupName>政治性问题</groupName>
      <ability>L2_Unpolitical</ability>
      <abilityName>政治敏感错误</abilityName>
      <candidateList>
        <item>农业农村局</item>
      </candidateList>
      <explain/>
      <paraID>7247D0BD</paraID>
      <start>0</start>
      <end>3</end>
      <status>unmodified</status>
      <modifiedWord/>
      <trackRevisions>false</trackRevisions>
    </reviewItem>
    <reviewItem>
      <errorID>eea269b1-7ce8-4b9c-b530-c3c32c4fdbee</errorID>
      <errorWord>农业局</errorWord>
      <group>L1_Political</group>
      <groupName>政治性问题</groupName>
      <ability>L2_Unpolitical</ability>
      <abilityName>政治敏感错误</abilityName>
      <candidateList>
        <item>农业农村局</item>
      </candidateList>
      <explain/>
      <paraID>57277D87</paraID>
      <start>0</start>
      <end>3</end>
      <status>unmodified</status>
      <modifiedWord/>
      <trackRevisions>false</trackRevisions>
    </reviewItem>
    <reviewItem>
      <errorID>1d237965-3892-4630-9171-1ba097ca2981</errorID>
      <errorWord>五良</errorWord>
      <group>L1_Word</group>
      <groupName>字词问题</groupName>
      <ability>L2_Typo</ability>
      <abilityName>字词错误</abilityName>
      <candidateList>
        <item>五粮</item>
      </candidateList>
      <explain/>
      <paraID>1F766157</paraID>
      <start>16</start>
      <end>18</end>
      <status>unmodified</status>
      <modifiedWord/>
      <trackRevisions>false</trackRevisions>
    </reviewItem>
    <reviewItem>
      <errorID>a6c1902d-2c98-4a4c-a2fd-decc31072e87</errorID>
      <errorWord>农场等社会化服务组织</errorWord>
      <group>L1_Political</group>
      <groupName>政治性问题</groupName>
      <ability>L2_Keyword</ability>
      <abilityName>固定表述</abilityName>
      <candidateList>
        <item>农业社会化服务组织</item>
      </candidateList>
      <explain>词汇“农业社会化服务组织”在特定场景下为固定表述形式，请确认此处的“农场等社会化服务组织”是否存在不当。</explain>
      <paraID>724E91C7</paraID>
      <start>22</start>
      <end>32</end>
      <status>unmodified</status>
      <modifiedWord/>
      <trackRevisions>false</trackRevisions>
    </reviewItem>
    <reviewItem>
      <errorID>27426fec-1d63-4437-913f-5bd048d778e5</errorID>
      <errorWord>门式钢架</errorWord>
      <group>L1_Knowledge</group>
      <groupName>知识性问题</groupName>
      <ability>L2_Term</ability>
      <abilityName>专业术语</abilityName>
      <candidateList>
        <item>门式刚架</item>
      </candidateList>
      <explain/>
      <paraID>402A9CC7</paraID>
      <start>29</start>
      <end>33</end>
      <status>unmodified</status>
      <modifiedWord/>
      <trackRevisions>false</trackRevisions>
    </reviewItem>
    <reviewItem>
      <errorID>5435623b-2b9a-434c-be48-731148eb3677</errorID>
      <errorWord>15分钟休息圈</errorWord>
      <group>L1_Political</group>
      <groupName>政治性问题</groupName>
      <ability>L2_Keyword</ability>
      <abilityName>固定表述</abilityName>
      <candidateList>
        <item>15分钟健身圈</item>
      </candidateList>
      <explain>词汇“15分钟健身圈”在特定场景下为固定表述形式，请确认此处的“15分钟休息圈”是否存在不当。</explain>
      <paraID>20F5A6F1</paraID>
      <start>67</start>
      <end>74</end>
      <status>unmodified</status>
      <modifiedWord/>
      <trackRevisions>false</trackRevisions>
    </reviewItem>
    <reviewItem>
      <errorID>31e89496-7112-41fc-8e3f-b808b32200bf</errorID>
      <errorWord>等</errorWord>
      <group>L1_Word</group>
      <groupName>字词问题</groupName>
      <ability>L2_Typo</ability>
      <abilityName>字词错误</abilityName>
      <candidateList>
        <item>的</item>
      </candidateList>
      <explain/>
      <paraID>42FA1828</paraID>
      <start>70</start>
      <end>71</end>
      <status>unmodified</status>
      <modifiedWord/>
      <trackRevisions>false</trackRevisions>
    </reviewItem>
    <reviewItem>
      <errorID>16748af2-945c-41b7-9de8-57148ce72c99</errorID>
      <errorWord>农旅文融合发展</errorWord>
      <group>L1_Political</group>
      <groupName>政治性问题</groupName>
      <ability>L2_Keyword</ability>
      <abilityName>固定表述</abilityName>
      <candidateList>
        <item>农文旅融合发展</item>
      </candidateList>
      <explain>词汇“农文旅融合发展”在特定场景下为固定表述形式，请确认此处的“农旅文融合发展”是否存在不当。</explain>
      <paraID>28289E32</paraID>
      <start>503</start>
      <end>510</end>
      <status>unmodified</status>
      <modifiedWord/>
      <trackRevisions>false</trackRevisions>
    </reviewItem>
    <reviewItem>
      <errorID>48ad1ea9-e0aa-4ddb-ac2f-2bb7a49f8656</errorID>
      <errorWord>给力</errorWord>
      <group>L1_Official</group>
      <groupName>公文问题</groupName>
      <ability>L2_Official</ability>
      <abilityName>公文问题</abilityName>
      <candidateList/>
      <explain>公文中禁止出现该词语</explain>
      <paraID>3C106918</paraID>
      <start>52</start>
      <end>54</end>
      <status>unmodified</status>
      <modifiedWord/>
      <trackRevisions>false</trackRevisions>
    </reviewItem>
    <reviewItem>
      <errorID>760abd26-6cad-482a-a774-f65106804e1d</errorID>
      <errorWord>历史遗留矿山生态修复</errorWord>
      <group>L1_Political</group>
      <groupName>政治性问题</groupName>
      <ability>L2_Keyword</ability>
      <abilityName>固定表述</abilityName>
      <candidateList>
        <item>历史遗留废弃矿山生态修复</item>
      </candidateList>
      <explain>词汇“历史遗留废弃矿山生态修复”在特定场景下为固定表述形式，请确认此处的“历史遗留矿山生态修复”是否存在不当。</explain>
      <paraID>49C97CAA</paraID>
      <start>190</start>
      <end>200</end>
      <status>unmodified</status>
      <modifiedWord/>
      <trackRevisions>false</trackRevisions>
    </reviewItem>
    <reviewItem>
      <errorID>fda10216-980b-4ed0-96ac-0e5def409959</errorID>
      <errorWord>办公</errorWord>
      <group>L1_Word</group>
      <groupName>字词问题</groupName>
      <ability>L2_Typo</ability>
      <abilityName>字词错误</abilityName>
      <candidateList>
        <item>公办</item>
      </candidateList>
      <explain/>
      <paraID>1650C061</paraID>
      <start>228</start>
      <end>230</end>
      <status>unmodified</status>
      <modifiedWord/>
      <trackRevisions>false</trackRevisions>
    </reviewItem>
    <reviewItem>
      <errorID>e05eec03-29ef-4f84-acc3-e2adbe3ff97f</errorID>
      <errorWord>内卷</errorWord>
      <group>L1_Official</group>
      <groupName>公文问题</groupName>
      <ability>L2_Official</ability>
      <abilityName>公文问题</abilityName>
      <candidateList/>
      <explain>公文中禁止出现该词语</explain>
      <paraID>566DE741</paraID>
      <start>5</start>
      <end>7</end>
      <status>unmodified</status>
      <modifiedWord/>
      <trackRevisions>false</trackRevisions>
    </reviewItem>
    <reviewItem>
      <errorID>de65fb0f-99ba-4929-9c26-66dcdcc300f6</errorID>
      <errorWord>“一网通办</errorWord>
      <group>L1_Political</group>
      <groupName>政治性问题</groupName>
      <ability>L2_Unpolitical</ability>
      <abilityName>政治敏感错误</abilityName>
      <candidateList>
        <item>‘一网通办’</item>
      </candidateList>
      <explain/>
      <paraID>5C5C2BB9</paraID>
      <start>152</start>
      <end>157</end>
      <status>unmodified</status>
      <modifiedWord/>
      <trackRevisions>false</trackRevisions>
    </reviewItem>
    <reviewItem>
      <errorID>adb317b2-d00c-4c5f-9afa-ab591ccf48e3</errorID>
      <errorWord>免申即享、直达快享</errorWord>
      <group>L1_Political</group>
      <groupName>政治性问题</groupName>
      <ability>L2_Keyword</ability>
      <abilityName>固定表述</abilityName>
      <candidateList>
        <item>“免申即享、直达快享”</item>
      </candidateList>
      <explain>注意检查当前固定表述标点是否使用规范。</explain>
      <paraID>1E893CCB</paraID>
      <start>19</start>
      <end>28</end>
      <status>unmodified</status>
      <modifiedWord/>
      <trackRevisions>false</trackRevisions>
    </reviewItem>
    <reviewItem>
      <errorID>7619658e-6098-479c-8d49-f49d38fb6eb1</errorID>
      <errorWord>“一网通办</errorWord>
      <group>L1_Political</group>
      <groupName>政治性问题</groupName>
      <ability>L2_Unpolitical</ability>
      <abilityName>政治敏感错误</abilityName>
      <candidateList>
        <item>‘一网通办’</item>
      </candidateList>
      <explain/>
      <paraID>64346479</paraID>
      <start>56</start>
      <end>61</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8ab85d-f942-4228-b2bb-64c0cc4939f4}">
  <ds:schemaRefs/>
</ds:datastoreItem>
</file>

<file path=customXml/itemProps3.xml><?xml version="1.0" encoding="utf-8"?>
<ds:datastoreItem xmlns:ds="http://schemas.openxmlformats.org/officeDocument/2006/customXml" ds:itemID="{84007C50-75E2-4F6B-9322-404745B2D2F2}">
  <ds:schemaRefs/>
</ds:datastoreItem>
</file>

<file path=docProps/app.xml><?xml version="1.0" encoding="utf-8"?>
<Properties xmlns="http://schemas.openxmlformats.org/officeDocument/2006/extended-properties" xmlns:vt="http://schemas.openxmlformats.org/officeDocument/2006/docPropsVTypes">
  <Pages>143</Pages>
  <Words>560</Words>
  <Characters>590</Characters>
  <Lines>1</Lines>
  <Paragraphs>1</Paragraphs>
  <TotalTime>54</TotalTime>
  <ScaleCrop>false</ScaleCrop>
  <LinksUpToDate>false</LinksUpToDate>
  <CharactersWithSpaces>742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2025-08-30T00:21:00Z</dcterms:created>
  <dc:creator>JQ REN</dc:creator>
  <cp:lastModifiedBy>1，</cp:lastModifiedBy>
  <cp:lastPrinted>2026-08-21T07:35:00Z</cp:lastPrinted>
  <dcterms:modified xsi:type="dcterms:W3CDTF">2026-09-03T02:24:25Z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8B45B2F11C5F411B8DA5535319D76241_13</vt:lpwstr>
  </property>
  <property fmtid="{D5CDD505-2E9C-101B-9397-08002B2CF9AE}" pid="3" name="KSOTemplateDocerSaveRecord">
    <vt:lpwstr>eyJoZGlkIjoiNjQ2ZDM3NjA5YTFlYjdmMDg2NDcwMmEwZGU4NzVhOGIiLCJ1c2VySWQiOiIxMTgzNDU5NjczIn0=</vt:lpwstr>
  </property>
  <property fmtid="{D5CDD505-2E9C-101B-9397-08002B2CF9AE}" pid="4" name="KSOProductBuildVer">
    <vt:lpwstr>2052-12.1.0.28505</vt:lpwstr>
  </property>
</Properties>
</file>