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ind w:firstLine="0" w:firstLineChars="0"/>
        <w:rPr>
          <w:rFonts w:eastAsia="仿宋"/>
          <w:bCs/>
          <w:sz w:val="48"/>
          <w:szCs w:val="48"/>
        </w:rPr>
      </w:pPr>
      <w:bookmarkStart w:id="177" w:name="_GoBack"/>
      <w:bookmarkEnd w:id="177"/>
      <w:bookmarkStart w:id="0" w:name="_Toc448821235"/>
      <w:bookmarkStart w:id="1" w:name="_Toc401734572"/>
    </w:p>
    <w:p>
      <w:pPr>
        <w:spacing w:line="240" w:lineRule="auto"/>
        <w:ind w:firstLine="0" w:firstLineChars="0"/>
        <w:jc w:val="center"/>
        <w:rPr>
          <w:rFonts w:hint="eastAsia" w:eastAsia="仿宋"/>
          <w:b w:val="0"/>
          <w:bCs/>
          <w:sz w:val="48"/>
          <w:szCs w:val="48"/>
          <w:lang w:val="en-US" w:eastAsia="zh-CN"/>
        </w:rPr>
      </w:pPr>
      <w:r>
        <w:rPr>
          <w:rFonts w:hint="eastAsia" w:eastAsia="仿宋"/>
          <w:b w:val="0"/>
          <w:bCs/>
          <w:sz w:val="48"/>
          <w:szCs w:val="48"/>
          <w:lang w:val="en-US" w:eastAsia="zh-CN"/>
        </w:rPr>
        <w:t>桦川县马库力恒瑞采石场有限公司</w:t>
      </w:r>
    </w:p>
    <w:p>
      <w:pPr>
        <w:spacing w:line="240" w:lineRule="auto"/>
        <w:ind w:firstLine="0" w:firstLineChars="0"/>
        <w:jc w:val="center"/>
        <w:rPr>
          <w:rFonts w:hint="eastAsia" w:eastAsia="仿宋"/>
          <w:b w:val="0"/>
          <w:bCs/>
          <w:sz w:val="48"/>
          <w:szCs w:val="48"/>
          <w:lang w:val="en-US" w:eastAsia="zh-CN"/>
        </w:rPr>
      </w:pPr>
      <w:r>
        <w:rPr>
          <w:rFonts w:hint="eastAsia" w:eastAsia="仿宋"/>
          <w:b w:val="0"/>
          <w:bCs/>
          <w:sz w:val="48"/>
          <w:szCs w:val="48"/>
          <w:lang w:val="en-US" w:eastAsia="zh-CN"/>
        </w:rPr>
        <w:t>桦川县马库力山采石场</w:t>
      </w:r>
    </w:p>
    <w:p>
      <w:pPr>
        <w:spacing w:line="240" w:lineRule="auto"/>
        <w:ind w:firstLine="0" w:firstLineChars="0"/>
        <w:jc w:val="center"/>
        <w:rPr>
          <w:b/>
          <w:sz w:val="52"/>
          <w:szCs w:val="52"/>
        </w:rPr>
      </w:pPr>
      <w:r>
        <w:rPr>
          <w:rFonts w:eastAsia="黑体"/>
          <w:bCs/>
          <w:sz w:val="52"/>
          <w:szCs w:val="52"/>
        </w:rPr>
        <w:t>矿区生态修复方案</w:t>
      </w:r>
    </w:p>
    <w:p>
      <w:pPr>
        <w:ind w:firstLine="0" w:firstLineChars="0"/>
        <w:rPr>
          <w:b/>
          <w:sz w:val="44"/>
          <w:szCs w:val="44"/>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bidi w:val="0"/>
      </w:pPr>
    </w:p>
    <w:p/>
    <w:p>
      <w:pPr>
        <w:ind w:firstLine="0" w:firstLineChars="0"/>
        <w:rPr>
          <w:b/>
          <w:sz w:val="32"/>
          <w:szCs w:val="32"/>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ind w:firstLine="0" w:firstLineChars="0"/>
        <w:rPr>
          <w:b/>
          <w:sz w:val="32"/>
          <w:szCs w:val="32"/>
        </w:rPr>
      </w:pPr>
    </w:p>
    <w:p>
      <w:pPr>
        <w:snapToGrid w:val="0"/>
        <w:ind w:firstLine="0" w:firstLineChars="0"/>
        <w:jc w:val="center"/>
        <w:rPr>
          <w:rFonts w:hint="eastAsia" w:ascii="宋体" w:hAnsi="宋体" w:eastAsia="宋体" w:cs="宋体"/>
          <w:b w:val="0"/>
          <w:bCs/>
          <w:sz w:val="44"/>
          <w:szCs w:val="44"/>
          <w:lang w:eastAsia="zh-CN"/>
        </w:rPr>
      </w:pPr>
      <w:r>
        <w:rPr>
          <w:rFonts w:hint="eastAsia" w:ascii="宋体" w:hAnsi="宋体" w:eastAsia="宋体" w:cs="宋体"/>
          <w:b w:val="0"/>
          <w:bCs/>
          <w:sz w:val="44"/>
          <w:szCs w:val="44"/>
          <w:lang w:eastAsia="zh-CN"/>
        </w:rPr>
        <w:t>桦川县马库力恒瑞采石场有限公司</w:t>
      </w:r>
    </w:p>
    <w:p>
      <w:pPr>
        <w:snapToGrid w:val="0"/>
        <w:ind w:firstLine="0" w:firstLineChars="0"/>
        <w:jc w:val="center"/>
        <w:rPr>
          <w:rFonts w:hint="eastAsia" w:ascii="宋体" w:hAnsi="宋体" w:eastAsia="宋体" w:cs="宋体"/>
          <w:b w:val="0"/>
          <w:bCs/>
          <w:sz w:val="44"/>
          <w:szCs w:val="44"/>
        </w:rPr>
      </w:pPr>
      <w:r>
        <w:rPr>
          <w:rFonts w:hint="eastAsia" w:ascii="宋体" w:hAnsi="宋体" w:eastAsia="宋体" w:cs="宋体"/>
          <w:b w:val="0"/>
          <w:bCs/>
          <w:sz w:val="44"/>
          <w:szCs w:val="44"/>
        </w:rPr>
        <w:t>202</w:t>
      </w:r>
      <w:r>
        <w:rPr>
          <w:rFonts w:hint="eastAsia" w:ascii="宋体" w:hAnsi="宋体" w:cs="宋体"/>
          <w:b w:val="0"/>
          <w:bCs/>
          <w:sz w:val="44"/>
          <w:szCs w:val="44"/>
          <w:lang w:val="en-US" w:eastAsia="zh-CN"/>
        </w:rPr>
        <w:t>6</w:t>
      </w:r>
      <w:r>
        <w:rPr>
          <w:rFonts w:hint="eastAsia" w:ascii="宋体" w:hAnsi="宋体" w:eastAsia="宋体" w:cs="宋体"/>
          <w:b w:val="0"/>
          <w:bCs/>
          <w:sz w:val="44"/>
          <w:szCs w:val="44"/>
        </w:rPr>
        <w:t>年</w:t>
      </w:r>
      <w:r>
        <w:rPr>
          <w:rFonts w:hint="eastAsia" w:ascii="宋体" w:hAnsi="宋体" w:cs="宋体"/>
          <w:b w:val="0"/>
          <w:bCs/>
          <w:sz w:val="44"/>
          <w:szCs w:val="44"/>
          <w:lang w:val="en-US" w:eastAsia="zh-CN"/>
        </w:rPr>
        <w:t>6</w:t>
      </w:r>
      <w:r>
        <w:rPr>
          <w:rFonts w:hint="eastAsia" w:ascii="宋体" w:hAnsi="宋体" w:eastAsia="宋体" w:cs="宋体"/>
          <w:b w:val="0"/>
          <w:bCs/>
          <w:sz w:val="44"/>
          <w:szCs w:val="44"/>
        </w:rPr>
        <w:t>月</w:t>
      </w:r>
    </w:p>
    <w:p>
      <w:pPr>
        <w:ind w:firstLine="0" w:firstLineChars="0"/>
      </w:pPr>
    </w:p>
    <w:p>
      <w:pPr>
        <w:pStyle w:val="10"/>
        <w:ind w:firstLine="0" w:firstLineChars="0"/>
        <w:jc w:val="both"/>
        <w:rPr>
          <w:b/>
          <w:sz w:val="30"/>
          <w:szCs w:val="30"/>
        </w:rPr>
      </w:pPr>
    </w:p>
    <w:p>
      <w:pPr>
        <w:ind w:firstLine="0" w:firstLineChars="0"/>
        <w:rPr>
          <w:b/>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pgNumType w:fmt="upperRoman" w:start="1"/>
          <w:cols w:space="720" w:num="1"/>
          <w:docGrid w:type="lines" w:linePitch="312" w:charSpace="0"/>
        </w:sectPr>
      </w:pPr>
    </w:p>
    <w:p>
      <w:pPr>
        <w:spacing w:line="240" w:lineRule="auto"/>
        <w:ind w:firstLine="0" w:firstLineChars="0"/>
        <w:jc w:val="center"/>
        <w:rPr>
          <w:rFonts w:hint="eastAsia" w:eastAsia="仿宋"/>
          <w:b w:val="0"/>
          <w:bCs/>
          <w:sz w:val="48"/>
          <w:szCs w:val="48"/>
          <w:lang w:val="en-US" w:eastAsia="zh-CN"/>
        </w:rPr>
      </w:pPr>
    </w:p>
    <w:p>
      <w:pPr>
        <w:spacing w:line="240" w:lineRule="auto"/>
        <w:ind w:firstLine="0" w:firstLineChars="0"/>
        <w:jc w:val="center"/>
        <w:rPr>
          <w:rFonts w:hint="eastAsia" w:eastAsia="仿宋"/>
          <w:b w:val="0"/>
          <w:bCs/>
          <w:sz w:val="48"/>
          <w:szCs w:val="48"/>
          <w:lang w:val="en-US" w:eastAsia="zh-CN"/>
        </w:rPr>
      </w:pPr>
      <w:r>
        <w:rPr>
          <w:rFonts w:hint="eastAsia" w:eastAsia="仿宋"/>
          <w:b w:val="0"/>
          <w:bCs/>
          <w:sz w:val="48"/>
          <w:szCs w:val="48"/>
          <w:lang w:val="en-US" w:eastAsia="zh-CN"/>
        </w:rPr>
        <w:t>桦川县马库力恒瑞采石场有限公司</w:t>
      </w:r>
    </w:p>
    <w:p>
      <w:pPr>
        <w:spacing w:line="360" w:lineRule="auto"/>
        <w:ind w:firstLine="0" w:firstLineChars="0"/>
        <w:jc w:val="center"/>
        <w:rPr>
          <w:rFonts w:eastAsia="仿宋"/>
          <w:b w:val="0"/>
          <w:bCs/>
          <w:sz w:val="48"/>
          <w:szCs w:val="48"/>
        </w:rPr>
      </w:pPr>
      <w:r>
        <w:rPr>
          <w:rFonts w:hint="eastAsia" w:eastAsia="仿宋"/>
          <w:b w:val="0"/>
          <w:bCs/>
          <w:sz w:val="48"/>
          <w:szCs w:val="48"/>
          <w:lang w:val="en-US" w:eastAsia="zh-CN"/>
        </w:rPr>
        <w:t>桦川县马库力山采石场</w:t>
      </w:r>
    </w:p>
    <w:p>
      <w:pPr>
        <w:spacing w:line="360" w:lineRule="auto"/>
        <w:ind w:firstLine="0" w:firstLineChars="0"/>
        <w:jc w:val="center"/>
        <w:rPr>
          <w:b/>
          <w:sz w:val="52"/>
          <w:szCs w:val="52"/>
        </w:rPr>
      </w:pPr>
      <w:r>
        <w:rPr>
          <w:rFonts w:eastAsia="黑体"/>
          <w:bCs/>
          <w:sz w:val="52"/>
          <w:szCs w:val="52"/>
        </w:rPr>
        <w:t>矿区生态修复方案</w:t>
      </w: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tabs>
          <w:tab w:val="left" w:pos="1920"/>
          <w:tab w:val="left" w:pos="2400"/>
        </w:tabs>
        <w:bidi w:val="0"/>
        <w:ind w:left="2100" w:leftChars="0" w:firstLine="420" w:firstLineChars="0"/>
        <w:rPr>
          <w:rFonts w:hint="default" w:ascii="宋体" w:hAnsi="宋体" w:eastAsia="宋体" w:cs="宋体"/>
          <w:sz w:val="32"/>
          <w:szCs w:val="32"/>
          <w:lang w:val="en-US" w:eastAsia="zh-CN"/>
        </w:rPr>
      </w:pPr>
      <w:r>
        <w:rPr>
          <w:rFonts w:hint="eastAsia" w:ascii="宋体" w:hAnsi="宋体" w:eastAsia="宋体" w:cs="宋体"/>
          <w:spacing w:val="53"/>
          <w:kern w:val="0"/>
          <w:sz w:val="32"/>
          <w:szCs w:val="32"/>
          <w:fitText w:val="1600" w:id="1351287215"/>
        </w:rPr>
        <w:t>编制单</w:t>
      </w:r>
      <w:r>
        <w:rPr>
          <w:rFonts w:hint="eastAsia" w:ascii="宋体" w:hAnsi="宋体" w:eastAsia="宋体" w:cs="宋体"/>
          <w:spacing w:val="1"/>
          <w:kern w:val="0"/>
          <w:sz w:val="32"/>
          <w:szCs w:val="32"/>
          <w:fitText w:val="1600" w:id="1351287215"/>
        </w:rPr>
        <w:t>位</w:t>
      </w:r>
      <w:r>
        <w:rPr>
          <w:rFonts w:hint="eastAsia" w:ascii="宋体" w:hAnsi="宋体" w:eastAsia="宋体" w:cs="宋体"/>
          <w:sz w:val="32"/>
          <w:szCs w:val="32"/>
        </w:rPr>
        <w:t>：</w:t>
      </w:r>
      <w:r>
        <w:rPr>
          <w:rFonts w:hint="eastAsia" w:ascii="宋体" w:hAnsi="宋体" w:eastAsia="宋体" w:cs="宋体"/>
          <w:sz w:val="32"/>
          <w:szCs w:val="32"/>
          <w:lang w:val="en-US" w:eastAsia="zh-CN"/>
        </w:rPr>
        <w:t>黑龙江省第六地质勘查院</w:t>
      </w:r>
    </w:p>
    <w:p>
      <w:pPr>
        <w:tabs>
          <w:tab w:val="left" w:pos="1920"/>
        </w:tabs>
        <w:bidi w:val="0"/>
        <w:ind w:left="2100" w:leftChars="0" w:firstLine="420" w:firstLineChars="0"/>
        <w:rPr>
          <w:rFonts w:hint="eastAsia" w:ascii="宋体" w:hAnsi="宋体" w:eastAsia="宋体" w:cs="宋体"/>
          <w:sz w:val="32"/>
          <w:szCs w:val="32"/>
          <w:lang w:eastAsia="zh-CN"/>
        </w:rPr>
      </w:pPr>
      <w:r>
        <w:rPr>
          <w:rFonts w:hint="eastAsia" w:ascii="宋体" w:hAnsi="宋体" w:eastAsia="宋体" w:cs="宋体"/>
          <w:spacing w:val="0"/>
          <w:kern w:val="0"/>
          <w:sz w:val="32"/>
          <w:szCs w:val="32"/>
          <w:fitText w:val="1600" w:id="408111840"/>
        </w:rPr>
        <w:t>法定代表人</w:t>
      </w:r>
      <w:r>
        <w:rPr>
          <w:rFonts w:hint="eastAsia" w:ascii="宋体" w:hAnsi="宋体" w:eastAsia="宋体" w:cs="宋体"/>
          <w:sz w:val="32"/>
          <w:szCs w:val="32"/>
        </w:rPr>
        <w:t>：</w:t>
      </w:r>
      <w:r>
        <w:rPr>
          <w:rFonts w:hint="eastAsia" w:ascii="宋体" w:hAnsi="宋体" w:eastAsia="宋体" w:cs="宋体"/>
          <w:sz w:val="32"/>
          <w:szCs w:val="32"/>
          <w:lang w:val="en-US" w:eastAsia="zh-CN"/>
        </w:rPr>
        <w:t>张振海</w:t>
      </w:r>
    </w:p>
    <w:p>
      <w:pPr>
        <w:tabs>
          <w:tab w:val="left" w:pos="1920"/>
        </w:tabs>
        <w:bidi w:val="0"/>
        <w:ind w:left="2100" w:leftChars="0" w:firstLine="420" w:firstLineChars="0"/>
        <w:rPr>
          <w:rFonts w:hint="eastAsia" w:ascii="宋体" w:hAnsi="宋体" w:eastAsia="宋体" w:cs="宋体"/>
          <w:sz w:val="32"/>
          <w:szCs w:val="32"/>
          <w:lang w:val="en-US" w:eastAsia="zh-CN"/>
        </w:rPr>
      </w:pPr>
      <w:r>
        <w:rPr>
          <w:rFonts w:hint="eastAsia" w:ascii="宋体" w:hAnsi="宋体" w:eastAsia="宋体" w:cs="宋体"/>
          <w:spacing w:val="53"/>
          <w:kern w:val="0"/>
          <w:sz w:val="32"/>
          <w:szCs w:val="32"/>
          <w:fitText w:val="1600" w:id="532617572"/>
        </w:rPr>
        <w:t>总工程</w:t>
      </w:r>
      <w:r>
        <w:rPr>
          <w:rFonts w:hint="eastAsia" w:ascii="宋体" w:hAnsi="宋体" w:eastAsia="宋体" w:cs="宋体"/>
          <w:spacing w:val="1"/>
          <w:kern w:val="0"/>
          <w:sz w:val="32"/>
          <w:szCs w:val="32"/>
          <w:fitText w:val="1600" w:id="532617572"/>
        </w:rPr>
        <w:t>师</w:t>
      </w:r>
      <w:r>
        <w:rPr>
          <w:rFonts w:hint="eastAsia" w:ascii="宋体" w:hAnsi="宋体" w:eastAsia="宋体" w:cs="宋体"/>
          <w:sz w:val="32"/>
          <w:szCs w:val="32"/>
        </w:rPr>
        <w:t>：</w:t>
      </w:r>
      <w:r>
        <w:rPr>
          <w:rFonts w:hint="eastAsia" w:ascii="宋体" w:hAnsi="宋体" w:eastAsia="宋体" w:cs="宋体"/>
          <w:sz w:val="32"/>
          <w:szCs w:val="32"/>
          <w:lang w:val="en-US" w:eastAsia="zh-CN"/>
        </w:rPr>
        <w:t>于庆阳</w:t>
      </w:r>
    </w:p>
    <w:p>
      <w:pPr>
        <w:tabs>
          <w:tab w:val="left" w:pos="1920"/>
        </w:tabs>
        <w:bidi w:val="0"/>
        <w:ind w:left="2100" w:leftChars="0" w:firstLine="420" w:firstLineChars="0"/>
        <w:rPr>
          <w:rFonts w:hint="eastAsia" w:ascii="宋体" w:hAnsi="宋体" w:eastAsia="宋体" w:cs="宋体"/>
          <w:sz w:val="32"/>
          <w:szCs w:val="32"/>
          <w:lang w:eastAsia="zh-CN"/>
        </w:rPr>
      </w:pPr>
      <w:r>
        <w:rPr>
          <w:rFonts w:hint="eastAsia" w:ascii="宋体" w:hAnsi="宋体" w:eastAsia="宋体" w:cs="宋体"/>
          <w:color w:val="000000"/>
          <w:spacing w:val="0"/>
          <w:kern w:val="0"/>
          <w:sz w:val="32"/>
          <w:szCs w:val="32"/>
          <w:fitText w:val="1600" w:id="1344169752"/>
        </w:rPr>
        <w:t>项目负责人</w:t>
      </w:r>
      <w:r>
        <w:rPr>
          <w:rFonts w:hint="eastAsia" w:ascii="宋体" w:hAnsi="宋体" w:eastAsia="宋体" w:cs="宋体"/>
          <w:color w:val="000000"/>
          <w:sz w:val="32"/>
          <w:szCs w:val="32"/>
        </w:rPr>
        <w:t>：</w:t>
      </w:r>
      <w:r>
        <w:rPr>
          <w:rFonts w:hint="eastAsia" w:ascii="宋体" w:hAnsi="宋体" w:eastAsia="宋体" w:cs="宋体"/>
          <w:color w:val="000000"/>
          <w:sz w:val="32"/>
          <w:szCs w:val="32"/>
          <w:lang w:val="en-US" w:eastAsia="zh-CN"/>
        </w:rPr>
        <w:t>丁立法</w:t>
      </w:r>
    </w:p>
    <w:p>
      <w:pPr>
        <w:bidi w:val="0"/>
      </w:pPr>
    </w:p>
    <w:p>
      <w:pPr>
        <w:bidi w:val="0"/>
      </w:pPr>
    </w:p>
    <w:p>
      <w:pPr>
        <w:bidi w:val="0"/>
      </w:pPr>
    </w:p>
    <w:p>
      <w:pPr>
        <w:bidi w:val="0"/>
      </w:pPr>
    </w:p>
    <w:p>
      <w:pPr>
        <w:pStyle w:val="10"/>
        <w:ind w:left="0" w:leftChars="0" w:firstLine="0" w:firstLineChars="0"/>
        <w:jc w:val="both"/>
      </w:pPr>
    </w:p>
    <w:p>
      <w:pPr>
        <w:ind w:firstLine="480"/>
        <w:sectPr>
          <w:footerReference r:id="rId11" w:type="default"/>
          <w:pgSz w:w="11906" w:h="16838"/>
          <w:pgMar w:top="1440" w:right="1080" w:bottom="1440" w:left="1080" w:header="851" w:footer="992" w:gutter="0"/>
          <w:pgNumType w:fmt="upperRoman" w:start="1"/>
          <w:cols w:space="720" w:num="1"/>
          <w:docGrid w:type="lines" w:linePitch="312" w:charSpace="0"/>
        </w:sectPr>
      </w:pPr>
    </w:p>
    <w:p>
      <w:pPr>
        <w:pStyle w:val="8"/>
        <w:bidi w:val="0"/>
        <w:rPr>
          <w:sz w:val="28"/>
          <w:szCs w:val="28"/>
        </w:rPr>
      </w:pPr>
      <w:r>
        <w:rPr>
          <w:sz w:val="28"/>
          <w:szCs w:val="28"/>
        </w:rPr>
        <w:t>矿区生态修复</w:t>
      </w:r>
      <w:r>
        <w:rPr>
          <w:rFonts w:hint="eastAsia"/>
          <w:sz w:val="28"/>
          <w:szCs w:val="28"/>
        </w:rPr>
        <w:t>方案编制信息表</w:t>
      </w:r>
    </w:p>
    <w:tbl>
      <w:tblPr>
        <w:tblStyle w:val="16"/>
        <w:tblW w:w="97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0"/>
        <w:gridCol w:w="1009"/>
        <w:gridCol w:w="1174"/>
        <w:gridCol w:w="1451"/>
        <w:gridCol w:w="1185"/>
        <w:gridCol w:w="1328"/>
        <w:gridCol w:w="417"/>
        <w:gridCol w:w="1045"/>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exact"/>
          <w:jc w:val="center"/>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w:t>
            </w:r>
          </w:p>
          <w:p>
            <w:pPr>
              <w:pStyle w:val="27"/>
              <w:bidi w:val="0"/>
              <w:rPr>
                <w:sz w:val="22"/>
                <w:szCs w:val="24"/>
              </w:rPr>
            </w:pPr>
            <w:r>
              <w:rPr>
                <w:rFonts w:hint="eastAsia"/>
                <w:sz w:val="22"/>
                <w:szCs w:val="24"/>
              </w:rPr>
              <w:t>矿</w:t>
            </w:r>
          </w:p>
          <w:p>
            <w:pPr>
              <w:pStyle w:val="27"/>
              <w:bidi w:val="0"/>
              <w:rPr>
                <w:sz w:val="22"/>
                <w:szCs w:val="24"/>
              </w:rPr>
            </w:pPr>
            <w:r>
              <w:rPr>
                <w:rFonts w:hint="eastAsia"/>
                <w:sz w:val="22"/>
                <w:szCs w:val="24"/>
              </w:rPr>
              <w:t>权</w:t>
            </w:r>
          </w:p>
          <w:p>
            <w:pPr>
              <w:pStyle w:val="27"/>
              <w:bidi w:val="0"/>
              <w:rPr>
                <w:sz w:val="22"/>
                <w:szCs w:val="24"/>
              </w:rPr>
            </w:pPr>
            <w:r>
              <w:rPr>
                <w:rFonts w:hint="eastAsia"/>
                <w:sz w:val="22"/>
                <w:szCs w:val="24"/>
              </w:rPr>
              <w:t>人</w:t>
            </w:r>
          </w:p>
          <w:p>
            <w:pPr>
              <w:pStyle w:val="27"/>
              <w:bidi w:val="0"/>
              <w:rPr>
                <w:sz w:val="22"/>
                <w:szCs w:val="24"/>
              </w:rPr>
            </w:pPr>
            <w:r>
              <w:rPr>
                <w:rFonts w:hint="eastAsia"/>
                <w:sz w:val="22"/>
                <w:szCs w:val="24"/>
              </w:rPr>
              <w:t>信</w:t>
            </w:r>
          </w:p>
          <w:p>
            <w:pPr>
              <w:pStyle w:val="27"/>
              <w:bidi w:val="0"/>
              <w:rPr>
                <w:sz w:val="22"/>
                <w:szCs w:val="24"/>
              </w:rPr>
            </w:pPr>
            <w:r>
              <w:rPr>
                <w:rFonts w:hint="eastAsia"/>
                <w:sz w:val="22"/>
                <w:szCs w:val="24"/>
              </w:rPr>
              <w:t>息</w:t>
            </w: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采矿权人名称</w:t>
            </w:r>
          </w:p>
        </w:tc>
        <w:tc>
          <w:tcPr>
            <w:tcW w:w="6745"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桦川县马库力恒瑞采石场有限公司（加盖矿业权人公章）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统一社会信用代码</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91230826MACC9EMC5N</w:t>
            </w:r>
          </w:p>
        </w:tc>
        <w:tc>
          <w:tcPr>
            <w:tcW w:w="174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联系人</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eastAsia="宋体"/>
                <w:sz w:val="22"/>
                <w:szCs w:val="24"/>
                <w:lang w:eastAsia="zh-CN"/>
              </w:rPr>
            </w:pPr>
            <w:r>
              <w:rPr>
                <w:rFonts w:hint="eastAsia"/>
                <w:sz w:val="22"/>
                <w:szCs w:val="24"/>
                <w:lang w:val="en-US" w:eastAsia="zh-CN"/>
              </w:rPr>
              <w:t>曾庆龙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联系地址</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sz w:val="22"/>
                <w:szCs w:val="24"/>
              </w:rPr>
            </w:pPr>
            <w:r>
              <w:rPr>
                <w:rFonts w:hint="eastAsia"/>
                <w:sz w:val="22"/>
                <w:szCs w:val="24"/>
              </w:rPr>
              <w:t>黑龙江省佳木斯市桦川县悦来镇马库力村</w:t>
            </w:r>
          </w:p>
          <w:p>
            <w:pPr>
              <w:pStyle w:val="27"/>
              <w:bidi w:val="0"/>
              <w:rPr>
                <w:sz w:val="22"/>
                <w:szCs w:val="24"/>
              </w:rPr>
            </w:pPr>
          </w:p>
        </w:tc>
        <w:tc>
          <w:tcPr>
            <w:tcW w:w="174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联系电话</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sz w:val="22"/>
                <w:szCs w:val="24"/>
                <w:lang w:val="en-US" w:eastAsia="zh-CN"/>
              </w:rPr>
            </w:pPr>
            <w:r>
              <w:rPr>
                <w:rFonts w:hint="eastAsia"/>
                <w:color w:val="auto"/>
                <w:sz w:val="22"/>
                <w:szCs w:val="24"/>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采矿权证证号</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lang w:val="en-US" w:eastAsia="zh-CN"/>
              </w:rPr>
              <w:t>C2308262024067150157019</w:t>
            </w:r>
          </w:p>
        </w:tc>
        <w:tc>
          <w:tcPr>
            <w:tcW w:w="174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开采方式</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露天开采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8"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采矿权面积</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lang w:val="en-US" w:eastAsia="zh-CN"/>
              </w:rPr>
              <w:t>*.****</w:t>
            </w:r>
            <w:r>
              <w:rPr>
                <w:sz w:val="22"/>
                <w:szCs w:val="24"/>
              </w:rPr>
              <w:t>平方公里</w:t>
            </w:r>
          </w:p>
        </w:tc>
        <w:tc>
          <w:tcPr>
            <w:tcW w:w="174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采矿权拐点</w:t>
            </w:r>
          </w:p>
          <w:p>
            <w:pPr>
              <w:pStyle w:val="27"/>
              <w:bidi w:val="0"/>
              <w:rPr>
                <w:sz w:val="22"/>
                <w:szCs w:val="24"/>
              </w:rPr>
            </w:pPr>
            <w:r>
              <w:rPr>
                <w:rFonts w:hint="eastAsia"/>
                <w:sz w:val="22"/>
                <w:szCs w:val="24"/>
              </w:rPr>
              <w:t>坐标</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eastAsia="宋体"/>
                <w:sz w:val="22"/>
                <w:szCs w:val="24"/>
                <w:lang w:val="en-US" w:eastAsia="zh-CN"/>
              </w:rPr>
            </w:pPr>
            <w:r>
              <w:rPr>
                <w:rFonts w:hint="eastAsia"/>
                <w:sz w:val="22"/>
                <w:szCs w:val="24"/>
                <w:lang w:val="en-US" w:eastAsia="zh-CN"/>
              </w:rPr>
              <w:t>详见附件7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采矿权有效期</w:t>
            </w:r>
          </w:p>
        </w:tc>
        <w:tc>
          <w:tcPr>
            <w:tcW w:w="6745"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sz w:val="22"/>
                <w:szCs w:val="24"/>
                <w:lang w:val="en-US" w:eastAsia="zh-CN"/>
              </w:rPr>
            </w:pPr>
            <w:r>
              <w:rPr>
                <w:rFonts w:hint="eastAsia"/>
                <w:sz w:val="22"/>
                <w:szCs w:val="24"/>
                <w:lang w:val="en-US" w:eastAsia="zh-CN"/>
              </w:rPr>
              <w:t>2024年6月29日—2029年6月29日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6"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开采矿种</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sz w:val="22"/>
                <w:szCs w:val="24"/>
                <w:lang w:eastAsia="zh-CN"/>
              </w:rPr>
            </w:pPr>
            <w:r>
              <w:rPr>
                <w:rFonts w:hint="eastAsia"/>
                <w:sz w:val="22"/>
                <w:szCs w:val="24"/>
              </w:rPr>
              <w:t>建筑用</w:t>
            </w:r>
            <w:r>
              <w:rPr>
                <w:rFonts w:hint="eastAsia"/>
                <w:sz w:val="22"/>
                <w:szCs w:val="24"/>
                <w:lang w:val="en-US" w:eastAsia="zh-CN"/>
              </w:rPr>
              <w:t>花岗岩</w:t>
            </w:r>
          </w:p>
        </w:tc>
        <w:tc>
          <w:tcPr>
            <w:tcW w:w="174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其他矿种</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exact"/>
          <w:jc w:val="center"/>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27"/>
              <w:bidi w:val="0"/>
              <w:rPr>
                <w:sz w:val="22"/>
                <w:szCs w:val="24"/>
              </w:rPr>
            </w:pPr>
          </w:p>
        </w:tc>
        <w:tc>
          <w:tcPr>
            <w:tcW w:w="2183" w:type="dxa"/>
            <w:gridSpan w:val="2"/>
            <w:tcBorders>
              <w:left w:val="single" w:color="000000" w:sz="4" w:space="0"/>
              <w:right w:val="single" w:color="000000" w:sz="4" w:space="0"/>
            </w:tcBorders>
            <w:noWrap w:val="0"/>
            <w:vAlign w:val="center"/>
          </w:tcPr>
          <w:p>
            <w:pPr>
              <w:pStyle w:val="27"/>
              <w:bidi w:val="0"/>
              <w:rPr>
                <w:sz w:val="22"/>
                <w:szCs w:val="24"/>
              </w:rPr>
            </w:pPr>
            <w:r>
              <w:rPr>
                <w:rFonts w:hint="eastAsia"/>
                <w:sz w:val="22"/>
                <w:szCs w:val="24"/>
              </w:rPr>
              <w:t>方案编制情形</w:t>
            </w:r>
          </w:p>
        </w:tc>
        <w:tc>
          <w:tcPr>
            <w:tcW w:w="6745"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27"/>
              <w:bidi w:val="0"/>
              <w:jc w:val="left"/>
              <w:rPr>
                <w:sz w:val="22"/>
                <w:szCs w:val="24"/>
              </w:rPr>
            </w:pPr>
            <w:r>
              <w:rPr>
                <w:rFonts w:hint="eastAsia"/>
                <w:sz w:val="22"/>
                <w:szCs w:val="24"/>
                <w:lang w:eastAsia="zh-CN"/>
              </w:rPr>
              <w:t>□</w:t>
            </w:r>
            <w:r>
              <w:rPr>
                <w:rFonts w:hint="eastAsia"/>
                <w:sz w:val="22"/>
                <w:szCs w:val="24"/>
              </w:rPr>
              <w:t xml:space="preserve">首次申请采矿许可  </w:t>
            </w:r>
            <w:r>
              <w:rPr>
                <w:rFonts w:hint="eastAsia"/>
                <w:sz w:val="22"/>
                <w:szCs w:val="24"/>
                <w:lang w:eastAsia="zh-CN"/>
              </w:rPr>
              <w:t>□</w:t>
            </w:r>
            <w:r>
              <w:rPr>
                <w:rFonts w:hint="eastAsia"/>
                <w:sz w:val="22"/>
                <w:szCs w:val="24"/>
              </w:rPr>
              <w:t xml:space="preserve">扩大开采区域     □缩小开采区域     □变更开采方式  □变更开采主要矿种  □延续   </w:t>
            </w:r>
            <w:r>
              <w:rPr>
                <w:rFonts w:hint="eastAsia"/>
                <w:sz w:val="22"/>
                <w:szCs w:val="24"/>
                <w:lang w:eastAsia="zh-CN"/>
              </w:rPr>
              <w:t>☑</w:t>
            </w:r>
            <w:r>
              <w:rPr>
                <w:rFonts w:hint="eastAsia"/>
                <w:sz w:val="22"/>
                <w:szCs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exact"/>
          <w:jc w:val="center"/>
        </w:trPr>
        <w:tc>
          <w:tcPr>
            <w:tcW w:w="790" w:type="dxa"/>
            <w:vMerge w:val="restart"/>
            <w:tcBorders>
              <w:top w:val="single" w:color="000000" w:sz="4" w:space="0"/>
              <w:left w:val="single" w:color="000000" w:sz="4" w:space="0"/>
              <w:right w:val="single" w:color="000000" w:sz="4" w:space="0"/>
            </w:tcBorders>
            <w:noWrap w:val="0"/>
            <w:vAlign w:val="center"/>
          </w:tcPr>
          <w:p>
            <w:pPr>
              <w:pStyle w:val="27"/>
              <w:bidi w:val="0"/>
              <w:rPr>
                <w:sz w:val="22"/>
                <w:szCs w:val="24"/>
              </w:rPr>
            </w:pPr>
            <w:r>
              <w:rPr>
                <w:rFonts w:hint="eastAsia"/>
                <w:sz w:val="22"/>
                <w:szCs w:val="24"/>
              </w:rPr>
              <w:t>方</w:t>
            </w:r>
          </w:p>
          <w:p>
            <w:pPr>
              <w:pStyle w:val="27"/>
              <w:bidi w:val="0"/>
              <w:rPr>
                <w:sz w:val="22"/>
                <w:szCs w:val="24"/>
              </w:rPr>
            </w:pPr>
            <w:r>
              <w:rPr>
                <w:rFonts w:hint="eastAsia"/>
                <w:sz w:val="22"/>
                <w:szCs w:val="24"/>
              </w:rPr>
              <w:t>案</w:t>
            </w:r>
          </w:p>
          <w:p>
            <w:pPr>
              <w:pStyle w:val="27"/>
              <w:bidi w:val="0"/>
              <w:rPr>
                <w:sz w:val="22"/>
                <w:szCs w:val="24"/>
              </w:rPr>
            </w:pPr>
            <w:r>
              <w:rPr>
                <w:rFonts w:hint="eastAsia"/>
                <w:sz w:val="22"/>
                <w:szCs w:val="24"/>
              </w:rPr>
              <w:t>编</w:t>
            </w:r>
          </w:p>
          <w:p>
            <w:pPr>
              <w:pStyle w:val="27"/>
              <w:bidi w:val="0"/>
              <w:rPr>
                <w:sz w:val="22"/>
                <w:szCs w:val="24"/>
              </w:rPr>
            </w:pPr>
            <w:r>
              <w:rPr>
                <w:rFonts w:hint="eastAsia"/>
                <w:sz w:val="22"/>
                <w:szCs w:val="24"/>
              </w:rPr>
              <w:t>制</w:t>
            </w:r>
          </w:p>
          <w:p>
            <w:pPr>
              <w:pStyle w:val="27"/>
              <w:bidi w:val="0"/>
              <w:rPr>
                <w:sz w:val="22"/>
                <w:szCs w:val="24"/>
              </w:rPr>
            </w:pPr>
            <w:r>
              <w:rPr>
                <w:rFonts w:hint="eastAsia"/>
                <w:sz w:val="22"/>
                <w:szCs w:val="24"/>
              </w:rPr>
              <w:t>单</w:t>
            </w:r>
          </w:p>
          <w:p>
            <w:pPr>
              <w:pStyle w:val="27"/>
              <w:bidi w:val="0"/>
              <w:rPr>
                <w:sz w:val="22"/>
                <w:szCs w:val="24"/>
              </w:rPr>
            </w:pPr>
            <w:r>
              <w:rPr>
                <w:rFonts w:hint="eastAsia"/>
                <w:sz w:val="22"/>
                <w:szCs w:val="24"/>
              </w:rPr>
              <w:t>位</w:t>
            </w: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单位名称</w:t>
            </w:r>
          </w:p>
        </w:tc>
        <w:tc>
          <w:tcPr>
            <w:tcW w:w="6745"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黑龙江省第六地质勘查院（签章）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统一社会信用代码</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91230103MADQRE464F</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联系人</w:t>
            </w:r>
          </w:p>
        </w:tc>
        <w:tc>
          <w:tcPr>
            <w:tcW w:w="2781"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丁立法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218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联系地址</w:t>
            </w:r>
          </w:p>
        </w:tc>
        <w:tc>
          <w:tcPr>
            <w:tcW w:w="26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佳木斯市前进区和平路218号</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联系电话</w:t>
            </w:r>
          </w:p>
        </w:tc>
        <w:tc>
          <w:tcPr>
            <w:tcW w:w="2781"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8928" w:type="dxa"/>
            <w:gridSpan w:val="8"/>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编制负责人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姓名</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身份证号</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专业</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职务/</w:t>
            </w:r>
          </w:p>
          <w:p>
            <w:pPr>
              <w:pStyle w:val="27"/>
              <w:bidi w:val="0"/>
              <w:rPr>
                <w:sz w:val="22"/>
                <w:szCs w:val="24"/>
              </w:rPr>
            </w:pPr>
            <w:r>
              <w:rPr>
                <w:rFonts w:hint="eastAsia"/>
                <w:sz w:val="22"/>
                <w:szCs w:val="24"/>
              </w:rPr>
              <w:t>职称</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联系电话</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丁立法</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测绘工程</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高级工程师</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rFonts w:hint="eastAsia" w:eastAsia="宋体"/>
                <w:sz w:val="22"/>
                <w:szCs w:val="24"/>
                <w:lang w:eastAsia="zh-CN"/>
              </w:rPr>
            </w:pPr>
            <w:r>
              <w:rPr>
                <w:rFonts w:hint="eastAsia" w:eastAsia="宋体"/>
                <w:sz w:val="22"/>
                <w:szCs w:val="24"/>
                <w:lang w:eastAsia="zh-CN"/>
              </w:rPr>
              <w:pict>
                <v:shape id="_x0000_i1025" o:spt="75" alt="丁立法" type="#_x0000_t75" style="height:31.05pt;width:55pt;" filled="f" o:preferrelative="t" stroked="f" coordsize="21600,21600">
                  <v:path/>
                  <v:fill on="f" focussize="0,0"/>
                  <v:stroke on="f"/>
                  <v:imagedata r:id="rId20" gain="192752f" blacklevel="11796f" chromakey="#A09F9D" o:title="丁立法"/>
                  <o:lock v:ext="edit" aspectratio="t"/>
                  <w10:wrap type="none"/>
                  <w10:anchorlock/>
                </v:shape>
              </w:pic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8928" w:type="dxa"/>
            <w:gridSpan w:val="8"/>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主要编制人员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姓名</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身份证号</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专业</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职务/</w:t>
            </w:r>
          </w:p>
          <w:p>
            <w:pPr>
              <w:pStyle w:val="27"/>
              <w:bidi w:val="0"/>
              <w:rPr>
                <w:sz w:val="22"/>
                <w:szCs w:val="24"/>
              </w:rPr>
            </w:pPr>
            <w:r>
              <w:rPr>
                <w:rFonts w:hint="eastAsia"/>
                <w:sz w:val="22"/>
                <w:szCs w:val="24"/>
              </w:rPr>
              <w:t>职称</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联系电话</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陈</w:t>
            </w:r>
            <w:r>
              <w:rPr>
                <w:rFonts w:hint="eastAsia"/>
                <w:sz w:val="22"/>
                <w:szCs w:val="24"/>
                <w:lang w:val="en-US" w:eastAsia="zh-CN"/>
              </w:rPr>
              <w:t xml:space="preserve">  </w:t>
            </w:r>
            <w:r>
              <w:rPr>
                <w:rFonts w:hint="eastAsia"/>
                <w:sz w:val="22"/>
                <w:szCs w:val="24"/>
              </w:rPr>
              <w:t>鹏</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测绘工程</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高级工程师</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rFonts w:hint="eastAsia" w:eastAsia="宋体"/>
                <w:sz w:val="22"/>
                <w:szCs w:val="24"/>
                <w:lang w:eastAsia="zh-CN"/>
              </w:rPr>
            </w:pPr>
            <w:r>
              <w:rPr>
                <w:rFonts w:hint="eastAsia" w:eastAsia="宋体"/>
                <w:sz w:val="22"/>
                <w:szCs w:val="24"/>
                <w:lang w:eastAsia="zh-CN"/>
              </w:rPr>
              <w:pict>
                <v:shape id="_x0000_i1039" o:spt="75" alt="陈鹏" type="#_x0000_t75" style="height:27.3pt;width:54.9pt;" filled="f" o:preferrelative="t" stroked="f" coordsize="21600,21600">
                  <v:path/>
                  <v:fill on="f" focussize="0,0"/>
                  <v:stroke on="f"/>
                  <v:imagedata r:id="rId21" gain="1638399f" grayscale="t" bilevel="t" o:title="陈鹏"/>
                  <o:lock v:ext="edit" aspectratio="t"/>
                  <w10:wrap type="none"/>
                  <w10:anchorlock/>
                </v:shape>
              </w:pic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张延悦</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测绘工程</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工程师</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rFonts w:hint="eastAsia" w:eastAsia="宋体"/>
                <w:sz w:val="22"/>
                <w:szCs w:val="24"/>
                <w:lang w:eastAsia="zh-CN"/>
              </w:rPr>
            </w:pPr>
            <w:r>
              <w:rPr>
                <w:rFonts w:hint="eastAsia" w:eastAsia="宋体"/>
                <w:sz w:val="22"/>
                <w:szCs w:val="24"/>
                <w:lang w:eastAsia="zh-CN"/>
              </w:rPr>
              <w:pict>
                <v:shape id="_x0000_i1040" o:spt="75" alt="张延悦" type="#_x0000_t75" style="height:19.95pt;width:55pt;" filled="f" o:preferrelative="t" stroked="f" coordsize="21600,21600">
                  <v:path/>
                  <v:fill on="f" focussize="0,0"/>
                  <v:stroke on="f"/>
                  <v:imagedata r:id="rId22" gain="1638399f" grayscale="t" bilevel="t" o:title="张延悦"/>
                  <o:lock v:ext="edit" aspectratio="t"/>
                  <w10:wrap type="none"/>
                  <w10:anchorlock/>
                </v:shape>
              </w:pic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7" w:hRule="exact"/>
          <w:jc w:val="center"/>
        </w:trPr>
        <w:tc>
          <w:tcPr>
            <w:tcW w:w="790" w:type="dxa"/>
            <w:vMerge w:val="continue"/>
            <w:tcBorders>
              <w:left w:val="single" w:color="000000" w:sz="4" w:space="0"/>
              <w:right w:val="single" w:color="000000" w:sz="4" w:space="0"/>
            </w:tcBorders>
            <w:noWrap w:val="0"/>
            <w:vAlign w:val="top"/>
          </w:tcPr>
          <w:p>
            <w:pPr>
              <w:pStyle w:val="27"/>
              <w:bidi w:val="0"/>
              <w:rPr>
                <w:sz w:val="22"/>
                <w:szCs w:val="24"/>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张</w:t>
            </w:r>
            <w:r>
              <w:rPr>
                <w:rFonts w:hint="eastAsia"/>
                <w:sz w:val="22"/>
                <w:szCs w:val="24"/>
                <w:lang w:val="en-US" w:eastAsia="zh-CN"/>
              </w:rPr>
              <w:t xml:space="preserve">  </w:t>
            </w:r>
            <w:r>
              <w:rPr>
                <w:rFonts w:hint="eastAsia"/>
                <w:sz w:val="22"/>
                <w:szCs w:val="24"/>
              </w:rPr>
              <w:t>奂</w:t>
            </w:r>
          </w:p>
        </w:tc>
        <w:tc>
          <w:tcPr>
            <w:tcW w:w="2625"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测绘工程</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sz w:val="22"/>
                <w:szCs w:val="24"/>
              </w:rPr>
            </w:pPr>
            <w:r>
              <w:rPr>
                <w:rFonts w:hint="eastAsia"/>
                <w:sz w:val="22"/>
                <w:szCs w:val="24"/>
              </w:rPr>
              <w:t>工程师</w:t>
            </w:r>
          </w:p>
        </w:tc>
        <w:tc>
          <w:tcPr>
            <w:tcW w:w="1462"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7"/>
              <w:bidi w:val="0"/>
              <w:rPr>
                <w:sz w:val="22"/>
                <w:szCs w:val="24"/>
              </w:rPr>
            </w:pPr>
            <w:r>
              <w:rPr>
                <w:rFonts w:hint="eastAsia"/>
                <w:sz w:val="22"/>
                <w:szCs w:val="24"/>
              </w:rPr>
              <w:t>***********</w:t>
            </w:r>
          </w:p>
        </w:tc>
        <w:tc>
          <w:tcPr>
            <w:tcW w:w="1319" w:type="dxa"/>
            <w:tcBorders>
              <w:top w:val="single" w:color="000000" w:sz="4" w:space="0"/>
              <w:left w:val="single" w:color="auto" w:sz="4" w:space="0"/>
              <w:bottom w:val="single" w:color="000000" w:sz="4" w:space="0"/>
              <w:right w:val="single" w:color="000000" w:sz="4" w:space="0"/>
            </w:tcBorders>
            <w:noWrap w:val="0"/>
            <w:vAlign w:val="center"/>
          </w:tcPr>
          <w:p>
            <w:pPr>
              <w:pStyle w:val="27"/>
              <w:bidi w:val="0"/>
              <w:rPr>
                <w:rFonts w:hint="eastAsia" w:eastAsia="宋体"/>
                <w:sz w:val="22"/>
                <w:szCs w:val="24"/>
                <w:lang w:eastAsia="zh-CN"/>
              </w:rPr>
            </w:pPr>
            <w:r>
              <w:rPr>
                <w:rFonts w:hint="eastAsia" w:eastAsia="宋体"/>
                <w:sz w:val="22"/>
                <w:szCs w:val="24"/>
                <w:lang w:eastAsia="zh-CN"/>
              </w:rPr>
              <w:pict>
                <v:shape id="_x0000_i1041" o:spt="75" alt="张奂" type="#_x0000_t75" style="height:24.75pt;width:55.05pt;" filled="f" o:preferrelative="t" stroked="f" coordsize="21600,21600">
                  <v:path/>
                  <v:fill on="f" focussize="0,0"/>
                  <v:stroke on="f"/>
                  <v:imagedata r:id="rId23" gain="79921f" grayscale="t" bilevel="t" o:title="张奂"/>
                  <o:lock v:ext="edit" aspectratio="t"/>
                  <w10:wrap type="none"/>
                  <w10:anchorlock/>
                </v:shape>
              </w:pict>
            </w:r>
          </w:p>
        </w:tc>
      </w:tr>
    </w:tbl>
    <w:p>
      <w:pPr>
        <w:rPr>
          <w:sz w:val="28"/>
          <w:szCs w:val="28"/>
        </w:rPr>
      </w:pPr>
      <w:r>
        <w:rPr>
          <w:sz w:val="28"/>
          <w:szCs w:val="28"/>
        </w:rPr>
        <w:br w:type="page"/>
      </w:r>
    </w:p>
    <w:p>
      <w:pPr>
        <w:pStyle w:val="12"/>
        <w:tabs>
          <w:tab w:val="right" w:leader="dot" w:pos="8306"/>
        </w:tabs>
        <w:ind w:firstLine="0" w:firstLineChars="0"/>
        <w:jc w:val="center"/>
        <w:rPr>
          <w:sz w:val="32"/>
          <w:szCs w:val="32"/>
        </w:rPr>
      </w:pPr>
      <w:r>
        <w:rPr>
          <w:b/>
          <w:bCs/>
          <w:sz w:val="32"/>
          <w:szCs w:val="32"/>
        </w:rPr>
        <w:t>目  录</w:t>
      </w:r>
    </w:p>
    <w:p>
      <w:pPr>
        <w:pStyle w:val="12"/>
        <w:tabs>
          <w:tab w:val="right" w:leader="dot" w:pos="9746"/>
        </w:tabs>
      </w:pPr>
      <w:r>
        <w:fldChar w:fldCharType="begin"/>
      </w:r>
      <w:r>
        <w:instrText xml:space="preserve"> TOC \o "1-2" \h \z \u </w:instrText>
      </w:r>
      <w:r>
        <w:fldChar w:fldCharType="separate"/>
      </w:r>
      <w:hyperlink w:anchor="_Toc14666" w:history="1">
        <w:r>
          <w:t>前  言</w:t>
        </w:r>
        <w:r>
          <w:tab/>
        </w:r>
        <w:r>
          <w:fldChar w:fldCharType="begin"/>
        </w:r>
        <w:r>
          <w:instrText xml:space="preserve"> PAGEREF _Toc14666 \h </w:instrText>
        </w:r>
        <w:r>
          <w:fldChar w:fldCharType="separate"/>
        </w:r>
        <w:r>
          <w:t>1</w:t>
        </w:r>
        <w:r>
          <w:fldChar w:fldCharType="end"/>
        </w:r>
      </w:hyperlink>
    </w:p>
    <w:p>
      <w:pPr>
        <w:pStyle w:val="14"/>
        <w:tabs>
          <w:tab w:val="right" w:leader="dot" w:pos="9746"/>
        </w:tabs>
      </w:pPr>
      <w:hyperlink w:anchor="_Toc29614" w:history="1">
        <w:r>
          <w:t>一、编制目的</w:t>
        </w:r>
        <w:r>
          <w:tab/>
        </w:r>
        <w:r>
          <w:fldChar w:fldCharType="begin"/>
        </w:r>
        <w:r>
          <w:instrText xml:space="preserve"> PAGEREF _Toc29614 \h </w:instrText>
        </w:r>
        <w:r>
          <w:fldChar w:fldCharType="separate"/>
        </w:r>
        <w:r>
          <w:t>1</w:t>
        </w:r>
        <w:r>
          <w:fldChar w:fldCharType="end"/>
        </w:r>
      </w:hyperlink>
    </w:p>
    <w:p>
      <w:pPr>
        <w:pStyle w:val="14"/>
        <w:tabs>
          <w:tab w:val="right" w:leader="dot" w:pos="9746"/>
        </w:tabs>
      </w:pPr>
      <w:hyperlink w:anchor="_Toc28106" w:history="1">
        <w:r>
          <w:t>二、编制依据</w:t>
        </w:r>
        <w:r>
          <w:tab/>
        </w:r>
        <w:r>
          <w:fldChar w:fldCharType="begin"/>
        </w:r>
        <w:r>
          <w:instrText xml:space="preserve"> PAGEREF _Toc28106 \h </w:instrText>
        </w:r>
        <w:r>
          <w:fldChar w:fldCharType="separate"/>
        </w:r>
        <w:r>
          <w:t>5</w:t>
        </w:r>
        <w:r>
          <w:fldChar w:fldCharType="end"/>
        </w:r>
      </w:hyperlink>
    </w:p>
    <w:p>
      <w:pPr>
        <w:pStyle w:val="14"/>
        <w:tabs>
          <w:tab w:val="right" w:leader="dot" w:pos="9746"/>
        </w:tabs>
      </w:pPr>
      <w:hyperlink w:anchor="_Toc3086" w:history="1">
        <w:r>
          <w:t>三、服务年限</w:t>
        </w:r>
        <w:r>
          <w:tab/>
        </w:r>
        <w:r>
          <w:fldChar w:fldCharType="begin"/>
        </w:r>
        <w:r>
          <w:instrText xml:space="preserve"> PAGEREF _Toc3086 \h </w:instrText>
        </w:r>
        <w:r>
          <w:fldChar w:fldCharType="separate"/>
        </w:r>
        <w:r>
          <w:t>8</w:t>
        </w:r>
        <w:r>
          <w:fldChar w:fldCharType="end"/>
        </w:r>
      </w:hyperlink>
    </w:p>
    <w:p>
      <w:pPr>
        <w:pStyle w:val="12"/>
        <w:tabs>
          <w:tab w:val="right" w:leader="dot" w:pos="9746"/>
        </w:tabs>
      </w:pPr>
      <w:hyperlink w:anchor="_Toc12837" w:history="1">
        <w:r>
          <w:t>第一章 矿山基本情况</w:t>
        </w:r>
        <w:r>
          <w:tab/>
        </w:r>
        <w:r>
          <w:fldChar w:fldCharType="begin"/>
        </w:r>
        <w:r>
          <w:instrText xml:space="preserve"> PAGEREF _Toc12837 \h </w:instrText>
        </w:r>
        <w:r>
          <w:fldChar w:fldCharType="separate"/>
        </w:r>
        <w:r>
          <w:t>10</w:t>
        </w:r>
        <w:r>
          <w:fldChar w:fldCharType="end"/>
        </w:r>
      </w:hyperlink>
    </w:p>
    <w:p>
      <w:pPr>
        <w:pStyle w:val="14"/>
        <w:tabs>
          <w:tab w:val="right" w:leader="dot" w:pos="9746"/>
        </w:tabs>
      </w:pPr>
      <w:hyperlink w:anchor="_Toc401734577" w:history="1">
        <w:r>
          <w:t>一、矿业权人基本情况</w:t>
        </w:r>
        <w:r>
          <w:tab/>
        </w:r>
        <w:r>
          <w:fldChar w:fldCharType="begin"/>
        </w:r>
        <w:r>
          <w:instrText xml:space="preserve"> PAGEREF _Toc401734577 \h </w:instrText>
        </w:r>
        <w:r>
          <w:fldChar w:fldCharType="separate"/>
        </w:r>
        <w:r>
          <w:t>10</w:t>
        </w:r>
        <w:r>
          <w:fldChar w:fldCharType="end"/>
        </w:r>
      </w:hyperlink>
    </w:p>
    <w:p>
      <w:pPr>
        <w:pStyle w:val="14"/>
        <w:tabs>
          <w:tab w:val="right" w:leader="dot" w:pos="9746"/>
        </w:tabs>
      </w:pPr>
      <w:hyperlink w:anchor="_Toc1132" w:history="1">
        <w:r>
          <w:t>二、地理位置及区域概况</w:t>
        </w:r>
        <w:r>
          <w:tab/>
        </w:r>
        <w:r>
          <w:fldChar w:fldCharType="begin"/>
        </w:r>
        <w:r>
          <w:instrText xml:space="preserve"> PAGEREF _Toc1132 \h </w:instrText>
        </w:r>
        <w:r>
          <w:fldChar w:fldCharType="separate"/>
        </w:r>
        <w:r>
          <w:t>14</w:t>
        </w:r>
        <w:r>
          <w:fldChar w:fldCharType="end"/>
        </w:r>
      </w:hyperlink>
    </w:p>
    <w:p>
      <w:pPr>
        <w:pStyle w:val="14"/>
        <w:tabs>
          <w:tab w:val="right" w:leader="dot" w:pos="9746"/>
        </w:tabs>
      </w:pPr>
      <w:hyperlink w:anchor="_Toc15645" w:history="1">
        <w:r>
          <w:t>三、矿山开采历史及现状</w:t>
        </w:r>
        <w:r>
          <w:tab/>
        </w:r>
        <w:r>
          <w:fldChar w:fldCharType="begin"/>
        </w:r>
        <w:r>
          <w:instrText xml:space="preserve"> PAGEREF _Toc15645 \h </w:instrText>
        </w:r>
        <w:r>
          <w:fldChar w:fldCharType="separate"/>
        </w:r>
        <w:r>
          <w:t>15</w:t>
        </w:r>
        <w:r>
          <w:fldChar w:fldCharType="end"/>
        </w:r>
      </w:hyperlink>
    </w:p>
    <w:p>
      <w:pPr>
        <w:pStyle w:val="12"/>
        <w:tabs>
          <w:tab w:val="right" w:leader="dot" w:pos="9746"/>
        </w:tabs>
      </w:pPr>
      <w:hyperlink w:anchor="_Toc401734581" w:history="1">
        <w:r>
          <w:t>第二章 矿区基础信息</w:t>
        </w:r>
        <w:r>
          <w:tab/>
        </w:r>
        <w:r>
          <w:fldChar w:fldCharType="begin"/>
        </w:r>
        <w:r>
          <w:instrText xml:space="preserve"> PAGEREF _Toc401734581 \h </w:instrText>
        </w:r>
        <w:r>
          <w:fldChar w:fldCharType="separate"/>
        </w:r>
        <w:r>
          <w:t>19</w:t>
        </w:r>
        <w:r>
          <w:fldChar w:fldCharType="end"/>
        </w:r>
      </w:hyperlink>
    </w:p>
    <w:p>
      <w:pPr>
        <w:pStyle w:val="14"/>
        <w:tabs>
          <w:tab w:val="right" w:leader="dot" w:pos="9746"/>
        </w:tabs>
      </w:pPr>
      <w:hyperlink w:anchor="_Toc24715" w:history="1">
        <w:r>
          <w:t>一、矿区自然条件</w:t>
        </w:r>
        <w:r>
          <w:tab/>
        </w:r>
        <w:r>
          <w:fldChar w:fldCharType="begin"/>
        </w:r>
        <w:r>
          <w:instrText xml:space="preserve"> PAGEREF _Toc24715 \h </w:instrText>
        </w:r>
        <w:r>
          <w:fldChar w:fldCharType="separate"/>
        </w:r>
        <w:r>
          <w:t>19</w:t>
        </w:r>
        <w:r>
          <w:fldChar w:fldCharType="end"/>
        </w:r>
      </w:hyperlink>
    </w:p>
    <w:p>
      <w:pPr>
        <w:pStyle w:val="14"/>
        <w:tabs>
          <w:tab w:val="right" w:leader="dot" w:pos="9746"/>
        </w:tabs>
      </w:pPr>
      <w:hyperlink w:anchor="_Toc31329" w:history="1">
        <w:r>
          <w:t>二、社会经济概况</w:t>
        </w:r>
        <w:r>
          <w:tab/>
        </w:r>
        <w:r>
          <w:fldChar w:fldCharType="begin"/>
        </w:r>
        <w:r>
          <w:instrText xml:space="preserve"> PAGEREF _Toc31329 \h </w:instrText>
        </w:r>
        <w:r>
          <w:fldChar w:fldCharType="separate"/>
        </w:r>
        <w:r>
          <w:t>23</w:t>
        </w:r>
        <w:r>
          <w:fldChar w:fldCharType="end"/>
        </w:r>
      </w:hyperlink>
    </w:p>
    <w:p>
      <w:pPr>
        <w:pStyle w:val="14"/>
        <w:tabs>
          <w:tab w:val="right" w:leader="dot" w:pos="9746"/>
        </w:tabs>
      </w:pPr>
      <w:hyperlink w:anchor="_Toc5434" w:history="1">
        <w:r>
          <w:t>三、矿区地质环境背景</w:t>
        </w:r>
        <w:r>
          <w:tab/>
        </w:r>
        <w:r>
          <w:fldChar w:fldCharType="begin"/>
        </w:r>
        <w:r>
          <w:instrText xml:space="preserve"> PAGEREF _Toc5434 \h </w:instrText>
        </w:r>
        <w:r>
          <w:fldChar w:fldCharType="separate"/>
        </w:r>
        <w:r>
          <w:t>24</w:t>
        </w:r>
        <w:r>
          <w:fldChar w:fldCharType="end"/>
        </w:r>
      </w:hyperlink>
    </w:p>
    <w:p>
      <w:pPr>
        <w:pStyle w:val="14"/>
        <w:tabs>
          <w:tab w:val="right" w:leader="dot" w:pos="9746"/>
        </w:tabs>
      </w:pPr>
      <w:hyperlink w:anchor="_Toc4179" w:history="1">
        <w:r>
          <w:t>四、矿区土地利用现状及采矿用地审批情况</w:t>
        </w:r>
        <w:r>
          <w:tab/>
        </w:r>
        <w:r>
          <w:fldChar w:fldCharType="begin"/>
        </w:r>
        <w:r>
          <w:instrText xml:space="preserve"> PAGEREF _Toc4179 \h </w:instrText>
        </w:r>
        <w:r>
          <w:fldChar w:fldCharType="separate"/>
        </w:r>
        <w:r>
          <w:t>28</w:t>
        </w:r>
        <w:r>
          <w:fldChar w:fldCharType="end"/>
        </w:r>
      </w:hyperlink>
    </w:p>
    <w:p>
      <w:pPr>
        <w:pStyle w:val="14"/>
        <w:tabs>
          <w:tab w:val="right" w:leader="dot" w:pos="9746"/>
        </w:tabs>
      </w:pPr>
      <w:hyperlink w:anchor="_Toc28172" w:history="1">
        <w:r>
          <w:t>五、矿区生态状况</w:t>
        </w:r>
        <w:r>
          <w:tab/>
        </w:r>
        <w:r>
          <w:fldChar w:fldCharType="begin"/>
        </w:r>
        <w:r>
          <w:instrText xml:space="preserve"> PAGEREF _Toc28172 \h </w:instrText>
        </w:r>
        <w:r>
          <w:fldChar w:fldCharType="separate"/>
        </w:r>
        <w:r>
          <w:t>30</w:t>
        </w:r>
        <w:r>
          <w:fldChar w:fldCharType="end"/>
        </w:r>
      </w:hyperlink>
    </w:p>
    <w:p>
      <w:pPr>
        <w:pStyle w:val="14"/>
        <w:tabs>
          <w:tab w:val="right" w:leader="dot" w:pos="9746"/>
        </w:tabs>
      </w:pPr>
      <w:hyperlink w:anchor="_Toc4612" w:history="1">
        <w:r>
          <w:t>六、矿区及周边人类重大工程活动</w:t>
        </w:r>
        <w:r>
          <w:tab/>
        </w:r>
        <w:r>
          <w:fldChar w:fldCharType="begin"/>
        </w:r>
        <w:r>
          <w:instrText xml:space="preserve"> PAGEREF _Toc4612 \h </w:instrText>
        </w:r>
        <w:r>
          <w:fldChar w:fldCharType="separate"/>
        </w:r>
        <w:r>
          <w:t>32</w:t>
        </w:r>
        <w:r>
          <w:fldChar w:fldCharType="end"/>
        </w:r>
      </w:hyperlink>
    </w:p>
    <w:p>
      <w:pPr>
        <w:pStyle w:val="14"/>
        <w:tabs>
          <w:tab w:val="right" w:leader="dot" w:pos="9746"/>
        </w:tabs>
      </w:pPr>
      <w:hyperlink w:anchor="_Toc12325" w:history="1">
        <w:r>
          <w:t>七、矿区生态修复工作情况</w:t>
        </w:r>
        <w:r>
          <w:tab/>
        </w:r>
        <w:r>
          <w:fldChar w:fldCharType="begin"/>
        </w:r>
        <w:r>
          <w:instrText xml:space="preserve"> PAGEREF _Toc12325 \h </w:instrText>
        </w:r>
        <w:r>
          <w:fldChar w:fldCharType="separate"/>
        </w:r>
        <w:r>
          <w:t>33</w:t>
        </w:r>
        <w:r>
          <w:fldChar w:fldCharType="end"/>
        </w:r>
      </w:hyperlink>
    </w:p>
    <w:p>
      <w:pPr>
        <w:pStyle w:val="14"/>
        <w:tabs>
          <w:tab w:val="right" w:leader="dot" w:pos="9746"/>
        </w:tabs>
      </w:pPr>
      <w:hyperlink w:anchor="_Toc13137" w:history="1">
        <w:r>
          <w:t>八、矿区基本情况调查监测指标</w:t>
        </w:r>
        <w:r>
          <w:tab/>
        </w:r>
        <w:r>
          <w:fldChar w:fldCharType="begin"/>
        </w:r>
        <w:r>
          <w:instrText xml:space="preserve"> PAGEREF _Toc13137 \h </w:instrText>
        </w:r>
        <w:r>
          <w:fldChar w:fldCharType="separate"/>
        </w:r>
        <w:r>
          <w:t>33</w:t>
        </w:r>
        <w:r>
          <w:fldChar w:fldCharType="end"/>
        </w:r>
      </w:hyperlink>
    </w:p>
    <w:p>
      <w:pPr>
        <w:pStyle w:val="12"/>
        <w:tabs>
          <w:tab w:val="right" w:leader="dot" w:pos="9746"/>
        </w:tabs>
      </w:pPr>
      <w:hyperlink w:anchor="_Toc24081" w:history="1">
        <w:r>
          <w:t>第三章 问题识别诊断及修复可行性分析</w:t>
        </w:r>
        <w:r>
          <w:tab/>
        </w:r>
        <w:r>
          <w:fldChar w:fldCharType="begin"/>
        </w:r>
        <w:r>
          <w:instrText xml:space="preserve"> PAGEREF _Toc24081 \h </w:instrText>
        </w:r>
        <w:r>
          <w:fldChar w:fldCharType="separate"/>
        </w:r>
        <w:r>
          <w:t>34</w:t>
        </w:r>
        <w:r>
          <w:fldChar w:fldCharType="end"/>
        </w:r>
      </w:hyperlink>
    </w:p>
    <w:p>
      <w:pPr>
        <w:pStyle w:val="14"/>
        <w:tabs>
          <w:tab w:val="right" w:leader="dot" w:pos="9746"/>
        </w:tabs>
      </w:pPr>
      <w:hyperlink w:anchor="_Toc12681" w:history="1">
        <w:r>
          <w:t>一、问题识别与受损预测</w:t>
        </w:r>
        <w:r>
          <w:tab/>
        </w:r>
        <w:r>
          <w:fldChar w:fldCharType="begin"/>
        </w:r>
        <w:r>
          <w:instrText xml:space="preserve"> PAGEREF _Toc12681 \h </w:instrText>
        </w:r>
        <w:r>
          <w:fldChar w:fldCharType="separate"/>
        </w:r>
        <w:r>
          <w:t>34</w:t>
        </w:r>
        <w:r>
          <w:fldChar w:fldCharType="end"/>
        </w:r>
      </w:hyperlink>
    </w:p>
    <w:p>
      <w:pPr>
        <w:pStyle w:val="14"/>
        <w:tabs>
          <w:tab w:val="right" w:leader="dot" w:pos="9746"/>
        </w:tabs>
      </w:pPr>
      <w:hyperlink w:anchor="_Toc6813" w:history="1">
        <w:r>
          <w:t>二、生态修复可行性分析</w:t>
        </w:r>
        <w:r>
          <w:tab/>
        </w:r>
        <w:r>
          <w:fldChar w:fldCharType="begin"/>
        </w:r>
        <w:r>
          <w:instrText xml:space="preserve"> PAGEREF _Toc6813 \h </w:instrText>
        </w:r>
        <w:r>
          <w:fldChar w:fldCharType="separate"/>
        </w:r>
        <w:r>
          <w:t>46</w:t>
        </w:r>
        <w:r>
          <w:fldChar w:fldCharType="end"/>
        </w:r>
      </w:hyperlink>
    </w:p>
    <w:p>
      <w:pPr>
        <w:pStyle w:val="14"/>
        <w:tabs>
          <w:tab w:val="right" w:leader="dot" w:pos="9746"/>
        </w:tabs>
      </w:pPr>
      <w:hyperlink w:anchor="_Toc21193" w:history="1">
        <w:r>
          <w:t>三、生态修复分区及修复时序安排</w:t>
        </w:r>
        <w:r>
          <w:tab/>
        </w:r>
        <w:r>
          <w:fldChar w:fldCharType="begin"/>
        </w:r>
        <w:r>
          <w:instrText xml:space="preserve"> PAGEREF _Toc21193 \h </w:instrText>
        </w:r>
        <w:r>
          <w:fldChar w:fldCharType="separate"/>
        </w:r>
        <w:r>
          <w:t>57</w:t>
        </w:r>
        <w:r>
          <w:fldChar w:fldCharType="end"/>
        </w:r>
      </w:hyperlink>
    </w:p>
    <w:p>
      <w:pPr>
        <w:pStyle w:val="14"/>
        <w:tabs>
          <w:tab w:val="right" w:leader="dot" w:pos="9746"/>
        </w:tabs>
      </w:pPr>
      <w:hyperlink w:anchor="_Toc17935" w:history="1">
        <w:r>
          <w:t>四、采矿用地与复垦修复安排</w:t>
        </w:r>
        <w:r>
          <w:tab/>
        </w:r>
        <w:r>
          <w:fldChar w:fldCharType="begin"/>
        </w:r>
        <w:r>
          <w:instrText xml:space="preserve"> PAGEREF _Toc17935 \h </w:instrText>
        </w:r>
        <w:r>
          <w:fldChar w:fldCharType="separate"/>
        </w:r>
        <w:r>
          <w:t>59</w:t>
        </w:r>
        <w:r>
          <w:fldChar w:fldCharType="end"/>
        </w:r>
      </w:hyperlink>
    </w:p>
    <w:p>
      <w:pPr>
        <w:pStyle w:val="12"/>
        <w:tabs>
          <w:tab w:val="right" w:leader="dot" w:pos="9746"/>
        </w:tabs>
      </w:pPr>
      <w:hyperlink w:anchor="_Toc8917" w:history="1">
        <w:r>
          <w:t>第四章 生态修复措施与工程内容</w:t>
        </w:r>
        <w:r>
          <w:tab/>
        </w:r>
        <w:r>
          <w:fldChar w:fldCharType="begin"/>
        </w:r>
        <w:r>
          <w:instrText xml:space="preserve"> PAGEREF _Toc8917 \h </w:instrText>
        </w:r>
        <w:r>
          <w:fldChar w:fldCharType="separate"/>
        </w:r>
        <w:r>
          <w:t>61</w:t>
        </w:r>
        <w:r>
          <w:fldChar w:fldCharType="end"/>
        </w:r>
      </w:hyperlink>
    </w:p>
    <w:p>
      <w:pPr>
        <w:pStyle w:val="14"/>
        <w:tabs>
          <w:tab w:val="right" w:leader="dot" w:pos="9746"/>
        </w:tabs>
      </w:pPr>
      <w:hyperlink w:anchor="_Toc7854" w:history="1">
        <w:r>
          <w:t>一、保护与预防控制措施</w:t>
        </w:r>
        <w:r>
          <w:tab/>
        </w:r>
        <w:r>
          <w:fldChar w:fldCharType="begin"/>
        </w:r>
        <w:r>
          <w:instrText xml:space="preserve"> PAGEREF _Toc7854 \h </w:instrText>
        </w:r>
        <w:r>
          <w:fldChar w:fldCharType="separate"/>
        </w:r>
        <w:r>
          <w:t>61</w:t>
        </w:r>
        <w:r>
          <w:fldChar w:fldCharType="end"/>
        </w:r>
      </w:hyperlink>
    </w:p>
    <w:p>
      <w:pPr>
        <w:pStyle w:val="14"/>
        <w:tabs>
          <w:tab w:val="right" w:leader="dot" w:pos="9746"/>
        </w:tabs>
      </w:pPr>
      <w:hyperlink w:anchor="_Toc5077" w:history="1">
        <w:r>
          <w:t>二、修复措施</w:t>
        </w:r>
        <w:r>
          <w:tab/>
        </w:r>
        <w:r>
          <w:fldChar w:fldCharType="begin"/>
        </w:r>
        <w:r>
          <w:instrText xml:space="preserve"> PAGEREF _Toc5077 \h </w:instrText>
        </w:r>
        <w:r>
          <w:fldChar w:fldCharType="separate"/>
        </w:r>
        <w:r>
          <w:t>62</w:t>
        </w:r>
        <w:r>
          <w:fldChar w:fldCharType="end"/>
        </w:r>
      </w:hyperlink>
    </w:p>
    <w:p>
      <w:pPr>
        <w:pStyle w:val="14"/>
        <w:tabs>
          <w:tab w:val="right" w:leader="dot" w:pos="9746"/>
        </w:tabs>
      </w:pPr>
      <w:hyperlink w:anchor="_Toc23721" w:history="1">
        <w:r>
          <w:t>三、工程内容</w:t>
        </w:r>
        <w:r>
          <w:tab/>
        </w:r>
        <w:r>
          <w:fldChar w:fldCharType="begin"/>
        </w:r>
        <w:r>
          <w:instrText xml:space="preserve"> PAGEREF _Toc23721 \h </w:instrText>
        </w:r>
        <w:r>
          <w:fldChar w:fldCharType="separate"/>
        </w:r>
        <w:r>
          <w:t>65</w:t>
        </w:r>
        <w:r>
          <w:fldChar w:fldCharType="end"/>
        </w:r>
      </w:hyperlink>
    </w:p>
    <w:p>
      <w:pPr>
        <w:pStyle w:val="12"/>
        <w:tabs>
          <w:tab w:val="right" w:leader="dot" w:pos="9746"/>
        </w:tabs>
      </w:pPr>
      <w:hyperlink w:anchor="_Toc3476" w:history="1">
        <w:r>
          <w:t>第五章 监测与管护</w:t>
        </w:r>
        <w:r>
          <w:tab/>
        </w:r>
        <w:r>
          <w:fldChar w:fldCharType="begin"/>
        </w:r>
        <w:r>
          <w:instrText xml:space="preserve"> PAGEREF _Toc3476 \h </w:instrText>
        </w:r>
        <w:r>
          <w:fldChar w:fldCharType="separate"/>
        </w:r>
        <w:r>
          <w:t>66</w:t>
        </w:r>
        <w:r>
          <w:fldChar w:fldCharType="end"/>
        </w:r>
      </w:hyperlink>
    </w:p>
    <w:p>
      <w:pPr>
        <w:pStyle w:val="14"/>
        <w:tabs>
          <w:tab w:val="right" w:leader="dot" w:pos="9746"/>
        </w:tabs>
      </w:pPr>
      <w:hyperlink w:anchor="_Toc9406" w:history="1">
        <w:r>
          <w:t>一、监测目标与措施</w:t>
        </w:r>
        <w:r>
          <w:tab/>
        </w:r>
        <w:r>
          <w:fldChar w:fldCharType="begin"/>
        </w:r>
        <w:r>
          <w:instrText xml:space="preserve"> PAGEREF _Toc9406 \h </w:instrText>
        </w:r>
        <w:r>
          <w:fldChar w:fldCharType="separate"/>
        </w:r>
        <w:r>
          <w:t>66</w:t>
        </w:r>
        <w:r>
          <w:fldChar w:fldCharType="end"/>
        </w:r>
      </w:hyperlink>
    </w:p>
    <w:p>
      <w:pPr>
        <w:pStyle w:val="14"/>
        <w:tabs>
          <w:tab w:val="right" w:leader="dot" w:pos="9746"/>
        </w:tabs>
      </w:pPr>
      <w:hyperlink w:anchor="_Toc20692" w:history="1">
        <w:r>
          <w:t>二、管护目标与措施</w:t>
        </w:r>
        <w:r>
          <w:tab/>
        </w:r>
        <w:r>
          <w:fldChar w:fldCharType="begin"/>
        </w:r>
        <w:r>
          <w:instrText xml:space="preserve"> PAGEREF _Toc20692 \h </w:instrText>
        </w:r>
        <w:r>
          <w:fldChar w:fldCharType="separate"/>
        </w:r>
        <w:r>
          <w:t>69</w:t>
        </w:r>
        <w:r>
          <w:fldChar w:fldCharType="end"/>
        </w:r>
      </w:hyperlink>
    </w:p>
    <w:p>
      <w:pPr>
        <w:pStyle w:val="14"/>
        <w:tabs>
          <w:tab w:val="right" w:leader="dot" w:pos="9746"/>
        </w:tabs>
      </w:pPr>
      <w:hyperlink w:anchor="_Toc14262" w:history="1">
        <w:r>
          <w:t>三、工程量</w:t>
        </w:r>
        <w:r>
          <w:tab/>
        </w:r>
        <w:r>
          <w:fldChar w:fldCharType="begin"/>
        </w:r>
        <w:r>
          <w:instrText xml:space="preserve"> PAGEREF _Toc14262 \h </w:instrText>
        </w:r>
        <w:r>
          <w:fldChar w:fldCharType="separate"/>
        </w:r>
        <w:r>
          <w:t>70</w:t>
        </w:r>
        <w:r>
          <w:fldChar w:fldCharType="end"/>
        </w:r>
      </w:hyperlink>
    </w:p>
    <w:p>
      <w:pPr>
        <w:pStyle w:val="12"/>
        <w:tabs>
          <w:tab w:val="right" w:leader="dot" w:pos="9746"/>
        </w:tabs>
      </w:pPr>
      <w:hyperlink w:anchor="_Toc2601" w:history="1">
        <w:r>
          <w:t>第六章 工作部署与经费估算</w:t>
        </w:r>
        <w:r>
          <w:tab/>
        </w:r>
        <w:r>
          <w:fldChar w:fldCharType="begin"/>
        </w:r>
        <w:r>
          <w:instrText xml:space="preserve"> PAGEREF _Toc2601 \h </w:instrText>
        </w:r>
        <w:r>
          <w:fldChar w:fldCharType="separate"/>
        </w:r>
        <w:r>
          <w:t>71</w:t>
        </w:r>
        <w:r>
          <w:fldChar w:fldCharType="end"/>
        </w:r>
      </w:hyperlink>
    </w:p>
    <w:p>
      <w:pPr>
        <w:pStyle w:val="14"/>
        <w:tabs>
          <w:tab w:val="right" w:leader="dot" w:pos="9746"/>
        </w:tabs>
      </w:pPr>
      <w:hyperlink w:anchor="_Toc26823" w:history="1">
        <w:r>
          <w:t>一、总体部署</w:t>
        </w:r>
        <w:r>
          <w:tab/>
        </w:r>
        <w:r>
          <w:fldChar w:fldCharType="begin"/>
        </w:r>
        <w:r>
          <w:instrText xml:space="preserve"> PAGEREF _Toc26823 \h </w:instrText>
        </w:r>
        <w:r>
          <w:fldChar w:fldCharType="separate"/>
        </w:r>
        <w:r>
          <w:t>71</w:t>
        </w:r>
        <w:r>
          <w:fldChar w:fldCharType="end"/>
        </w:r>
      </w:hyperlink>
    </w:p>
    <w:p>
      <w:pPr>
        <w:pStyle w:val="14"/>
        <w:tabs>
          <w:tab w:val="right" w:leader="dot" w:pos="9746"/>
        </w:tabs>
      </w:pPr>
      <w:hyperlink w:anchor="_Toc29502" w:history="1">
        <w:r>
          <w:t>二、总体经费估算</w:t>
        </w:r>
        <w:r>
          <w:tab/>
        </w:r>
        <w:r>
          <w:fldChar w:fldCharType="begin"/>
        </w:r>
        <w:r>
          <w:instrText xml:space="preserve"> PAGEREF _Toc29502 \h </w:instrText>
        </w:r>
        <w:r>
          <w:fldChar w:fldCharType="separate"/>
        </w:r>
        <w:r>
          <w:t>72</w:t>
        </w:r>
        <w:r>
          <w:fldChar w:fldCharType="end"/>
        </w:r>
      </w:hyperlink>
    </w:p>
    <w:p>
      <w:pPr>
        <w:pStyle w:val="14"/>
        <w:tabs>
          <w:tab w:val="right" w:leader="dot" w:pos="9746"/>
        </w:tabs>
      </w:pPr>
      <w:hyperlink w:anchor="_Toc593" w:history="1">
        <w:r>
          <w:t>三、阶段工作任务与经费安排</w:t>
        </w:r>
        <w:r>
          <w:tab/>
        </w:r>
        <w:r>
          <w:fldChar w:fldCharType="begin"/>
        </w:r>
        <w:r>
          <w:instrText xml:space="preserve"> PAGEREF _Toc593 \h </w:instrText>
        </w:r>
        <w:r>
          <w:fldChar w:fldCharType="separate"/>
        </w:r>
        <w:r>
          <w:t>90</w:t>
        </w:r>
        <w:r>
          <w:fldChar w:fldCharType="end"/>
        </w:r>
      </w:hyperlink>
    </w:p>
    <w:p>
      <w:pPr>
        <w:pStyle w:val="12"/>
        <w:tabs>
          <w:tab w:val="right" w:leader="dot" w:pos="9746"/>
        </w:tabs>
      </w:pPr>
      <w:hyperlink w:anchor="_Toc26960" w:history="1">
        <w:r>
          <w:t>第七章 保障措施与公众参与</w:t>
        </w:r>
        <w:r>
          <w:tab/>
        </w:r>
        <w:r>
          <w:fldChar w:fldCharType="begin"/>
        </w:r>
        <w:r>
          <w:instrText xml:space="preserve"> PAGEREF _Toc26960 \h </w:instrText>
        </w:r>
        <w:r>
          <w:fldChar w:fldCharType="separate"/>
        </w:r>
        <w:r>
          <w:t>91</w:t>
        </w:r>
        <w:r>
          <w:fldChar w:fldCharType="end"/>
        </w:r>
      </w:hyperlink>
    </w:p>
    <w:p>
      <w:pPr>
        <w:pStyle w:val="14"/>
        <w:tabs>
          <w:tab w:val="right" w:leader="dot" w:pos="9746"/>
        </w:tabs>
      </w:pPr>
      <w:hyperlink w:anchor="_Toc24130" w:history="1">
        <w:r>
          <w:t>一、保障措施</w:t>
        </w:r>
        <w:r>
          <w:tab/>
        </w:r>
        <w:r>
          <w:fldChar w:fldCharType="begin"/>
        </w:r>
        <w:r>
          <w:instrText xml:space="preserve"> PAGEREF _Toc24130 \h </w:instrText>
        </w:r>
        <w:r>
          <w:fldChar w:fldCharType="separate"/>
        </w:r>
        <w:r>
          <w:t>91</w:t>
        </w:r>
        <w:r>
          <w:fldChar w:fldCharType="end"/>
        </w:r>
      </w:hyperlink>
    </w:p>
    <w:p>
      <w:pPr>
        <w:pStyle w:val="14"/>
        <w:tabs>
          <w:tab w:val="right" w:leader="dot" w:pos="9746"/>
        </w:tabs>
      </w:pPr>
      <w:hyperlink w:anchor="_Toc749" w:history="1">
        <w:r>
          <w:t>二、公众参与</w:t>
        </w:r>
        <w:r>
          <w:tab/>
        </w:r>
        <w:r>
          <w:fldChar w:fldCharType="begin"/>
        </w:r>
        <w:r>
          <w:instrText xml:space="preserve"> PAGEREF _Toc749 \h </w:instrText>
        </w:r>
        <w:r>
          <w:fldChar w:fldCharType="separate"/>
        </w:r>
        <w:r>
          <w:t>92</w:t>
        </w:r>
        <w:r>
          <w:fldChar w:fldCharType="end"/>
        </w:r>
      </w:hyperlink>
    </w:p>
    <w:p>
      <w:pPr>
        <w:pStyle w:val="14"/>
        <w:tabs>
          <w:tab w:val="right" w:leader="dot" w:pos="9746"/>
        </w:tabs>
      </w:pPr>
      <w:hyperlink w:anchor="_Toc614" w:history="1">
        <w:r>
          <w:t>三、效益分析</w:t>
        </w:r>
        <w:r>
          <w:tab/>
        </w:r>
        <w:r>
          <w:fldChar w:fldCharType="begin"/>
        </w:r>
        <w:r>
          <w:instrText xml:space="preserve"> PAGEREF _Toc614 \h </w:instrText>
        </w:r>
        <w:r>
          <w:fldChar w:fldCharType="separate"/>
        </w:r>
        <w:r>
          <w:t>94</w:t>
        </w:r>
        <w:r>
          <w:fldChar w:fldCharType="end"/>
        </w:r>
      </w:hyperlink>
    </w:p>
    <w:p>
      <w:pPr>
        <w:pStyle w:val="12"/>
        <w:tabs>
          <w:tab w:val="right" w:leader="dot" w:pos="9746"/>
        </w:tabs>
      </w:pPr>
      <w:hyperlink w:anchor="_Toc17735" w:history="1">
        <w:r>
          <w:t>第八章 结  论</w:t>
        </w:r>
        <w:r>
          <w:tab/>
        </w:r>
        <w:r>
          <w:fldChar w:fldCharType="begin"/>
        </w:r>
        <w:r>
          <w:instrText xml:space="preserve"> PAGEREF _Toc17735 \h </w:instrText>
        </w:r>
        <w:r>
          <w:fldChar w:fldCharType="separate"/>
        </w:r>
        <w:r>
          <w:t>96</w:t>
        </w:r>
        <w:r>
          <w:fldChar w:fldCharType="end"/>
        </w:r>
      </w:hyperlink>
    </w:p>
    <w:p>
      <w:pPr>
        <w:pStyle w:val="14"/>
        <w:tabs>
          <w:tab w:val="right" w:leader="dot" w:pos="9746"/>
        </w:tabs>
      </w:pPr>
      <w:hyperlink w:anchor="_Toc11377" w:history="1">
        <w:r>
          <w:t>一、结论</w:t>
        </w:r>
        <w:r>
          <w:tab/>
        </w:r>
        <w:r>
          <w:fldChar w:fldCharType="begin"/>
        </w:r>
        <w:r>
          <w:instrText xml:space="preserve"> PAGEREF _Toc11377 \h </w:instrText>
        </w:r>
        <w:r>
          <w:fldChar w:fldCharType="separate"/>
        </w:r>
        <w:r>
          <w:t>96</w:t>
        </w:r>
        <w:r>
          <w:fldChar w:fldCharType="end"/>
        </w:r>
      </w:hyperlink>
    </w:p>
    <w:p>
      <w:pPr>
        <w:pStyle w:val="14"/>
        <w:tabs>
          <w:tab w:val="right" w:leader="dot" w:pos="9746"/>
        </w:tabs>
      </w:pPr>
      <w:hyperlink w:anchor="_Toc26631" w:history="1">
        <w:r>
          <w:t>二、建议</w:t>
        </w:r>
        <w:r>
          <w:tab/>
        </w:r>
        <w:r>
          <w:fldChar w:fldCharType="begin"/>
        </w:r>
        <w:r>
          <w:instrText xml:space="preserve"> PAGEREF _Toc26631 \h </w:instrText>
        </w:r>
        <w:r>
          <w:fldChar w:fldCharType="separate"/>
        </w:r>
        <w:r>
          <w:t>97</w:t>
        </w:r>
        <w:r>
          <w:fldChar w:fldCharType="end"/>
        </w:r>
      </w:hyperlink>
      <w:r>
        <w:fldChar w:fldCharType="end"/>
      </w:r>
    </w:p>
    <w:p>
      <w:pPr>
        <w:ind w:firstLine="602"/>
        <w:rPr>
          <w:b/>
          <w:sz w:val="30"/>
          <w:szCs w:val="30"/>
        </w:rPr>
      </w:pPr>
      <w:r>
        <w:rPr>
          <w:b/>
          <w:sz w:val="30"/>
          <w:szCs w:val="30"/>
        </w:rPr>
        <w:br w:type="page"/>
      </w:r>
    </w:p>
    <w:p>
      <w:pPr>
        <w:ind w:firstLine="0" w:firstLineChars="0"/>
        <w:jc w:val="center"/>
        <w:rPr>
          <w:rFonts w:hint="eastAsia" w:ascii="黑体" w:hAnsi="黑体" w:eastAsia="黑体" w:cs="黑体"/>
          <w:b w:val="0"/>
          <w:bCs/>
          <w:sz w:val="36"/>
          <w:szCs w:val="36"/>
        </w:rPr>
      </w:pPr>
      <w:r>
        <w:rPr>
          <w:rFonts w:hint="eastAsia" w:ascii="黑体" w:hAnsi="黑体" w:eastAsia="黑体" w:cs="黑体"/>
          <w:b w:val="0"/>
          <w:bCs/>
          <w:sz w:val="36"/>
          <w:szCs w:val="36"/>
        </w:rPr>
        <w:t>附图目录</w:t>
      </w:r>
    </w:p>
    <w:p>
      <w:pPr>
        <w:tabs>
          <w:tab w:val="left" w:pos="8400"/>
        </w:tabs>
        <w:bidi w:val="0"/>
      </w:pPr>
      <w:r>
        <w:rPr>
          <w:rFonts w:hint="eastAsia"/>
        </w:rPr>
        <w:t>1</w:t>
      </w:r>
      <w:r>
        <w:rPr>
          <w:rFonts w:hint="eastAsia"/>
          <w:lang w:val="en-US" w:eastAsia="zh-CN"/>
        </w:rPr>
        <w:t>-1</w:t>
      </w:r>
      <w:r>
        <w:rPr>
          <w:rFonts w:hint="eastAsia"/>
          <w:lang w:eastAsia="zh-CN"/>
        </w:rPr>
        <w:t>、桦川县马库力山采石场</w:t>
      </w:r>
      <w:r>
        <w:rPr>
          <w:rFonts w:hint="eastAsia"/>
        </w:rPr>
        <w:t>矿区土地利用现状图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tabs>
          <w:tab w:val="left" w:pos="8400"/>
        </w:tabs>
        <w:bidi w:val="0"/>
      </w:pPr>
      <w:r>
        <w:rPr>
          <w:rFonts w:hint="eastAsia"/>
          <w:lang w:val="en-US" w:eastAsia="zh-CN"/>
        </w:rPr>
        <w:t>2-2</w:t>
      </w:r>
      <w:r>
        <w:rPr>
          <w:rFonts w:hint="eastAsia"/>
          <w:lang w:eastAsia="zh-CN"/>
        </w:rPr>
        <w:t>、桦川县马库力山采石场</w:t>
      </w:r>
      <w:r>
        <w:rPr>
          <w:rFonts w:hint="eastAsia"/>
        </w:rPr>
        <w:t>矿区地质环境问题现状图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tabs>
          <w:tab w:val="left" w:pos="8400"/>
        </w:tabs>
        <w:bidi w:val="0"/>
      </w:pPr>
      <w:r>
        <w:rPr>
          <w:rFonts w:hint="eastAsia"/>
          <w:lang w:val="en-US" w:eastAsia="zh-CN"/>
        </w:rPr>
        <w:t>3-3</w:t>
      </w:r>
      <w:r>
        <w:rPr>
          <w:rFonts w:hint="eastAsia"/>
          <w:lang w:eastAsia="zh-CN"/>
        </w:rPr>
        <w:t>、桦川县马库力山采石场</w:t>
      </w:r>
      <w:r>
        <w:rPr>
          <w:rFonts w:hint="eastAsia"/>
        </w:rPr>
        <w:t>矿区土地损毁现状图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tabs>
          <w:tab w:val="left" w:pos="8400"/>
        </w:tabs>
        <w:bidi w:val="0"/>
      </w:pPr>
      <w:r>
        <w:rPr>
          <w:rFonts w:hint="eastAsia"/>
          <w:lang w:val="en-US" w:eastAsia="zh-CN"/>
        </w:rPr>
        <w:t>4-4</w:t>
      </w:r>
      <w:r>
        <w:rPr>
          <w:rFonts w:hint="eastAsia"/>
          <w:lang w:eastAsia="zh-CN"/>
        </w:rPr>
        <w:t>、桦川县马库力山采石场</w:t>
      </w:r>
      <w:r>
        <w:rPr>
          <w:rFonts w:hint="eastAsia"/>
        </w:rPr>
        <w:t>矿区地质环境问题预测图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tabs>
          <w:tab w:val="left" w:pos="8400"/>
        </w:tabs>
        <w:bidi w:val="0"/>
      </w:pPr>
      <w:r>
        <w:rPr>
          <w:rFonts w:hint="eastAsia"/>
          <w:lang w:val="en-US" w:eastAsia="zh-CN"/>
        </w:rPr>
        <w:t>5-5</w:t>
      </w:r>
      <w:r>
        <w:rPr>
          <w:rFonts w:hint="eastAsia"/>
          <w:lang w:eastAsia="zh-CN"/>
        </w:rPr>
        <w:t>、桦川县马库力山采石场</w:t>
      </w:r>
      <w:r>
        <w:rPr>
          <w:rFonts w:hint="eastAsia"/>
        </w:rPr>
        <w:t>矿区土地损毁预测图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tabs>
          <w:tab w:val="left" w:pos="8400"/>
        </w:tabs>
        <w:bidi w:val="0"/>
      </w:pPr>
      <w:r>
        <w:rPr>
          <w:rFonts w:hint="eastAsia"/>
          <w:lang w:val="en-US" w:eastAsia="zh-CN"/>
        </w:rPr>
        <w:t>6-6</w:t>
      </w:r>
      <w:r>
        <w:rPr>
          <w:rFonts w:hint="eastAsia"/>
          <w:lang w:eastAsia="zh-CN"/>
        </w:rPr>
        <w:t>、桦川县马库力山采石场</w:t>
      </w:r>
      <w:r>
        <w:rPr>
          <w:rFonts w:hint="eastAsia"/>
        </w:rPr>
        <w:t>矿区生态修复工程部署图</w:t>
      </w:r>
      <w:r>
        <w:rPr>
          <w:rFonts w:hint="eastAsia"/>
          <w:lang w:val="en-US" w:eastAsia="zh-CN"/>
        </w:rPr>
        <w:tab/>
      </w:r>
      <w:r>
        <w:rPr>
          <w:rFonts w:hint="eastAsia"/>
        </w:rPr>
        <w:t>1</w:t>
      </w:r>
      <w:r>
        <w:rPr>
          <w:rFonts w:hint="eastAsia"/>
          <w:lang w:eastAsia="zh-CN"/>
        </w:rPr>
        <w:t>:</w:t>
      </w:r>
      <w:r>
        <w:rPr>
          <w:rFonts w:hint="eastAsia"/>
          <w:lang w:val="en-US" w:eastAsia="zh-CN"/>
        </w:rPr>
        <w:t>1</w:t>
      </w:r>
      <w:r>
        <w:rPr>
          <w:rFonts w:hint="eastAsia"/>
        </w:rPr>
        <w:t>000</w:t>
      </w:r>
    </w:p>
    <w:p>
      <w:pPr>
        <w:ind w:firstLine="602"/>
        <w:rPr>
          <w:b/>
          <w:sz w:val="30"/>
          <w:szCs w:val="30"/>
        </w:rPr>
      </w:pPr>
      <w:r>
        <w:rPr>
          <w:b/>
          <w:sz w:val="30"/>
          <w:szCs w:val="30"/>
        </w:rPr>
        <w:br w:type="page"/>
      </w:r>
    </w:p>
    <w:p>
      <w:pPr>
        <w:ind w:firstLine="0" w:firstLineChars="0"/>
        <w:jc w:val="center"/>
        <w:rPr>
          <w:rFonts w:hint="eastAsia" w:ascii="黑体" w:hAnsi="黑体" w:eastAsia="黑体" w:cs="黑体"/>
          <w:b w:val="0"/>
          <w:bCs/>
          <w:sz w:val="36"/>
          <w:szCs w:val="36"/>
        </w:rPr>
      </w:pPr>
      <w:r>
        <w:rPr>
          <w:rFonts w:hint="eastAsia" w:ascii="黑体" w:hAnsi="黑体" w:eastAsia="黑体" w:cs="黑体"/>
          <w:b w:val="0"/>
          <w:bCs/>
          <w:sz w:val="36"/>
          <w:szCs w:val="36"/>
        </w:rPr>
        <w:t>附件目录</w:t>
      </w:r>
    </w:p>
    <w:p>
      <w:pPr>
        <w:ind w:firstLine="560"/>
        <w:rPr>
          <w:rFonts w:ascii="宋体" w:hAnsi="宋体" w:eastAsia="宋体" w:cs="宋体"/>
          <w:sz w:val="28"/>
          <w:szCs w:val="28"/>
        </w:rPr>
      </w:pPr>
      <w:r>
        <w:rPr>
          <w:rFonts w:hint="eastAsia" w:ascii="宋体" w:hAnsi="宋体" w:eastAsia="宋体" w:cs="宋体"/>
          <w:sz w:val="28"/>
          <w:szCs w:val="28"/>
        </w:rPr>
        <w:t>附件1. 委托书</w:t>
      </w:r>
    </w:p>
    <w:p>
      <w:pPr>
        <w:ind w:firstLine="560"/>
        <w:rPr>
          <w:rFonts w:ascii="宋体" w:hAnsi="宋体" w:eastAsia="宋体" w:cs="宋体"/>
          <w:sz w:val="28"/>
          <w:szCs w:val="28"/>
        </w:rPr>
      </w:pPr>
      <w:r>
        <w:rPr>
          <w:rFonts w:hint="eastAsia" w:ascii="宋体" w:hAnsi="宋体" w:eastAsia="宋体" w:cs="宋体"/>
          <w:sz w:val="28"/>
          <w:szCs w:val="28"/>
        </w:rPr>
        <w:t>附件2. 编制单位承诺</w:t>
      </w:r>
    </w:p>
    <w:p>
      <w:pPr>
        <w:ind w:firstLine="560"/>
        <w:rPr>
          <w:rFonts w:ascii="宋体" w:hAnsi="宋体" w:eastAsia="宋体" w:cs="宋体"/>
          <w:sz w:val="28"/>
          <w:szCs w:val="28"/>
        </w:rPr>
      </w:pPr>
      <w:r>
        <w:rPr>
          <w:rFonts w:hint="eastAsia" w:ascii="宋体" w:hAnsi="宋体" w:eastAsia="宋体" w:cs="宋体"/>
          <w:sz w:val="28"/>
          <w:szCs w:val="28"/>
        </w:rPr>
        <w:t>附件3. 矿权人生态修复承诺书</w:t>
      </w:r>
    </w:p>
    <w:p>
      <w:pPr>
        <w:ind w:firstLine="560"/>
        <w:rPr>
          <w:rFonts w:ascii="宋体" w:hAnsi="宋体" w:eastAsia="宋体" w:cs="宋体"/>
          <w:sz w:val="28"/>
          <w:szCs w:val="28"/>
        </w:rPr>
      </w:pPr>
      <w:r>
        <w:rPr>
          <w:rFonts w:hint="eastAsia" w:ascii="宋体" w:hAnsi="宋体" w:eastAsia="宋体" w:cs="宋体"/>
          <w:sz w:val="28"/>
          <w:szCs w:val="28"/>
        </w:rPr>
        <w:t>附件4. 储量评审意见书</w:t>
      </w:r>
    </w:p>
    <w:p>
      <w:pPr>
        <w:ind w:firstLine="560"/>
        <w:rPr>
          <w:rFonts w:hint="eastAsia"/>
        </w:rPr>
      </w:pPr>
      <w:r>
        <w:rPr>
          <w:rFonts w:hint="eastAsia" w:ascii="宋体" w:hAnsi="宋体" w:eastAsia="宋体" w:cs="宋体"/>
          <w:sz w:val="28"/>
          <w:szCs w:val="28"/>
        </w:rPr>
        <w:t>附件5. 开发利用方案评审意见书</w:t>
      </w:r>
    </w:p>
    <w:p>
      <w:pPr>
        <w:bidi w:val="0"/>
        <w:rPr>
          <w:rFonts w:hint="default" w:ascii="宋体" w:hAnsi="宋体" w:eastAsia="宋体" w:cs="宋体"/>
          <w:sz w:val="28"/>
          <w:szCs w:val="28"/>
          <w:lang w:val="en-US"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6. 安全设施设计</w:t>
      </w:r>
    </w:p>
    <w:p>
      <w:pPr>
        <w:bidi w:val="0"/>
        <w:rPr>
          <w:rFonts w:hint="eastAsia" w:ascii="宋体" w:hAnsi="宋体" w:eastAsia="宋体" w:cs="宋体"/>
          <w:sz w:val="28"/>
          <w:szCs w:val="28"/>
          <w:lang w:val="en-US"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7. 采矿许可证</w:t>
      </w:r>
    </w:p>
    <w:p>
      <w:pPr>
        <w:bidi w:val="0"/>
        <w:rPr>
          <w:rFonts w:hint="eastAsia" w:ascii="宋体" w:hAnsi="宋体" w:eastAsia="宋体" w:cs="宋体"/>
          <w:sz w:val="28"/>
          <w:szCs w:val="28"/>
          <w:lang w:val="en-US"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8. 上一期方案的评审意见</w:t>
      </w:r>
    </w:p>
    <w:p>
      <w:pPr>
        <w:bidi w:val="0"/>
        <w:rPr>
          <w:rFonts w:hint="eastAsia" w:ascii="宋体" w:hAnsi="宋体" w:eastAsia="宋体" w:cs="宋体"/>
          <w:sz w:val="28"/>
          <w:szCs w:val="28"/>
          <w:lang w:val="en-US"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9. 已缴费凭证</w:t>
      </w:r>
    </w:p>
    <w:p>
      <w:pPr>
        <w:bidi w:val="0"/>
        <w:rPr>
          <w:rFonts w:hint="eastAsia" w:ascii="宋体" w:hAnsi="宋体" w:eastAsia="宋体" w:cs="宋体"/>
          <w:sz w:val="28"/>
          <w:szCs w:val="28"/>
        </w:rPr>
      </w:pPr>
      <w:r>
        <w:rPr>
          <w:rFonts w:hint="eastAsia" w:ascii="宋体" w:hAnsi="宋体" w:eastAsia="宋体" w:cs="宋体"/>
          <w:sz w:val="28"/>
          <w:szCs w:val="28"/>
        </w:rPr>
        <w:t>附件10.公众参与调查表</w:t>
      </w:r>
    </w:p>
    <w:p>
      <w:pPr>
        <w:bidi w:val="0"/>
        <w:rPr>
          <w:rFonts w:hint="eastAsia" w:ascii="宋体" w:hAnsi="宋体" w:eastAsia="宋体" w:cs="宋体"/>
          <w:sz w:val="28"/>
          <w:szCs w:val="28"/>
        </w:rPr>
      </w:pPr>
      <w:r>
        <w:rPr>
          <w:rFonts w:hint="eastAsia" w:ascii="宋体" w:hAnsi="宋体" w:eastAsia="宋体" w:cs="宋体"/>
          <w:sz w:val="28"/>
          <w:szCs w:val="28"/>
        </w:rPr>
        <w:t>附件11.表土来源说明</w:t>
      </w:r>
    </w:p>
    <w:p>
      <w:pPr>
        <w:bidi w:val="0"/>
        <w:rPr>
          <w:rFonts w:hint="eastAsia" w:ascii="宋体" w:hAnsi="宋体" w:eastAsia="宋体" w:cs="宋体"/>
          <w:sz w:val="28"/>
          <w:szCs w:val="28"/>
        </w:rPr>
      </w:pPr>
    </w:p>
    <w:p>
      <w:pPr>
        <w:rPr>
          <w:rFonts w:hint="eastAsia"/>
        </w:rPr>
        <w:sectPr>
          <w:headerReference r:id="rId12" w:type="default"/>
          <w:footerReference r:id="rId13" w:type="default"/>
          <w:pgSz w:w="11906" w:h="16838"/>
          <w:pgMar w:top="1440" w:right="1080" w:bottom="1440" w:left="1080" w:header="851" w:footer="992" w:gutter="0"/>
          <w:pgNumType w:fmt="upperRoman" w:start="1"/>
          <w:cols w:space="720" w:num="1"/>
          <w:docGrid w:type="lines" w:linePitch="312" w:charSpace="0"/>
        </w:sectPr>
      </w:pPr>
    </w:p>
    <w:p>
      <w:pPr>
        <w:pStyle w:val="2"/>
        <w:bidi w:val="0"/>
      </w:pPr>
      <w:bookmarkStart w:id="2" w:name="_Toc14666"/>
      <w:r>
        <w:t>前  言</w:t>
      </w:r>
      <w:bookmarkEnd w:id="0"/>
      <w:bookmarkEnd w:id="1"/>
      <w:bookmarkEnd w:id="2"/>
    </w:p>
    <w:p>
      <w:pPr>
        <w:pStyle w:val="3"/>
        <w:bidi w:val="0"/>
      </w:pPr>
      <w:bookmarkStart w:id="3" w:name="_Toc29614"/>
      <w:r>
        <w:t>一、编制目的</w:t>
      </w:r>
      <w:bookmarkEnd w:id="3"/>
    </w:p>
    <w:p>
      <w:pPr>
        <w:pStyle w:val="4"/>
        <w:bidi w:val="0"/>
      </w:pPr>
      <w:r>
        <w:t>（一）任务由来</w:t>
      </w:r>
    </w:p>
    <w:p>
      <w:pPr>
        <w:bidi w:val="0"/>
      </w:pPr>
      <w:r>
        <w:t>为保护矿山生态地质环境，减少矿产资源开采活动所造成的矿山生态地质环境问题及地质灾害，保护人民生命和财产安全，改善生态环境，促进矿产资源的合理开发利用和经济社会、资源环境的协调发展，建立健全矿山地质环境保护长效机制，建设绿色矿山，实现地区经济可持续发展，根据《矿产资源开采登记管理办法》（国务院第241</w:t>
      </w:r>
      <w:r>
        <w:rPr>
          <w:rFonts w:hint="eastAsia"/>
          <w:lang w:eastAsia="zh-CN"/>
        </w:rPr>
        <w:t>号</w:t>
      </w:r>
      <w:r>
        <w:t>）、《矿山地质环境保护规定》（国土资源部令第44号）、《</w:t>
      </w:r>
      <w:r>
        <w:rPr>
          <w:rFonts w:hint="eastAsia"/>
          <w:lang w:eastAsia="zh-CN"/>
        </w:rPr>
        <w:t>黑龙江省地质环境保护条例》《中华人民共和国矿产资源法》等文件</w:t>
      </w:r>
      <w:r>
        <w:t>中关于变更、新建、改扩建、延续矿山必须编制矿山地质环境保护与恢复治理方案的要求</w:t>
      </w:r>
      <w:r>
        <w:rPr>
          <w:rFonts w:hint="eastAsia"/>
          <w:lang w:eastAsia="zh-CN"/>
        </w:rPr>
        <w:t>开展</w:t>
      </w:r>
      <w:r>
        <w:t>工作。</w:t>
      </w:r>
    </w:p>
    <w:p>
      <w:pPr>
        <w:bidi w:val="0"/>
        <w:rPr>
          <w:rFonts w:hint="default" w:eastAsia="宋体"/>
          <w:color w:val="auto"/>
          <w:lang w:val="en-US" w:eastAsia="zh-CN"/>
        </w:rPr>
      </w:pPr>
      <w:r>
        <w:rPr>
          <w:rFonts w:hint="eastAsia"/>
          <w:color w:val="auto"/>
          <w:lang w:eastAsia="zh-CN"/>
        </w:rPr>
        <w:t>桦川县马库力山采石场</w:t>
      </w:r>
      <w:r>
        <w:rPr>
          <w:rFonts w:hint="eastAsia"/>
          <w:color w:val="auto"/>
          <w:lang w:val="en-US" w:eastAsia="zh-CN"/>
        </w:rPr>
        <w:t>因改扩建，设备区以及堆料区的改变原修复方案已不适应现状，现委托我单位编写矿区生态修复方案。</w:t>
      </w:r>
    </w:p>
    <w:p>
      <w:pPr>
        <w:rPr>
          <w:sz w:val="28"/>
          <w:szCs w:val="28"/>
        </w:rPr>
      </w:pPr>
      <w:r>
        <w:rPr>
          <w:sz w:val="28"/>
          <w:szCs w:val="28"/>
        </w:rPr>
        <w:t>根据《矿区生态修复方案编制指南》第一部分（总体要求）二、一般规定，方案是采矿权人实施矿山地质环境治理、土地复垦、生态系统功能恢复等生态修复活动的总体部署和基本技术依据。本方案不代替相关工程勘查、工程设计等。</w:t>
      </w:r>
    </w:p>
    <w:p>
      <w:pPr>
        <w:ind w:firstLine="560"/>
        <w:rPr>
          <w:sz w:val="28"/>
          <w:szCs w:val="28"/>
        </w:rPr>
      </w:pPr>
      <w:r>
        <w:rPr>
          <w:rFonts w:hint="eastAsia"/>
          <w:sz w:val="28"/>
          <w:szCs w:val="28"/>
          <w:lang w:eastAsia="zh-CN"/>
        </w:rPr>
        <w:t>桦川县马库力山采石场</w:t>
      </w:r>
      <w:r>
        <w:rPr>
          <w:sz w:val="28"/>
          <w:szCs w:val="28"/>
        </w:rPr>
        <w:t>对本方案做出如下承诺：保证送审资料真实、客观，无伪造、编造、篡改等虚假内容，并对方案质量和结论负责。</w:t>
      </w:r>
    </w:p>
    <w:p>
      <w:pPr>
        <w:pStyle w:val="4"/>
      </w:pPr>
      <w:bookmarkStart w:id="4" w:name="_Toc401734574"/>
      <w:bookmarkStart w:id="5" w:name="_Toc448821237"/>
      <w:r>
        <w:t>（二）编制目的</w:t>
      </w:r>
    </w:p>
    <w:p>
      <w:pPr>
        <w:bidi w:val="0"/>
      </w:pPr>
      <w:r>
        <w:t>一是为了控制和减少矿山开采过程中对土地的不必要损毁，保护矿区及周围的土地资源和生态环境；</w:t>
      </w:r>
    </w:p>
    <w:p>
      <w:pPr>
        <w:bidi w:val="0"/>
      </w:pPr>
      <w:r>
        <w:t>二是划定矿山生态修复责任范围，明确生态修复方向和工作任务，将生态修复目标、工程、措施和计划落到实处；</w:t>
      </w:r>
    </w:p>
    <w:p>
      <w:pPr>
        <w:bidi w:val="0"/>
      </w:pPr>
      <w:r>
        <w:t>三是科学合理估算生态修复资金，明确生态修复资金提取、管理、使用办法；</w:t>
      </w:r>
    </w:p>
    <w:p>
      <w:pPr>
        <w:bidi w:val="0"/>
      </w:pPr>
      <w:r>
        <w:t>四是为生态修复工作的实施管理、监督检查、验收矿山生态修复工作提供技术经济依据。</w:t>
      </w:r>
    </w:p>
    <w:p>
      <w:pPr>
        <w:pStyle w:val="4"/>
        <w:bidi w:val="0"/>
        <w:rPr>
          <w:rFonts w:hint="eastAsia" w:eastAsia="宋体"/>
          <w:lang w:eastAsia="zh-CN"/>
        </w:rPr>
      </w:pPr>
      <w:r>
        <w:t>（三）编制</w:t>
      </w:r>
      <w:r>
        <w:rPr>
          <w:rFonts w:hint="eastAsia"/>
          <w:lang w:val="en-US" w:eastAsia="zh-CN"/>
        </w:rPr>
        <w:t>过程</w:t>
      </w:r>
    </w:p>
    <w:p>
      <w:pPr>
        <w:ind w:firstLine="560"/>
      </w:pPr>
      <w:r>
        <w:rPr>
          <w:rFonts w:hint="eastAsia"/>
          <w:bCs/>
          <w:sz w:val="28"/>
          <w:szCs w:val="28"/>
        </w:rPr>
        <w:t>黑龙江省第六地质勘查院</w:t>
      </w:r>
      <w:r>
        <w:rPr>
          <w:sz w:val="28"/>
          <w:szCs w:val="28"/>
        </w:rPr>
        <w:t>组织项目组对项目区进行了矿山生态环境、地质灾害调查、土地利用现状等进行了调查，通过收集相关区域地质、水文地质、矿山地质、矿区自然地理、矿山开采现状等资料，针对矿山基本情况、地质环境背景、地质灾害类型、含水层、地形地貌景观、土地占用及损毁等情况进行现场实地调查，分析地质环境问题发生的原因和条件，对地质环境进行现状和预测评估，并根据评估结果提出生态修复措施。</w:t>
      </w:r>
      <w:r>
        <w:t>完成工作量见表</w:t>
      </w:r>
      <w:r>
        <w:rPr>
          <w:rFonts w:hint="eastAsia"/>
          <w:lang w:val="en-US" w:eastAsia="zh-CN"/>
        </w:rPr>
        <w:t>0-1</w:t>
      </w:r>
      <w:r>
        <w:t>，工作程序见图</w:t>
      </w:r>
      <w:r>
        <w:rPr>
          <w:rFonts w:hint="eastAsia"/>
          <w:lang w:val="en-US" w:eastAsia="zh-CN"/>
        </w:rPr>
        <w:t>0-1</w:t>
      </w:r>
      <w:r>
        <w:t>。</w:t>
      </w:r>
    </w:p>
    <w:p>
      <w:pPr>
        <w:pStyle w:val="8"/>
        <w:bidi w:val="0"/>
        <w:jc w:val="center"/>
      </w:pPr>
      <w:r>
        <w:pict>
          <v:shape id="_x0000_i1042" o:spt="75" type="#_x0000_t75" style="height:661.75pt;width:447.05pt;" filled="f" o:preferrelative="t" stroked="f" coordsize="21600,21600">
            <v:path/>
            <v:fill on="f" focussize="0,0"/>
            <v:stroke on="f"/>
            <v:imagedata r:id="rId24" croptop="1377f" cropbottom="554f" o:title=""/>
            <o:lock v:ext="edit" aspectratio="t"/>
            <w10:wrap type="none"/>
            <w10:anchorlock/>
          </v:shape>
        </w:pict>
      </w:r>
    </w:p>
    <w:p>
      <w:pPr>
        <w:pStyle w:val="8"/>
        <w:bidi w:val="0"/>
        <w:jc w:val="center"/>
      </w:pPr>
      <w:r>
        <w:t>图</w:t>
      </w:r>
      <w:r>
        <w:rPr>
          <w:rFonts w:hint="eastAsia"/>
          <w:lang w:val="en-US" w:eastAsia="zh-CN"/>
        </w:rPr>
        <w:t xml:space="preserve"> </w:t>
      </w:r>
      <w:r>
        <w:t>0-1 工作程序图</w:t>
      </w:r>
    </w:p>
    <w:p>
      <w:r>
        <w:br w:type="page"/>
      </w:r>
    </w:p>
    <w:p>
      <w:pPr>
        <w:pStyle w:val="8"/>
        <w:bidi w:val="0"/>
      </w:pPr>
      <w:r>
        <w:t>表</w:t>
      </w:r>
      <w:r>
        <w:rPr>
          <w:rFonts w:hint="eastAsia"/>
          <w:lang w:val="en-US" w:eastAsia="zh-CN"/>
        </w:rPr>
        <w:t xml:space="preserve"> </w:t>
      </w:r>
      <w:r>
        <w:t>0-1 完成工作量表</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6"/>
        <w:gridCol w:w="4056"/>
        <w:gridCol w:w="1209"/>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2" w:type="dxa"/>
            <w:gridSpan w:val="2"/>
            <w:vMerge w:val="restart"/>
            <w:noWrap w:val="0"/>
            <w:vAlign w:val="center"/>
          </w:tcPr>
          <w:p>
            <w:pPr>
              <w:pStyle w:val="27"/>
              <w:bidi w:val="0"/>
            </w:pPr>
            <w:r>
              <w:t>工作项目</w:t>
            </w:r>
          </w:p>
        </w:tc>
        <w:tc>
          <w:tcPr>
            <w:tcW w:w="2590" w:type="dxa"/>
            <w:gridSpan w:val="2"/>
            <w:noWrap w:val="0"/>
            <w:vAlign w:val="center"/>
          </w:tcPr>
          <w:p>
            <w:pPr>
              <w:pStyle w:val="27"/>
              <w:bidi w:val="0"/>
            </w:pPr>
            <w:r>
              <w:t>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2" w:type="dxa"/>
            <w:gridSpan w:val="2"/>
            <w:vMerge w:val="continue"/>
            <w:noWrap w:val="0"/>
            <w:vAlign w:val="center"/>
          </w:tcPr>
          <w:p>
            <w:pPr>
              <w:pStyle w:val="27"/>
              <w:bidi w:val="0"/>
            </w:pPr>
          </w:p>
        </w:tc>
        <w:tc>
          <w:tcPr>
            <w:tcW w:w="1209" w:type="dxa"/>
            <w:noWrap w:val="0"/>
            <w:vAlign w:val="center"/>
          </w:tcPr>
          <w:p>
            <w:pPr>
              <w:pStyle w:val="27"/>
              <w:bidi w:val="0"/>
            </w:pPr>
            <w:r>
              <w:t>单位</w:t>
            </w:r>
          </w:p>
        </w:tc>
        <w:tc>
          <w:tcPr>
            <w:tcW w:w="1381" w:type="dxa"/>
            <w:noWrap w:val="0"/>
            <w:vAlign w:val="center"/>
          </w:tcPr>
          <w:p>
            <w:pPr>
              <w:pStyle w:val="27"/>
              <w:bidi w:val="0"/>
            </w:pPr>
            <w: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876" w:type="dxa"/>
            <w:vMerge w:val="restart"/>
            <w:noWrap w:val="0"/>
            <w:vAlign w:val="center"/>
          </w:tcPr>
          <w:p>
            <w:pPr>
              <w:pStyle w:val="27"/>
              <w:bidi w:val="0"/>
            </w:pPr>
            <w:r>
              <w:t>综合地质环境调查</w:t>
            </w:r>
          </w:p>
        </w:tc>
        <w:tc>
          <w:tcPr>
            <w:tcW w:w="4056" w:type="dxa"/>
            <w:noWrap w:val="0"/>
            <w:vAlign w:val="center"/>
          </w:tcPr>
          <w:p>
            <w:pPr>
              <w:pStyle w:val="27"/>
              <w:bidi w:val="0"/>
            </w:pPr>
            <w:r>
              <w:t>调查面积</w:t>
            </w:r>
          </w:p>
        </w:tc>
        <w:tc>
          <w:tcPr>
            <w:tcW w:w="1209" w:type="dxa"/>
            <w:noWrap w:val="0"/>
            <w:vAlign w:val="center"/>
          </w:tcPr>
          <w:p>
            <w:pPr>
              <w:pStyle w:val="27"/>
              <w:bidi w:val="0"/>
            </w:pPr>
            <w:r>
              <w:t>km</w:t>
            </w:r>
            <w:r>
              <w:rPr>
                <w:vertAlign w:val="superscript"/>
              </w:rPr>
              <w:t>2</w:t>
            </w:r>
          </w:p>
        </w:tc>
        <w:tc>
          <w:tcPr>
            <w:tcW w:w="1381" w:type="dxa"/>
            <w:noWrap w:val="0"/>
            <w:vAlign w:val="center"/>
          </w:tcPr>
          <w:p>
            <w:pPr>
              <w:pStyle w:val="27"/>
              <w:bidi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调查路线</w:t>
            </w:r>
          </w:p>
        </w:tc>
        <w:tc>
          <w:tcPr>
            <w:tcW w:w="1209" w:type="dxa"/>
            <w:noWrap w:val="0"/>
            <w:vAlign w:val="center"/>
          </w:tcPr>
          <w:p>
            <w:pPr>
              <w:pStyle w:val="27"/>
              <w:bidi w:val="0"/>
            </w:pPr>
            <w:r>
              <w:t>km</w:t>
            </w:r>
          </w:p>
        </w:tc>
        <w:tc>
          <w:tcPr>
            <w:tcW w:w="1381" w:type="dxa"/>
            <w:noWrap w:val="0"/>
            <w:vAlign w:val="center"/>
          </w:tcPr>
          <w:p>
            <w:pPr>
              <w:pStyle w:val="27"/>
              <w:bidi w:val="0"/>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地质环境调查点</w:t>
            </w:r>
          </w:p>
        </w:tc>
        <w:tc>
          <w:tcPr>
            <w:tcW w:w="1209" w:type="dxa"/>
            <w:noWrap w:val="0"/>
            <w:vAlign w:val="center"/>
          </w:tcPr>
          <w:p>
            <w:pPr>
              <w:pStyle w:val="27"/>
              <w:bidi w:val="0"/>
            </w:pPr>
            <w:r>
              <w:t>点</w:t>
            </w:r>
          </w:p>
        </w:tc>
        <w:tc>
          <w:tcPr>
            <w:tcW w:w="1381" w:type="dxa"/>
            <w:noWrap w:val="0"/>
            <w:vAlign w:val="center"/>
          </w:tcPr>
          <w:p>
            <w:pPr>
              <w:pStyle w:val="27"/>
              <w:bidi w:val="0"/>
            </w:pPr>
            <w:r>
              <w:rPr>
                <w:rFonts w:hint="eastAsia"/>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地貌调查点</w:t>
            </w:r>
          </w:p>
        </w:tc>
        <w:tc>
          <w:tcPr>
            <w:tcW w:w="1209" w:type="dxa"/>
            <w:noWrap w:val="0"/>
            <w:vAlign w:val="center"/>
          </w:tcPr>
          <w:p>
            <w:pPr>
              <w:pStyle w:val="27"/>
              <w:bidi w:val="0"/>
            </w:pPr>
            <w:r>
              <w:t>点</w:t>
            </w:r>
          </w:p>
        </w:tc>
        <w:tc>
          <w:tcPr>
            <w:tcW w:w="1381" w:type="dxa"/>
            <w:noWrap w:val="0"/>
            <w:vAlign w:val="center"/>
          </w:tcPr>
          <w:p>
            <w:pPr>
              <w:pStyle w:val="27"/>
              <w:bidi w:val="0"/>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数码照片</w:t>
            </w:r>
          </w:p>
        </w:tc>
        <w:tc>
          <w:tcPr>
            <w:tcW w:w="1209" w:type="dxa"/>
            <w:noWrap w:val="0"/>
            <w:vAlign w:val="center"/>
          </w:tcPr>
          <w:p>
            <w:pPr>
              <w:pStyle w:val="27"/>
              <w:bidi w:val="0"/>
            </w:pPr>
            <w:r>
              <w:t>张</w:t>
            </w:r>
          </w:p>
        </w:tc>
        <w:tc>
          <w:tcPr>
            <w:tcW w:w="1381" w:type="dxa"/>
            <w:noWrap w:val="0"/>
            <w:vAlign w:val="center"/>
          </w:tcPr>
          <w:p>
            <w:pPr>
              <w:pStyle w:val="27"/>
              <w:bidi w:val="0"/>
            </w:pPr>
            <w:r>
              <w:rPr>
                <w:rFonts w:hint="eastAsia"/>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视频影像资料</w:t>
            </w:r>
          </w:p>
        </w:tc>
        <w:tc>
          <w:tcPr>
            <w:tcW w:w="1209" w:type="dxa"/>
            <w:noWrap w:val="0"/>
            <w:vAlign w:val="center"/>
          </w:tcPr>
          <w:p>
            <w:pPr>
              <w:pStyle w:val="27"/>
              <w:bidi w:val="0"/>
            </w:pPr>
            <w:r>
              <w:t>份</w:t>
            </w:r>
          </w:p>
        </w:tc>
        <w:tc>
          <w:tcPr>
            <w:tcW w:w="1381" w:type="dxa"/>
            <w:noWrap w:val="0"/>
            <w:vAlign w:val="center"/>
          </w:tcPr>
          <w:p>
            <w:pPr>
              <w:pStyle w:val="27"/>
              <w:bidi w:val="0"/>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restart"/>
            <w:noWrap w:val="0"/>
            <w:vAlign w:val="center"/>
          </w:tcPr>
          <w:p>
            <w:pPr>
              <w:pStyle w:val="27"/>
              <w:bidi w:val="0"/>
            </w:pPr>
            <w:r>
              <w:t>收集资料</w:t>
            </w:r>
          </w:p>
        </w:tc>
        <w:tc>
          <w:tcPr>
            <w:tcW w:w="4056" w:type="dxa"/>
            <w:noWrap w:val="0"/>
            <w:vAlign w:val="center"/>
          </w:tcPr>
          <w:p>
            <w:pPr>
              <w:pStyle w:val="27"/>
              <w:bidi w:val="0"/>
              <w:rPr>
                <w:rFonts w:hint="default" w:eastAsia="宋体"/>
                <w:lang w:val="en-US" w:eastAsia="zh-CN"/>
              </w:rPr>
            </w:pPr>
            <w:r>
              <w:t>矿产资源开发利用方案</w:t>
            </w:r>
            <w:r>
              <w:rPr>
                <w:rFonts w:hint="eastAsia"/>
                <w:lang w:val="en-US" w:eastAsia="zh-CN"/>
              </w:rPr>
              <w:t>及评审意见</w:t>
            </w:r>
          </w:p>
        </w:tc>
        <w:tc>
          <w:tcPr>
            <w:tcW w:w="1209" w:type="dxa"/>
            <w:noWrap w:val="0"/>
            <w:vAlign w:val="center"/>
          </w:tcPr>
          <w:p>
            <w:pPr>
              <w:pStyle w:val="27"/>
              <w:bidi w:val="0"/>
            </w:pPr>
            <w:r>
              <w:t>份</w:t>
            </w:r>
          </w:p>
        </w:tc>
        <w:tc>
          <w:tcPr>
            <w:tcW w:w="1381" w:type="dxa"/>
            <w:noWrap w:val="0"/>
            <w:vAlign w:val="center"/>
          </w:tcPr>
          <w:p>
            <w:pPr>
              <w:pStyle w:val="27"/>
              <w:bidi w:val="0"/>
              <w:rPr>
                <w:rFonts w:hint="eastAsia" w:eastAsia="宋体"/>
                <w:lang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矿产资源开发利用方案相关图件</w:t>
            </w:r>
          </w:p>
        </w:tc>
        <w:tc>
          <w:tcPr>
            <w:tcW w:w="1209" w:type="dxa"/>
            <w:noWrap w:val="0"/>
            <w:vAlign w:val="center"/>
          </w:tcPr>
          <w:p>
            <w:pPr>
              <w:pStyle w:val="27"/>
              <w:bidi w:val="0"/>
            </w:pPr>
            <w:r>
              <w:t>张</w:t>
            </w:r>
          </w:p>
        </w:tc>
        <w:tc>
          <w:tcPr>
            <w:tcW w:w="1381" w:type="dxa"/>
            <w:noWrap w:val="0"/>
            <w:vAlign w:val="center"/>
          </w:tcPr>
          <w:p>
            <w:pPr>
              <w:pStyle w:val="27"/>
              <w:bidi w:val="0"/>
              <w:rPr>
                <w:rFonts w:hint="eastAsia" w:eastAsia="宋体"/>
                <w:lang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采矿许可证</w:t>
            </w:r>
          </w:p>
        </w:tc>
        <w:tc>
          <w:tcPr>
            <w:tcW w:w="1209" w:type="dxa"/>
            <w:noWrap w:val="0"/>
            <w:vAlign w:val="center"/>
          </w:tcPr>
          <w:p>
            <w:pPr>
              <w:pStyle w:val="27"/>
              <w:bidi w:val="0"/>
            </w:pPr>
            <w:r>
              <w:t>份</w:t>
            </w:r>
          </w:p>
        </w:tc>
        <w:tc>
          <w:tcPr>
            <w:tcW w:w="1381" w:type="dxa"/>
            <w:noWrap w:val="0"/>
            <w:vAlign w:val="center"/>
          </w:tcPr>
          <w:p>
            <w:pPr>
              <w:pStyle w:val="27"/>
              <w:bidi w:val="0"/>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rPr>
                <w:rFonts w:hint="eastAsia"/>
              </w:rPr>
              <w:t>储量简测报告及评审意见</w:t>
            </w:r>
          </w:p>
        </w:tc>
        <w:tc>
          <w:tcPr>
            <w:tcW w:w="1209" w:type="dxa"/>
            <w:noWrap w:val="0"/>
            <w:vAlign w:val="center"/>
          </w:tcPr>
          <w:p>
            <w:pPr>
              <w:pStyle w:val="27"/>
              <w:bidi w:val="0"/>
            </w:pPr>
            <w:r>
              <w:t>份</w:t>
            </w:r>
          </w:p>
        </w:tc>
        <w:tc>
          <w:tcPr>
            <w:tcW w:w="1381" w:type="dxa"/>
            <w:noWrap w:val="0"/>
            <w:vAlign w:val="center"/>
          </w:tcPr>
          <w:p>
            <w:pPr>
              <w:pStyle w:val="27"/>
              <w:bidi w:val="0"/>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6" w:type="dxa"/>
            <w:vMerge w:val="continue"/>
            <w:noWrap w:val="0"/>
            <w:vAlign w:val="center"/>
          </w:tcPr>
          <w:p>
            <w:pPr>
              <w:pStyle w:val="27"/>
              <w:bidi w:val="0"/>
            </w:pPr>
          </w:p>
        </w:tc>
        <w:tc>
          <w:tcPr>
            <w:tcW w:w="4056" w:type="dxa"/>
            <w:noWrap w:val="0"/>
            <w:vAlign w:val="center"/>
          </w:tcPr>
          <w:p>
            <w:pPr>
              <w:pStyle w:val="27"/>
              <w:bidi w:val="0"/>
            </w:pPr>
            <w:r>
              <w:t>相关图件</w:t>
            </w:r>
          </w:p>
        </w:tc>
        <w:tc>
          <w:tcPr>
            <w:tcW w:w="1209" w:type="dxa"/>
            <w:noWrap w:val="0"/>
            <w:vAlign w:val="center"/>
          </w:tcPr>
          <w:p>
            <w:pPr>
              <w:pStyle w:val="27"/>
              <w:bidi w:val="0"/>
            </w:pPr>
            <w:r>
              <w:t>张</w:t>
            </w:r>
          </w:p>
        </w:tc>
        <w:tc>
          <w:tcPr>
            <w:tcW w:w="1381" w:type="dxa"/>
            <w:noWrap w:val="0"/>
            <w:vAlign w:val="center"/>
          </w:tcPr>
          <w:p>
            <w:pPr>
              <w:pStyle w:val="27"/>
              <w:bidi w:val="0"/>
              <w:rPr>
                <w:rFonts w:hint="eastAsia" w:eastAsia="宋体"/>
                <w:lang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其他资料</w:t>
            </w:r>
          </w:p>
        </w:tc>
        <w:tc>
          <w:tcPr>
            <w:tcW w:w="1209" w:type="dxa"/>
            <w:noWrap w:val="0"/>
            <w:vAlign w:val="center"/>
          </w:tcPr>
          <w:p>
            <w:pPr>
              <w:pStyle w:val="27"/>
              <w:bidi w:val="0"/>
            </w:pPr>
            <w:r>
              <w:t>份</w:t>
            </w:r>
          </w:p>
        </w:tc>
        <w:tc>
          <w:tcPr>
            <w:tcW w:w="1381" w:type="dxa"/>
            <w:noWrap w:val="0"/>
            <w:vAlign w:val="center"/>
          </w:tcPr>
          <w:p>
            <w:pPr>
              <w:pStyle w:val="27"/>
              <w:bidi w:val="0"/>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restart"/>
            <w:noWrap w:val="0"/>
            <w:vAlign w:val="center"/>
          </w:tcPr>
          <w:p>
            <w:pPr>
              <w:pStyle w:val="27"/>
              <w:bidi w:val="0"/>
            </w:pPr>
            <w:r>
              <w:t>成果</w:t>
            </w:r>
          </w:p>
        </w:tc>
        <w:tc>
          <w:tcPr>
            <w:tcW w:w="4056" w:type="dxa"/>
            <w:noWrap w:val="0"/>
            <w:vAlign w:val="center"/>
          </w:tcPr>
          <w:p>
            <w:pPr>
              <w:pStyle w:val="27"/>
              <w:bidi w:val="0"/>
            </w:pPr>
            <w:r>
              <w:t>报告</w:t>
            </w:r>
          </w:p>
        </w:tc>
        <w:tc>
          <w:tcPr>
            <w:tcW w:w="1209" w:type="dxa"/>
            <w:noWrap w:val="0"/>
            <w:vAlign w:val="center"/>
          </w:tcPr>
          <w:p>
            <w:pPr>
              <w:pStyle w:val="27"/>
              <w:bidi w:val="0"/>
            </w:pPr>
            <w:r>
              <w:t>份</w:t>
            </w:r>
          </w:p>
        </w:tc>
        <w:tc>
          <w:tcPr>
            <w:tcW w:w="1381" w:type="dxa"/>
            <w:noWrap w:val="0"/>
            <w:vAlign w:val="center"/>
          </w:tcPr>
          <w:p>
            <w:pPr>
              <w:pStyle w:val="27"/>
              <w:bidi w:val="0"/>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Merge w:val="continue"/>
            <w:noWrap w:val="0"/>
            <w:vAlign w:val="center"/>
          </w:tcPr>
          <w:p>
            <w:pPr>
              <w:pStyle w:val="27"/>
              <w:bidi w:val="0"/>
            </w:pPr>
          </w:p>
        </w:tc>
        <w:tc>
          <w:tcPr>
            <w:tcW w:w="4056" w:type="dxa"/>
            <w:noWrap w:val="0"/>
            <w:vAlign w:val="center"/>
          </w:tcPr>
          <w:p>
            <w:pPr>
              <w:pStyle w:val="27"/>
              <w:bidi w:val="0"/>
            </w:pPr>
            <w:r>
              <w:t>图件</w:t>
            </w:r>
          </w:p>
        </w:tc>
        <w:tc>
          <w:tcPr>
            <w:tcW w:w="1209" w:type="dxa"/>
            <w:noWrap w:val="0"/>
            <w:vAlign w:val="center"/>
          </w:tcPr>
          <w:p>
            <w:pPr>
              <w:pStyle w:val="27"/>
              <w:bidi w:val="0"/>
            </w:pPr>
            <w:r>
              <w:t>张</w:t>
            </w:r>
          </w:p>
        </w:tc>
        <w:tc>
          <w:tcPr>
            <w:tcW w:w="1381" w:type="dxa"/>
            <w:noWrap w:val="0"/>
            <w:vAlign w:val="center"/>
          </w:tcPr>
          <w:p>
            <w:pPr>
              <w:pStyle w:val="27"/>
              <w:bidi w:val="0"/>
              <w:rPr>
                <w:rFonts w:hint="eastAsia" w:eastAsia="宋体"/>
                <w:lang w:eastAsia="zh-CN"/>
              </w:rPr>
            </w:pPr>
            <w:r>
              <w:rPr>
                <w:rFonts w:hint="eastAsia"/>
                <w:lang w:val="en-US" w:eastAsia="zh-CN"/>
              </w:rPr>
              <w:t>6</w:t>
            </w:r>
          </w:p>
        </w:tc>
      </w:tr>
    </w:tbl>
    <w:p>
      <w:pPr>
        <w:pStyle w:val="4"/>
        <w:bidi w:val="0"/>
        <w:rPr>
          <w:rFonts w:hint="eastAsia"/>
          <w:lang w:val="en-US" w:eastAsia="zh-CN"/>
        </w:rPr>
      </w:pPr>
      <w:r>
        <w:t>（</w:t>
      </w:r>
      <w:r>
        <w:rPr>
          <w:rFonts w:hint="eastAsia"/>
          <w:lang w:val="en-US" w:eastAsia="zh-CN"/>
        </w:rPr>
        <w:t>四</w:t>
      </w:r>
      <w:r>
        <w:t>）</w:t>
      </w:r>
      <w:r>
        <w:rPr>
          <w:rFonts w:hint="eastAsia"/>
          <w:lang w:val="en-US" w:eastAsia="zh-CN"/>
        </w:rPr>
        <w:t>上阶段方案概述</w:t>
      </w:r>
    </w:p>
    <w:p>
      <w:pPr>
        <w:bidi w:val="0"/>
        <w:rPr>
          <w:rFonts w:hint="eastAsia"/>
          <w:color w:val="auto"/>
          <w:lang w:val="en-US" w:eastAsia="zh-CN"/>
        </w:rPr>
      </w:pPr>
      <w:r>
        <w:rPr>
          <w:rFonts w:hint="eastAsia"/>
          <w:color w:val="auto"/>
          <w:lang w:val="en-US" w:eastAsia="zh-CN"/>
        </w:rPr>
        <w:t>原方案采用 “边开采、边修复” 模式，仅完成少量边坡简易监测、零星植被试种，场地平整、覆土、大规模复绿等核心修复工程均未实施，整体落地效果差，未达成治理复垦目标。前期实施过程中暴露出诸多现实短板，矿山开采作业区域持续动态调整，修复场地无法保持稳定，同步开展的治理工程频繁返工难以形成长效治理效果，生产阶段同步投入大额修复资金会加重企业运营负担，加之开采扰动持续破坏植被，苗木存活率难以达标，同时矿山完成改扩建后工业广场、堆料区整体布局发生重大改变，原有修复分区、工程量与现场实际完全脱节。但通过上一轮方案的实践也积累了可行治理经验，明确本矿山不适合边开采边修复，闭坑后集中开展全面修复才适配矿山生产条件，也摸清了高陡边坡、开采台阶为地质灾害重点管控区域，按损毁轻重划分主次防治区的管控方式同样具备实操价值。</w:t>
      </w:r>
    </w:p>
    <w:p>
      <w:pPr>
        <w:bidi w:val="0"/>
        <w:rPr>
          <w:rFonts w:hint="eastAsia"/>
          <w:color w:val="auto"/>
          <w:lang w:val="en-US" w:eastAsia="zh-CN"/>
        </w:rPr>
      </w:pPr>
      <w:r>
        <w:rPr>
          <w:rFonts w:hint="eastAsia"/>
          <w:color w:val="auto"/>
          <w:lang w:val="en-US" w:eastAsia="zh-CN"/>
        </w:rPr>
        <w:t>结合矿山改扩建后的全新现场条件与前期实践经验，本次对方案进行全面修订，整体调整生态修复实施模式，摒弃原有边采边治思路，生产阶段仅开展常态化监测与简易边坡防护，地貌重塑、土壤重构、大规模植被重建等全部主体工程统一安排在闭坑一年集中实施，配套三年长效管护周期。</w:t>
      </w:r>
    </w:p>
    <w:p>
      <w:pPr>
        <w:bidi w:val="0"/>
        <w:rPr>
          <w:rFonts w:hint="eastAsia"/>
          <w:color w:val="auto"/>
          <w:lang w:val="en-US" w:eastAsia="zh-CN"/>
        </w:rPr>
      </w:pPr>
      <w:r>
        <w:rPr>
          <w:rFonts w:hint="eastAsia"/>
          <w:color w:val="auto"/>
          <w:lang w:val="en-US" w:eastAsia="zh-CN"/>
        </w:rPr>
        <w:t>本次修订核心原因在于矿山改扩建造成场内生产布局大幅变动，原有方案各项内容与现场现状脱节，原治理模式存在难以调和的实操矛盾，同时需对标国家及黑龙江省最新矿山生态修复法规、技术规范开展编制，改扩建后土地损毁、地质隐患等基础勘测数据全部更新，原有评估结论不再适用，从合规层面来说政策要求改扩建矿山需重新编制修复方案以满足采矿延续、日常监管及闭坑验收要求，新的时序安排也能优化资金投放节奏，减轻矿山生产阶段资金压力，提升整体修复工程经济合理性。</w:t>
      </w:r>
    </w:p>
    <w:p>
      <w:pPr>
        <w:pStyle w:val="3"/>
        <w:bidi w:val="0"/>
      </w:pPr>
      <w:bookmarkStart w:id="6" w:name="_Toc28106"/>
      <w:r>
        <w:rPr>
          <w:rFonts w:hint="eastAsia"/>
          <w:lang w:val="en-US" w:eastAsia="zh-CN"/>
        </w:rPr>
        <w:t>二</w:t>
      </w:r>
      <w:r>
        <w:rPr>
          <w:rFonts w:hint="eastAsia"/>
          <w:lang w:eastAsia="zh-CN"/>
        </w:rPr>
        <w:t>、</w:t>
      </w:r>
      <w:r>
        <w:t>编制依据</w:t>
      </w:r>
      <w:bookmarkEnd w:id="6"/>
    </w:p>
    <w:p>
      <w:pPr>
        <w:pStyle w:val="4"/>
        <w:bidi w:val="0"/>
      </w:pPr>
      <w:bookmarkStart w:id="7" w:name="_Toc2189"/>
      <w:r>
        <w:t>（</w:t>
      </w:r>
      <w:r>
        <w:rPr>
          <w:rFonts w:hint="eastAsia"/>
          <w:lang w:val="en-US" w:eastAsia="zh-CN"/>
        </w:rPr>
        <w:t>一</w:t>
      </w:r>
      <w:r>
        <w:t>）相关法律法规</w:t>
      </w:r>
      <w:bookmarkEnd w:id="7"/>
    </w:p>
    <w:p>
      <w:pPr>
        <w:bidi w:val="0"/>
      </w:pPr>
      <w:r>
        <w:t>1）《中华人民共和国土地管理法》</w:t>
      </w:r>
      <w:r>
        <w:rPr>
          <w:rFonts w:hint="eastAsia"/>
          <w:lang w:eastAsia="zh-CN"/>
        </w:rPr>
        <w:t>（2019年8月）</w:t>
      </w:r>
      <w:r>
        <w:t>；</w:t>
      </w:r>
    </w:p>
    <w:p>
      <w:pPr>
        <w:bidi w:val="0"/>
      </w:pPr>
      <w:r>
        <w:t>2）《中华人民共和国土地管理法实施条例》</w:t>
      </w:r>
      <w:r>
        <w:rPr>
          <w:rFonts w:hint="eastAsia"/>
          <w:lang w:eastAsia="zh-CN"/>
        </w:rPr>
        <w:t>（</w:t>
      </w:r>
      <w:r>
        <w:t>2021年9</w:t>
      </w:r>
      <w:r>
        <w:rPr>
          <w:rFonts w:hint="eastAsia"/>
          <w:lang w:eastAsia="zh-CN"/>
        </w:rPr>
        <w:t>月1日起实施）</w:t>
      </w:r>
      <w:r>
        <w:t>；</w:t>
      </w:r>
    </w:p>
    <w:p>
      <w:pPr>
        <w:bidi w:val="0"/>
      </w:pPr>
      <w:r>
        <w:t>3）《中华人民共和国水土保持法》</w:t>
      </w:r>
      <w:r>
        <w:rPr>
          <w:rFonts w:hint="eastAsia"/>
          <w:lang w:eastAsia="zh-CN"/>
        </w:rPr>
        <w:t>（</w:t>
      </w:r>
      <w:r>
        <w:t>2010年12月</w:t>
      </w:r>
      <w:r>
        <w:rPr>
          <w:rFonts w:hint="eastAsia"/>
          <w:lang w:eastAsia="zh-CN"/>
        </w:rPr>
        <w:t>）</w:t>
      </w:r>
      <w:r>
        <w:t>；</w:t>
      </w:r>
    </w:p>
    <w:p>
      <w:pPr>
        <w:bidi w:val="0"/>
      </w:pPr>
      <w:r>
        <w:t>4）《中华人民共和国环境保护法》</w:t>
      </w:r>
      <w:r>
        <w:rPr>
          <w:rFonts w:hint="eastAsia"/>
          <w:lang w:eastAsia="zh-CN"/>
        </w:rPr>
        <w:t>（2014年4月）</w:t>
      </w:r>
      <w:r>
        <w:t>；</w:t>
      </w:r>
    </w:p>
    <w:p>
      <w:pPr>
        <w:bidi w:val="0"/>
      </w:pPr>
      <w:r>
        <w:t>5）《中华人民共和国矿产资源法》（2024年11月8日修订）；</w:t>
      </w:r>
    </w:p>
    <w:p>
      <w:pPr>
        <w:bidi w:val="0"/>
      </w:pPr>
      <w:r>
        <w:t>6）《中华人民共和国水法》</w:t>
      </w:r>
      <w:r>
        <w:rPr>
          <w:rFonts w:hint="eastAsia"/>
          <w:lang w:eastAsia="zh-CN"/>
        </w:rPr>
        <w:t>（2016年9月）</w:t>
      </w:r>
      <w:r>
        <w:t>；</w:t>
      </w:r>
    </w:p>
    <w:p>
      <w:pPr>
        <w:bidi w:val="0"/>
      </w:pPr>
      <w:r>
        <w:t>7）《</w:t>
      </w:r>
      <w:r>
        <w:rPr>
          <w:rFonts w:hint="eastAsia"/>
          <w:lang w:eastAsia="zh-CN"/>
        </w:rPr>
        <w:t>中华人民共和国固体废物污染环境防治法</w:t>
      </w:r>
      <w:r>
        <w:t>》</w:t>
      </w:r>
      <w:r>
        <w:rPr>
          <w:rFonts w:hint="eastAsia"/>
          <w:lang w:eastAsia="zh-CN"/>
        </w:rPr>
        <w:t>（</w:t>
      </w:r>
      <w:r>
        <w:t>2016年11月</w:t>
      </w:r>
      <w:r>
        <w:rPr>
          <w:rFonts w:hint="eastAsia"/>
          <w:lang w:eastAsia="zh-CN"/>
        </w:rPr>
        <w:t>）</w:t>
      </w:r>
      <w:r>
        <w:t>；</w:t>
      </w:r>
    </w:p>
    <w:p>
      <w:pPr>
        <w:bidi w:val="0"/>
      </w:pPr>
      <w:r>
        <w:t>8）《中华人民共和国土地复垦条例》</w:t>
      </w:r>
      <w:r>
        <w:rPr>
          <w:rFonts w:hint="eastAsia"/>
          <w:lang w:eastAsia="zh-CN"/>
        </w:rPr>
        <w:t>（</w:t>
      </w:r>
      <w:r>
        <w:t>2011年3月</w:t>
      </w:r>
      <w:r>
        <w:rPr>
          <w:rFonts w:hint="eastAsia"/>
          <w:lang w:eastAsia="zh-CN"/>
        </w:rPr>
        <w:t>）</w:t>
      </w:r>
      <w:r>
        <w:t>；</w:t>
      </w:r>
    </w:p>
    <w:p>
      <w:pPr>
        <w:bidi w:val="0"/>
      </w:pPr>
      <w:r>
        <w:t>9）《中华人民共和国建设项目环境保护条例》</w:t>
      </w:r>
      <w:r>
        <w:rPr>
          <w:rFonts w:hint="eastAsia"/>
          <w:lang w:eastAsia="zh-CN"/>
        </w:rPr>
        <w:t>（2017年7月）</w:t>
      </w:r>
      <w:r>
        <w:t>；</w:t>
      </w:r>
    </w:p>
    <w:p>
      <w:pPr>
        <w:bidi w:val="0"/>
      </w:pPr>
      <w:r>
        <w:t>10）</w:t>
      </w:r>
      <w:r>
        <w:rPr>
          <w:rFonts w:hint="eastAsia"/>
          <w:lang w:eastAsia="zh-CN"/>
        </w:rPr>
        <w:t>《中华人民共和国</w:t>
      </w:r>
      <w:r>
        <w:t>黑土地保护法》（2022年8月1日起施行）；</w:t>
      </w:r>
    </w:p>
    <w:p>
      <w:pPr>
        <w:bidi w:val="0"/>
      </w:pPr>
      <w:r>
        <w:t>11）《矿山地质环境保护规定》</w:t>
      </w:r>
      <w:r>
        <w:rPr>
          <w:rFonts w:hint="eastAsia"/>
          <w:lang w:eastAsia="zh-CN"/>
        </w:rPr>
        <w:t>（2016年9月）</w:t>
      </w:r>
      <w:r>
        <w:t>；</w:t>
      </w:r>
    </w:p>
    <w:p>
      <w:pPr>
        <w:bidi w:val="0"/>
      </w:pPr>
      <w:r>
        <w:t>12）《土地复垦条例实施办法》</w:t>
      </w:r>
      <w:r>
        <w:rPr>
          <w:rFonts w:hint="eastAsia"/>
          <w:lang w:eastAsia="zh-CN"/>
        </w:rPr>
        <w:t>（</w:t>
      </w:r>
      <w:r>
        <w:t>2013年3月</w:t>
      </w:r>
      <w:r>
        <w:rPr>
          <w:rFonts w:hint="eastAsia"/>
          <w:lang w:eastAsia="zh-CN"/>
        </w:rPr>
        <w:t>）</w:t>
      </w:r>
      <w:r>
        <w:t>；</w:t>
      </w:r>
    </w:p>
    <w:p>
      <w:pPr>
        <w:bidi w:val="0"/>
      </w:pPr>
      <w:r>
        <w:t>13）《黑龙江省土地管理条例》</w:t>
      </w:r>
      <w:r>
        <w:rPr>
          <w:rFonts w:hint="eastAsia"/>
          <w:lang w:eastAsia="zh-CN"/>
        </w:rPr>
        <w:t>（2015年5月）</w:t>
      </w:r>
      <w:r>
        <w:t>；</w:t>
      </w:r>
    </w:p>
    <w:p>
      <w:pPr>
        <w:bidi w:val="0"/>
      </w:pPr>
      <w:r>
        <w:t>14）《黑龙江省黑土地保护利用条例》（2024年3月1日起施行）。</w:t>
      </w:r>
    </w:p>
    <w:p>
      <w:pPr>
        <w:pStyle w:val="4"/>
        <w:bidi w:val="0"/>
        <w:rPr>
          <w:rFonts w:hint="default"/>
        </w:rPr>
      </w:pPr>
      <w:bookmarkStart w:id="8" w:name="_Toc29663"/>
      <w:r>
        <w:rPr>
          <w:rFonts w:hint="eastAsia"/>
        </w:rPr>
        <w:t>（</w:t>
      </w:r>
      <w:r>
        <w:rPr>
          <w:rFonts w:hint="eastAsia"/>
          <w:lang w:val="en-US" w:eastAsia="zh-CN"/>
        </w:rPr>
        <w:t>二</w:t>
      </w:r>
      <w:r>
        <w:rPr>
          <w:rFonts w:hint="eastAsia"/>
        </w:rPr>
        <w:t>）政策文件</w:t>
      </w:r>
      <w:bookmarkEnd w:id="8"/>
    </w:p>
    <w:p>
      <w:pPr>
        <w:bidi w:val="0"/>
      </w:pPr>
      <w:r>
        <w:t>1）《国土资源部关于贯彻实施</w:t>
      </w:r>
      <w:r>
        <w:rPr>
          <w:rFonts w:hint="eastAsia"/>
          <w:lang w:eastAsia="zh-CN"/>
        </w:rPr>
        <w:t>〈</w:t>
      </w:r>
      <w:r>
        <w:t>土地复垦条例</w:t>
      </w:r>
      <w:r>
        <w:rPr>
          <w:rFonts w:hint="eastAsia"/>
          <w:lang w:eastAsia="zh-CN"/>
        </w:rPr>
        <w:t>〉的通知》（</w:t>
      </w:r>
      <w:r>
        <w:t>国土资发</w:t>
      </w:r>
      <w:r>
        <w:rPr>
          <w:rFonts w:hint="eastAsia"/>
          <w:lang w:eastAsia="zh-CN"/>
        </w:rPr>
        <w:t>〔2011〕50号）</w:t>
      </w:r>
      <w:r>
        <w:t>；</w:t>
      </w:r>
    </w:p>
    <w:p>
      <w:pPr>
        <w:bidi w:val="0"/>
      </w:pPr>
      <w:r>
        <w:t>2）《黑龙江省人民政府办公厅“关于进一步加强和规范土地复垦工作的通知”》</w:t>
      </w:r>
      <w:r>
        <w:rPr>
          <w:rFonts w:hint="eastAsia"/>
          <w:lang w:eastAsia="zh-CN"/>
        </w:rPr>
        <w:t>（</w:t>
      </w:r>
      <w:r>
        <w:t>黑政办发</w:t>
      </w:r>
      <w:r>
        <w:rPr>
          <w:rFonts w:hint="eastAsia"/>
          <w:lang w:eastAsia="zh-CN"/>
        </w:rPr>
        <w:t>〔2012〕84号）</w:t>
      </w:r>
      <w:r>
        <w:t>；</w:t>
      </w:r>
    </w:p>
    <w:p>
      <w:pPr>
        <w:bidi w:val="0"/>
      </w:pPr>
      <w:r>
        <w:t>3）《国土资源部办公厅关于做好矿山地质环境保护与土地复垦方案编报有关工作的通知》</w:t>
      </w:r>
      <w:r>
        <w:rPr>
          <w:rFonts w:hint="eastAsia"/>
          <w:lang w:eastAsia="zh-CN"/>
        </w:rPr>
        <w:t>（</w:t>
      </w:r>
      <w:r>
        <w:t>国土资规</w:t>
      </w:r>
      <w:r>
        <w:rPr>
          <w:rFonts w:hint="eastAsia"/>
          <w:lang w:eastAsia="zh-CN"/>
        </w:rPr>
        <w:t>〔2016〕21号）</w:t>
      </w:r>
      <w:r>
        <w:t>；</w:t>
      </w:r>
    </w:p>
    <w:p>
      <w:pPr>
        <w:widowControl/>
        <w:ind w:firstLine="560"/>
        <w:rPr>
          <w:sz w:val="28"/>
          <w:szCs w:val="28"/>
        </w:rPr>
      </w:pPr>
      <w:r>
        <w:rPr>
          <w:sz w:val="28"/>
          <w:szCs w:val="28"/>
        </w:rPr>
        <w:t>4）《黑龙江省国土资源厅关于矿山地质环境保护与治理恢复方案和土地复垦方案合并编制有关问题的通知》</w:t>
      </w:r>
      <w:r>
        <w:rPr>
          <w:rFonts w:hint="eastAsia"/>
          <w:sz w:val="28"/>
          <w:szCs w:val="28"/>
          <w:lang w:eastAsia="zh-CN"/>
        </w:rPr>
        <w:t>（</w:t>
      </w:r>
      <w:r>
        <w:rPr>
          <w:sz w:val="28"/>
          <w:szCs w:val="28"/>
        </w:rPr>
        <w:t>黑国土资发</w:t>
      </w:r>
      <w:r>
        <w:rPr>
          <w:rFonts w:hint="eastAsia"/>
          <w:sz w:val="28"/>
          <w:szCs w:val="28"/>
          <w:lang w:eastAsia="zh-CN"/>
        </w:rPr>
        <w:t>〔2017〕147号）（</w:t>
      </w:r>
      <w:r>
        <w:rPr>
          <w:sz w:val="28"/>
          <w:szCs w:val="28"/>
        </w:rPr>
        <w:t>2017年8月22日</w:t>
      </w:r>
      <w:r>
        <w:rPr>
          <w:rFonts w:hint="eastAsia"/>
          <w:sz w:val="28"/>
          <w:szCs w:val="28"/>
          <w:lang w:eastAsia="zh-CN"/>
        </w:rPr>
        <w:t>）</w:t>
      </w:r>
      <w:r>
        <w:rPr>
          <w:sz w:val="28"/>
          <w:szCs w:val="28"/>
        </w:rPr>
        <w:t>。</w:t>
      </w:r>
    </w:p>
    <w:p>
      <w:pPr>
        <w:bidi w:val="0"/>
      </w:pPr>
      <w:r>
        <w:t>5）《自然资源部关于规范临时用地管理的通知》自然资规〔2021〕2号；</w:t>
      </w:r>
    </w:p>
    <w:p>
      <w:pPr>
        <w:bidi w:val="0"/>
      </w:pPr>
      <w:r>
        <w:t>6）自然资源部、农业农村部、国家林业和草原局《关于严格耕地用途管制有关问题的通知》（自然资发</w:t>
      </w:r>
      <w:r>
        <w:rPr>
          <w:rFonts w:hint="eastAsia"/>
          <w:lang w:eastAsia="zh-CN"/>
        </w:rPr>
        <w:t>〔2021〕166号</w:t>
      </w:r>
      <w:r>
        <w:t>）；</w:t>
      </w:r>
    </w:p>
    <w:p>
      <w:pPr>
        <w:bidi w:val="0"/>
      </w:pPr>
      <w:r>
        <w:t>7）《自然资源部关于进一步加强生产矿山生态修复监管工作的通知（征求意见稿</w:t>
      </w:r>
      <w:r>
        <w:rPr>
          <w:rFonts w:hint="eastAsia"/>
          <w:lang w:eastAsia="zh-CN"/>
        </w:rPr>
        <w:t>）》</w:t>
      </w:r>
      <w:r>
        <w:t>自然资规〔2024〕53号；</w:t>
      </w:r>
    </w:p>
    <w:p>
      <w:pPr>
        <w:bidi w:val="0"/>
      </w:pPr>
      <w:r>
        <w:t>8）《自然资源部关于进一步加强生产矿山生态修复监管工作的通知（二次征求意见稿）》自然资规〔2025〕33号</w:t>
      </w:r>
      <w:r>
        <w:rPr>
          <w:rFonts w:hint="eastAsia"/>
        </w:rPr>
        <w:t>；</w:t>
      </w:r>
    </w:p>
    <w:p>
      <w:pPr>
        <w:bidi w:val="0"/>
      </w:pPr>
      <w:r>
        <w:t>9）黑龙江省自然资源厅 黑龙江省农业农村厅  黑龙江省林业和草原局《关于严格耕地用途管制的通知》（黑自然资发</w:t>
      </w:r>
      <w:r>
        <w:rPr>
          <w:rFonts w:hint="eastAsia"/>
          <w:lang w:eastAsia="zh-CN"/>
        </w:rPr>
        <w:t>〔2022〕162号</w:t>
      </w:r>
      <w:r>
        <w:t>）；</w:t>
      </w:r>
    </w:p>
    <w:p>
      <w:pPr>
        <w:bidi w:val="0"/>
      </w:pPr>
      <w:r>
        <w:t>10）黑龙江省自然资源厅 黑龙江省农业农村厅《关于进一步加强建设占用耕地耕作层土壤剥离利用管理工作的通知》（黑自然资发</w:t>
      </w:r>
      <w:r>
        <w:rPr>
          <w:rFonts w:hint="eastAsia"/>
          <w:lang w:eastAsia="zh-CN"/>
        </w:rPr>
        <w:t>〔2022〕163号</w:t>
      </w:r>
      <w:r>
        <w:t>）；</w:t>
      </w:r>
    </w:p>
    <w:p>
      <w:pPr>
        <w:ind w:firstLine="560"/>
        <w:rPr>
          <w:rFonts w:hint="eastAsia"/>
          <w:sz w:val="28"/>
          <w:szCs w:val="28"/>
          <w:lang w:eastAsia="zh-CN"/>
        </w:rPr>
      </w:pPr>
      <w:r>
        <w:rPr>
          <w:sz w:val="28"/>
          <w:szCs w:val="28"/>
        </w:rPr>
        <w:t>11）《黑龙江省自然资源厅发证的矿产资源（非油气）开发利用方案审查指南》（黑自然资发〔2024〕53号</w:t>
      </w:r>
      <w:r>
        <w:rPr>
          <w:rFonts w:hint="eastAsia"/>
          <w:sz w:val="28"/>
          <w:szCs w:val="28"/>
          <w:lang w:eastAsia="zh-CN"/>
        </w:rPr>
        <w:t>）；</w:t>
      </w:r>
    </w:p>
    <w:p>
      <w:pPr>
        <w:ind w:firstLine="560"/>
        <w:rPr>
          <w:rFonts w:hint="default"/>
          <w:sz w:val="28"/>
          <w:szCs w:val="28"/>
          <w:lang w:val="en-US" w:eastAsia="zh-CN"/>
        </w:rPr>
      </w:pPr>
      <w:r>
        <w:rPr>
          <w:sz w:val="28"/>
          <w:szCs w:val="28"/>
        </w:rPr>
        <w:t>1</w:t>
      </w:r>
      <w:r>
        <w:rPr>
          <w:rFonts w:hint="eastAsia"/>
          <w:sz w:val="28"/>
          <w:szCs w:val="28"/>
          <w:lang w:val="en-US" w:eastAsia="zh-CN"/>
        </w:rPr>
        <w:t>2</w:t>
      </w:r>
      <w:r>
        <w:rPr>
          <w:sz w:val="28"/>
          <w:szCs w:val="28"/>
        </w:rPr>
        <w:t>）</w:t>
      </w:r>
      <w:r>
        <w:rPr>
          <w:rFonts w:hint="eastAsia"/>
          <w:sz w:val="28"/>
          <w:szCs w:val="28"/>
          <w:lang w:eastAsia="zh-CN"/>
        </w:rPr>
        <w:t>《自然资源部办公厅下发“关于做好《矿产资源法》实施过渡期内矿区生态修复方案编制评审有关工作的通知”》 （自然资办函﹝2025﹞2043号）</w:t>
      </w:r>
      <w:r>
        <w:rPr>
          <w:sz w:val="28"/>
          <w:szCs w:val="28"/>
        </w:rPr>
        <w:t>。</w:t>
      </w:r>
    </w:p>
    <w:p>
      <w:pPr>
        <w:pStyle w:val="4"/>
        <w:bidi w:val="0"/>
      </w:pPr>
      <w:bookmarkStart w:id="9" w:name="_Toc230"/>
      <w:r>
        <w:t>（</w:t>
      </w:r>
      <w:r>
        <w:rPr>
          <w:rFonts w:hint="eastAsia"/>
          <w:lang w:val="en-US" w:eastAsia="zh-CN"/>
        </w:rPr>
        <w:t>三</w:t>
      </w:r>
      <w:r>
        <w:t>）执行技术标准</w:t>
      </w:r>
      <w:bookmarkEnd w:id="9"/>
    </w:p>
    <w:p>
      <w:pPr>
        <w:ind w:firstLine="560"/>
        <w:rPr>
          <w:sz w:val="28"/>
          <w:szCs w:val="28"/>
        </w:rPr>
      </w:pPr>
      <w:r>
        <w:rPr>
          <w:sz w:val="28"/>
          <w:szCs w:val="28"/>
        </w:rPr>
        <w:t>1）《区域地质图图例》</w:t>
      </w:r>
      <w:r>
        <w:rPr>
          <w:rFonts w:hint="eastAsia"/>
          <w:sz w:val="28"/>
          <w:szCs w:val="28"/>
          <w:lang w:eastAsia="zh-CN"/>
        </w:rPr>
        <w:t>（GB/T958-2015）</w:t>
      </w:r>
      <w:r>
        <w:rPr>
          <w:sz w:val="28"/>
          <w:szCs w:val="28"/>
        </w:rPr>
        <w:t>；</w:t>
      </w:r>
    </w:p>
    <w:p>
      <w:pPr>
        <w:ind w:firstLine="560"/>
        <w:rPr>
          <w:sz w:val="28"/>
          <w:szCs w:val="28"/>
        </w:rPr>
      </w:pPr>
      <w:r>
        <w:rPr>
          <w:sz w:val="28"/>
          <w:szCs w:val="28"/>
        </w:rPr>
        <w:t>2）《综合工程地质图图例及色标》</w:t>
      </w:r>
      <w:r>
        <w:rPr>
          <w:rFonts w:hint="eastAsia"/>
          <w:sz w:val="28"/>
          <w:szCs w:val="28"/>
          <w:lang w:eastAsia="zh-CN"/>
        </w:rPr>
        <w:t>（GB/T12328-1990）</w:t>
      </w:r>
      <w:r>
        <w:rPr>
          <w:sz w:val="28"/>
          <w:szCs w:val="28"/>
        </w:rPr>
        <w:t>；</w:t>
      </w:r>
    </w:p>
    <w:p>
      <w:pPr>
        <w:ind w:firstLine="560"/>
        <w:rPr>
          <w:sz w:val="28"/>
          <w:szCs w:val="28"/>
        </w:rPr>
      </w:pPr>
      <w:r>
        <w:rPr>
          <w:sz w:val="28"/>
          <w:szCs w:val="28"/>
        </w:rPr>
        <w:t>3）《</w:t>
      </w:r>
      <w:r>
        <w:rPr>
          <w:rFonts w:hint="eastAsia"/>
          <w:sz w:val="28"/>
          <w:szCs w:val="28"/>
          <w:lang w:eastAsia="zh-CN"/>
        </w:rPr>
        <w:t>矿区水文地质工程地质勘查规范</w:t>
      </w:r>
      <w:r>
        <w:rPr>
          <w:sz w:val="28"/>
          <w:szCs w:val="28"/>
        </w:rPr>
        <w:t>》</w:t>
      </w:r>
      <w:r>
        <w:rPr>
          <w:rFonts w:hint="eastAsia"/>
          <w:sz w:val="28"/>
          <w:szCs w:val="28"/>
          <w:lang w:eastAsia="zh-CN"/>
        </w:rPr>
        <w:t>（GB/T12719-2021）</w:t>
      </w:r>
      <w:r>
        <w:rPr>
          <w:sz w:val="28"/>
          <w:szCs w:val="28"/>
        </w:rPr>
        <w:t>；</w:t>
      </w:r>
    </w:p>
    <w:p>
      <w:pPr>
        <w:ind w:firstLine="560"/>
        <w:rPr>
          <w:sz w:val="28"/>
          <w:szCs w:val="28"/>
        </w:rPr>
      </w:pPr>
      <w:r>
        <w:rPr>
          <w:sz w:val="28"/>
          <w:szCs w:val="28"/>
        </w:rPr>
        <w:t>4）《土地利用现状分类》</w:t>
      </w:r>
      <w:r>
        <w:rPr>
          <w:rFonts w:hint="eastAsia"/>
          <w:sz w:val="28"/>
          <w:szCs w:val="28"/>
          <w:lang w:eastAsia="zh-CN"/>
        </w:rPr>
        <w:t>（GB/T21010-2017）</w:t>
      </w:r>
      <w:r>
        <w:rPr>
          <w:sz w:val="28"/>
          <w:szCs w:val="28"/>
        </w:rPr>
        <w:t>；</w:t>
      </w:r>
    </w:p>
    <w:p>
      <w:pPr>
        <w:bidi w:val="0"/>
      </w:pPr>
      <w:r>
        <w:t>5）《地表水环境质量标准》</w:t>
      </w:r>
      <w:r>
        <w:rPr>
          <w:rFonts w:hint="eastAsia"/>
          <w:lang w:eastAsia="zh-CN"/>
        </w:rPr>
        <w:t>（GB3838-2025）</w:t>
      </w:r>
      <w:r>
        <w:t>；</w:t>
      </w:r>
    </w:p>
    <w:p>
      <w:pPr>
        <w:ind w:firstLine="560"/>
        <w:rPr>
          <w:sz w:val="28"/>
          <w:szCs w:val="28"/>
        </w:rPr>
      </w:pPr>
      <w:r>
        <w:rPr>
          <w:sz w:val="28"/>
          <w:szCs w:val="28"/>
        </w:rPr>
        <w:t>6）《土壤环境质量标准》</w:t>
      </w:r>
      <w:r>
        <w:rPr>
          <w:rFonts w:hint="eastAsia"/>
          <w:sz w:val="28"/>
          <w:szCs w:val="28"/>
          <w:lang w:eastAsia="zh-CN"/>
        </w:rPr>
        <w:t>（GB15618-2018）</w:t>
      </w:r>
      <w:r>
        <w:rPr>
          <w:sz w:val="28"/>
          <w:szCs w:val="28"/>
        </w:rPr>
        <w:t>；</w:t>
      </w:r>
    </w:p>
    <w:p>
      <w:pPr>
        <w:ind w:firstLine="560"/>
        <w:rPr>
          <w:sz w:val="28"/>
          <w:szCs w:val="28"/>
        </w:rPr>
      </w:pPr>
      <w:r>
        <w:rPr>
          <w:sz w:val="28"/>
          <w:szCs w:val="28"/>
        </w:rPr>
        <w:t>7）《水土保持综合治理技术规范》</w:t>
      </w:r>
      <w:r>
        <w:rPr>
          <w:rFonts w:hint="eastAsia"/>
          <w:sz w:val="28"/>
          <w:szCs w:val="28"/>
          <w:lang w:eastAsia="zh-CN"/>
        </w:rPr>
        <w:t>（</w:t>
      </w:r>
      <w:r>
        <w:rPr>
          <w:sz w:val="28"/>
          <w:szCs w:val="28"/>
        </w:rPr>
        <w:t>GB/T16453-2008</w:t>
      </w:r>
      <w:r>
        <w:rPr>
          <w:rFonts w:hint="eastAsia"/>
          <w:sz w:val="28"/>
          <w:szCs w:val="28"/>
          <w:lang w:eastAsia="zh-CN"/>
        </w:rPr>
        <w:t>）</w:t>
      </w:r>
      <w:r>
        <w:rPr>
          <w:sz w:val="28"/>
          <w:szCs w:val="28"/>
        </w:rPr>
        <w:t>；</w:t>
      </w:r>
    </w:p>
    <w:p>
      <w:pPr>
        <w:ind w:firstLine="560"/>
        <w:rPr>
          <w:sz w:val="28"/>
          <w:szCs w:val="28"/>
        </w:rPr>
      </w:pPr>
      <w:r>
        <w:rPr>
          <w:sz w:val="28"/>
          <w:szCs w:val="28"/>
        </w:rPr>
        <w:t>8）《生态公益林建设技术规程》</w:t>
      </w:r>
      <w:r>
        <w:rPr>
          <w:rFonts w:hint="eastAsia"/>
          <w:sz w:val="28"/>
          <w:szCs w:val="28"/>
          <w:lang w:eastAsia="zh-CN"/>
        </w:rPr>
        <w:t>（</w:t>
      </w:r>
      <w:r>
        <w:rPr>
          <w:sz w:val="28"/>
          <w:szCs w:val="28"/>
        </w:rPr>
        <w:t>GB/T18337.2-2001</w:t>
      </w:r>
      <w:r>
        <w:rPr>
          <w:rFonts w:hint="eastAsia"/>
          <w:sz w:val="28"/>
          <w:szCs w:val="28"/>
          <w:lang w:eastAsia="zh-CN"/>
        </w:rPr>
        <w:t>）</w:t>
      </w:r>
      <w:r>
        <w:rPr>
          <w:sz w:val="28"/>
          <w:szCs w:val="28"/>
        </w:rPr>
        <w:t>；</w:t>
      </w:r>
    </w:p>
    <w:p>
      <w:pPr>
        <w:ind w:firstLine="560"/>
        <w:rPr>
          <w:sz w:val="28"/>
          <w:szCs w:val="28"/>
        </w:rPr>
      </w:pPr>
      <w:r>
        <w:rPr>
          <w:sz w:val="28"/>
          <w:szCs w:val="28"/>
        </w:rPr>
        <w:t>9）《土地基本术语》</w:t>
      </w:r>
      <w:r>
        <w:rPr>
          <w:rFonts w:hint="eastAsia"/>
          <w:sz w:val="28"/>
          <w:szCs w:val="28"/>
          <w:lang w:eastAsia="zh-CN"/>
        </w:rPr>
        <w:t>（GB/T19231-2003）</w:t>
      </w:r>
      <w:r>
        <w:rPr>
          <w:sz w:val="28"/>
          <w:szCs w:val="28"/>
        </w:rPr>
        <w:t>；</w:t>
      </w:r>
    </w:p>
    <w:p>
      <w:pPr>
        <w:ind w:firstLine="560"/>
        <w:rPr>
          <w:sz w:val="28"/>
          <w:szCs w:val="28"/>
        </w:rPr>
      </w:pPr>
      <w:r>
        <w:rPr>
          <w:sz w:val="28"/>
          <w:szCs w:val="28"/>
        </w:rPr>
        <w:t>10）《地质灾害危险性评估规范》</w:t>
      </w:r>
      <w:r>
        <w:rPr>
          <w:rFonts w:hint="eastAsia"/>
          <w:sz w:val="28"/>
          <w:szCs w:val="28"/>
          <w:lang w:eastAsia="zh-CN"/>
        </w:rPr>
        <w:t>（</w:t>
      </w:r>
      <w:r>
        <w:rPr>
          <w:sz w:val="28"/>
          <w:szCs w:val="28"/>
        </w:rPr>
        <w:t>GB/T 40112-2021</w:t>
      </w:r>
      <w:r>
        <w:rPr>
          <w:rFonts w:hint="eastAsia"/>
          <w:sz w:val="28"/>
          <w:szCs w:val="28"/>
          <w:lang w:eastAsia="zh-CN"/>
        </w:rPr>
        <w:t>）</w:t>
      </w:r>
      <w:r>
        <w:rPr>
          <w:sz w:val="28"/>
          <w:szCs w:val="28"/>
        </w:rPr>
        <w:t>；</w:t>
      </w:r>
    </w:p>
    <w:p>
      <w:pPr>
        <w:ind w:firstLine="560"/>
        <w:rPr>
          <w:sz w:val="28"/>
          <w:szCs w:val="28"/>
        </w:rPr>
      </w:pPr>
      <w:r>
        <w:rPr>
          <w:sz w:val="28"/>
          <w:szCs w:val="28"/>
        </w:rPr>
        <w:t>11）《矿山生态修复技术规范 第一部分：通则》（TDT 1070.1-2022）；</w:t>
      </w:r>
    </w:p>
    <w:p>
      <w:pPr>
        <w:ind w:firstLine="560"/>
        <w:rPr>
          <w:sz w:val="28"/>
          <w:szCs w:val="28"/>
        </w:rPr>
      </w:pPr>
      <w:r>
        <w:rPr>
          <w:sz w:val="28"/>
          <w:szCs w:val="28"/>
        </w:rPr>
        <w:t>12）《煤矿土地复垦与生态修复技术规范》</w:t>
      </w:r>
      <w:r>
        <w:rPr>
          <w:rFonts w:hint="eastAsia"/>
          <w:sz w:val="28"/>
          <w:szCs w:val="28"/>
          <w:lang w:eastAsia="zh-CN"/>
        </w:rPr>
        <w:t>（</w:t>
      </w:r>
      <w:r>
        <w:rPr>
          <w:sz w:val="28"/>
          <w:szCs w:val="28"/>
        </w:rPr>
        <w:t>GB/T 43934-2024</w:t>
      </w:r>
      <w:r>
        <w:rPr>
          <w:rFonts w:hint="eastAsia"/>
          <w:sz w:val="28"/>
          <w:szCs w:val="28"/>
          <w:lang w:eastAsia="zh-CN"/>
        </w:rPr>
        <w:t>）</w:t>
      </w:r>
      <w:r>
        <w:rPr>
          <w:sz w:val="28"/>
          <w:szCs w:val="28"/>
        </w:rPr>
        <w:t>；</w:t>
      </w:r>
    </w:p>
    <w:p>
      <w:pPr>
        <w:ind w:firstLine="560"/>
        <w:rPr>
          <w:sz w:val="28"/>
          <w:szCs w:val="28"/>
        </w:rPr>
      </w:pPr>
      <w:r>
        <w:rPr>
          <w:sz w:val="28"/>
          <w:szCs w:val="28"/>
        </w:rPr>
        <w:t>13）《矿山生态修复技术规范 第</w:t>
      </w:r>
      <w:r>
        <w:rPr>
          <w:rFonts w:hint="eastAsia"/>
          <w:sz w:val="28"/>
          <w:szCs w:val="28"/>
          <w:lang w:val="en-US" w:eastAsia="zh-CN"/>
        </w:rPr>
        <w:t>四</w:t>
      </w:r>
      <w:r>
        <w:rPr>
          <w:sz w:val="28"/>
          <w:szCs w:val="28"/>
        </w:rPr>
        <w:t>部分：</w:t>
      </w:r>
      <w:r>
        <w:rPr>
          <w:rFonts w:hint="eastAsia"/>
          <w:sz w:val="28"/>
          <w:szCs w:val="28"/>
          <w:lang w:val="en-US" w:eastAsia="zh-CN"/>
        </w:rPr>
        <w:t>建材</w:t>
      </w:r>
      <w:r>
        <w:rPr>
          <w:sz w:val="28"/>
          <w:szCs w:val="28"/>
        </w:rPr>
        <w:t>矿山》（TDT 1070.</w:t>
      </w:r>
      <w:r>
        <w:rPr>
          <w:rFonts w:hint="eastAsia"/>
          <w:sz w:val="28"/>
          <w:szCs w:val="28"/>
          <w:lang w:val="en-US" w:eastAsia="zh-CN"/>
        </w:rPr>
        <w:t>4</w:t>
      </w:r>
      <w:r>
        <w:rPr>
          <w:sz w:val="28"/>
          <w:szCs w:val="28"/>
        </w:rPr>
        <w:t>-2022）；</w:t>
      </w:r>
    </w:p>
    <w:p>
      <w:pPr>
        <w:ind w:firstLine="560"/>
        <w:rPr>
          <w:sz w:val="28"/>
          <w:szCs w:val="28"/>
        </w:rPr>
      </w:pPr>
      <w:r>
        <w:rPr>
          <w:sz w:val="28"/>
          <w:szCs w:val="28"/>
        </w:rPr>
        <w:t>14）《矿山生态修复工程验收规范》TD/T 1092-2024；</w:t>
      </w:r>
    </w:p>
    <w:p>
      <w:pPr>
        <w:ind w:firstLine="560"/>
        <w:rPr>
          <w:sz w:val="28"/>
          <w:szCs w:val="28"/>
        </w:rPr>
      </w:pPr>
      <w:r>
        <w:rPr>
          <w:sz w:val="28"/>
          <w:szCs w:val="28"/>
        </w:rPr>
        <w:t>15）《矿山土地复垦与生态修复监测评价技术规范》（GB∕T 43935-2024）；</w:t>
      </w:r>
    </w:p>
    <w:p>
      <w:pPr>
        <w:ind w:firstLine="560"/>
        <w:rPr>
          <w:sz w:val="28"/>
          <w:szCs w:val="28"/>
        </w:rPr>
      </w:pPr>
      <w:r>
        <w:rPr>
          <w:sz w:val="28"/>
          <w:szCs w:val="28"/>
        </w:rPr>
        <w:t>16）《崩塌、滑坡、泥石流监测规范》</w:t>
      </w:r>
      <w:r>
        <w:rPr>
          <w:rFonts w:hint="eastAsia"/>
          <w:sz w:val="28"/>
          <w:szCs w:val="28"/>
          <w:lang w:eastAsia="zh-CN"/>
        </w:rPr>
        <w:t>（</w:t>
      </w:r>
      <w:r>
        <w:rPr>
          <w:sz w:val="28"/>
          <w:szCs w:val="28"/>
        </w:rPr>
        <w:t>DZ/T 0221-2006</w:t>
      </w:r>
      <w:r>
        <w:rPr>
          <w:rFonts w:hint="eastAsia"/>
          <w:sz w:val="28"/>
          <w:szCs w:val="28"/>
          <w:lang w:eastAsia="zh-CN"/>
        </w:rPr>
        <w:t>）</w:t>
      </w:r>
      <w:r>
        <w:rPr>
          <w:sz w:val="28"/>
          <w:szCs w:val="28"/>
        </w:rPr>
        <w:t>；</w:t>
      </w:r>
    </w:p>
    <w:p>
      <w:pPr>
        <w:ind w:firstLine="560"/>
        <w:rPr>
          <w:sz w:val="28"/>
          <w:szCs w:val="28"/>
        </w:rPr>
      </w:pPr>
      <w:r>
        <w:rPr>
          <w:sz w:val="28"/>
          <w:szCs w:val="28"/>
        </w:rPr>
        <w:t>17）《地下水监测规范》</w:t>
      </w:r>
      <w:r>
        <w:rPr>
          <w:rFonts w:hint="eastAsia"/>
          <w:sz w:val="28"/>
          <w:szCs w:val="28"/>
          <w:lang w:eastAsia="zh-CN"/>
        </w:rPr>
        <w:t>（</w:t>
      </w:r>
      <w:r>
        <w:rPr>
          <w:sz w:val="28"/>
          <w:szCs w:val="28"/>
        </w:rPr>
        <w:t>SL/T183-2005</w:t>
      </w:r>
      <w:r>
        <w:rPr>
          <w:rFonts w:hint="eastAsia"/>
          <w:sz w:val="28"/>
          <w:szCs w:val="28"/>
          <w:lang w:eastAsia="zh-CN"/>
        </w:rPr>
        <w:t>）</w:t>
      </w:r>
      <w:r>
        <w:rPr>
          <w:sz w:val="28"/>
          <w:szCs w:val="28"/>
        </w:rPr>
        <w:t>；</w:t>
      </w:r>
    </w:p>
    <w:p>
      <w:pPr>
        <w:ind w:firstLine="560"/>
        <w:rPr>
          <w:sz w:val="28"/>
          <w:szCs w:val="28"/>
        </w:rPr>
      </w:pPr>
      <w:r>
        <w:rPr>
          <w:sz w:val="28"/>
          <w:szCs w:val="28"/>
        </w:rPr>
        <w:t>18）</w:t>
      </w:r>
      <w:r>
        <w:rPr>
          <w:rFonts w:hint="eastAsia"/>
          <w:sz w:val="28"/>
          <w:szCs w:val="28"/>
          <w:lang w:eastAsia="zh-CN"/>
        </w:rPr>
        <w:t>《生态环境状况评价技术规范（试行）》（</w:t>
      </w:r>
      <w:r>
        <w:rPr>
          <w:sz w:val="28"/>
          <w:szCs w:val="28"/>
        </w:rPr>
        <w:t>HJ/T 192-2015</w:t>
      </w:r>
      <w:r>
        <w:rPr>
          <w:rFonts w:hint="eastAsia"/>
          <w:sz w:val="28"/>
          <w:szCs w:val="28"/>
          <w:lang w:eastAsia="zh-CN"/>
        </w:rPr>
        <w:t>）</w:t>
      </w:r>
      <w:r>
        <w:rPr>
          <w:sz w:val="28"/>
          <w:szCs w:val="28"/>
        </w:rPr>
        <w:t>；</w:t>
      </w:r>
    </w:p>
    <w:p>
      <w:pPr>
        <w:ind w:firstLine="560"/>
        <w:rPr>
          <w:sz w:val="28"/>
          <w:szCs w:val="28"/>
        </w:rPr>
      </w:pPr>
      <w:r>
        <w:rPr>
          <w:sz w:val="28"/>
          <w:szCs w:val="28"/>
        </w:rPr>
        <w:t>19）《造林作业设计规程》</w:t>
      </w:r>
      <w:r>
        <w:rPr>
          <w:rFonts w:hint="eastAsia"/>
          <w:sz w:val="28"/>
          <w:szCs w:val="28"/>
          <w:lang w:eastAsia="zh-CN"/>
        </w:rPr>
        <w:t>（</w:t>
      </w:r>
      <w:r>
        <w:rPr>
          <w:sz w:val="28"/>
          <w:szCs w:val="28"/>
        </w:rPr>
        <w:t>LY/T 1607-2003</w:t>
      </w:r>
      <w:r>
        <w:rPr>
          <w:rFonts w:hint="eastAsia"/>
          <w:sz w:val="28"/>
          <w:szCs w:val="28"/>
          <w:lang w:eastAsia="zh-CN"/>
        </w:rPr>
        <w:t>）</w:t>
      </w:r>
      <w:r>
        <w:rPr>
          <w:sz w:val="28"/>
          <w:szCs w:val="28"/>
        </w:rPr>
        <w:t>；</w:t>
      </w:r>
    </w:p>
    <w:p>
      <w:pPr>
        <w:ind w:firstLine="560"/>
        <w:rPr>
          <w:sz w:val="28"/>
          <w:szCs w:val="28"/>
        </w:rPr>
      </w:pPr>
      <w:r>
        <w:rPr>
          <w:sz w:val="28"/>
          <w:szCs w:val="28"/>
        </w:rPr>
        <w:t>20）《人工草地建设技术规程》</w:t>
      </w:r>
      <w:r>
        <w:rPr>
          <w:rFonts w:hint="eastAsia"/>
          <w:sz w:val="28"/>
          <w:szCs w:val="28"/>
          <w:lang w:eastAsia="zh-CN"/>
        </w:rPr>
        <w:t>（</w:t>
      </w:r>
      <w:r>
        <w:rPr>
          <w:sz w:val="28"/>
          <w:szCs w:val="28"/>
        </w:rPr>
        <w:t>NY/T 1342-2007</w:t>
      </w:r>
      <w:r>
        <w:rPr>
          <w:rFonts w:hint="eastAsia"/>
          <w:sz w:val="28"/>
          <w:szCs w:val="28"/>
          <w:lang w:eastAsia="zh-CN"/>
        </w:rPr>
        <w:t>）</w:t>
      </w:r>
      <w:r>
        <w:rPr>
          <w:sz w:val="28"/>
          <w:szCs w:val="28"/>
        </w:rPr>
        <w:t>；</w:t>
      </w:r>
    </w:p>
    <w:p>
      <w:pPr>
        <w:ind w:firstLine="560"/>
        <w:rPr>
          <w:sz w:val="28"/>
          <w:szCs w:val="28"/>
        </w:rPr>
      </w:pPr>
      <w:r>
        <w:rPr>
          <w:sz w:val="28"/>
          <w:szCs w:val="28"/>
        </w:rPr>
        <w:t>21）《第三次全国土地调查技术规程》</w:t>
      </w:r>
      <w:r>
        <w:rPr>
          <w:rFonts w:hint="eastAsia"/>
          <w:sz w:val="28"/>
          <w:szCs w:val="28"/>
          <w:lang w:eastAsia="zh-CN"/>
        </w:rPr>
        <w:t>（</w:t>
      </w:r>
      <w:r>
        <w:rPr>
          <w:sz w:val="28"/>
          <w:szCs w:val="28"/>
        </w:rPr>
        <w:t>TD/T 1055-2019</w:t>
      </w:r>
      <w:r>
        <w:rPr>
          <w:rFonts w:hint="eastAsia"/>
          <w:sz w:val="28"/>
          <w:szCs w:val="28"/>
          <w:lang w:eastAsia="zh-CN"/>
        </w:rPr>
        <w:t>）</w:t>
      </w:r>
      <w:r>
        <w:rPr>
          <w:sz w:val="28"/>
          <w:szCs w:val="28"/>
        </w:rPr>
        <w:t>；</w:t>
      </w:r>
    </w:p>
    <w:p>
      <w:pPr>
        <w:ind w:firstLine="560"/>
        <w:rPr>
          <w:sz w:val="28"/>
          <w:szCs w:val="28"/>
        </w:rPr>
      </w:pPr>
      <w:r>
        <w:rPr>
          <w:sz w:val="28"/>
          <w:szCs w:val="28"/>
        </w:rPr>
        <w:t>22）《土地复垦质量控制标准》</w:t>
      </w:r>
      <w:r>
        <w:rPr>
          <w:rFonts w:hint="eastAsia"/>
          <w:sz w:val="28"/>
          <w:szCs w:val="28"/>
          <w:lang w:eastAsia="zh-CN"/>
        </w:rPr>
        <w:t>（</w:t>
      </w:r>
      <w:r>
        <w:rPr>
          <w:sz w:val="28"/>
          <w:szCs w:val="28"/>
        </w:rPr>
        <w:t>TD/T1520-2013</w:t>
      </w:r>
      <w:r>
        <w:rPr>
          <w:rFonts w:hint="eastAsia"/>
          <w:sz w:val="28"/>
          <w:szCs w:val="28"/>
          <w:lang w:eastAsia="zh-CN"/>
        </w:rPr>
        <w:t>）</w:t>
      </w:r>
      <w:r>
        <w:rPr>
          <w:sz w:val="28"/>
          <w:szCs w:val="28"/>
        </w:rPr>
        <w:t>；</w:t>
      </w:r>
    </w:p>
    <w:p>
      <w:pPr>
        <w:ind w:firstLine="560"/>
        <w:rPr>
          <w:sz w:val="28"/>
          <w:szCs w:val="28"/>
        </w:rPr>
      </w:pPr>
      <w:r>
        <w:rPr>
          <w:sz w:val="28"/>
          <w:szCs w:val="28"/>
        </w:rPr>
        <w:t>23）《生产项目土地复垦验收规程》</w:t>
      </w:r>
      <w:r>
        <w:rPr>
          <w:rFonts w:hint="eastAsia"/>
          <w:sz w:val="28"/>
          <w:szCs w:val="28"/>
          <w:lang w:eastAsia="zh-CN"/>
        </w:rPr>
        <w:t>（</w:t>
      </w:r>
      <w:r>
        <w:rPr>
          <w:sz w:val="28"/>
          <w:szCs w:val="28"/>
        </w:rPr>
        <w:t>TD/T 1044-2014</w:t>
      </w:r>
      <w:r>
        <w:rPr>
          <w:rFonts w:hint="eastAsia"/>
          <w:sz w:val="28"/>
          <w:szCs w:val="28"/>
          <w:lang w:eastAsia="zh-CN"/>
        </w:rPr>
        <w:t>）</w:t>
      </w:r>
      <w:r>
        <w:rPr>
          <w:sz w:val="28"/>
          <w:szCs w:val="28"/>
        </w:rPr>
        <w:t>；</w:t>
      </w:r>
    </w:p>
    <w:p>
      <w:pPr>
        <w:ind w:firstLine="560"/>
        <w:rPr>
          <w:sz w:val="28"/>
          <w:szCs w:val="28"/>
        </w:rPr>
      </w:pPr>
      <w:r>
        <w:rPr>
          <w:sz w:val="28"/>
          <w:szCs w:val="28"/>
        </w:rPr>
        <w:t>24）《矿山地质环境保护与恢复治理方案编制规范》</w:t>
      </w:r>
      <w:r>
        <w:rPr>
          <w:rFonts w:hint="eastAsia"/>
          <w:sz w:val="28"/>
          <w:szCs w:val="28"/>
          <w:lang w:eastAsia="zh-CN"/>
        </w:rPr>
        <w:t>（</w:t>
      </w:r>
      <w:r>
        <w:rPr>
          <w:sz w:val="28"/>
          <w:szCs w:val="28"/>
        </w:rPr>
        <w:t>DZ/T</w:t>
      </w:r>
      <w:r>
        <w:rPr>
          <w:rFonts w:hint="eastAsia"/>
          <w:sz w:val="28"/>
          <w:szCs w:val="28"/>
          <w:lang w:val="en-US" w:eastAsia="zh-CN"/>
        </w:rPr>
        <w:t>0</w:t>
      </w:r>
      <w:r>
        <w:rPr>
          <w:sz w:val="28"/>
          <w:szCs w:val="28"/>
        </w:rPr>
        <w:t>223-2011</w:t>
      </w:r>
      <w:r>
        <w:rPr>
          <w:rFonts w:hint="eastAsia"/>
          <w:sz w:val="28"/>
          <w:szCs w:val="28"/>
          <w:lang w:eastAsia="zh-CN"/>
        </w:rPr>
        <w:t>）</w:t>
      </w:r>
      <w:r>
        <w:rPr>
          <w:sz w:val="28"/>
          <w:szCs w:val="28"/>
        </w:rPr>
        <w:t>；</w:t>
      </w:r>
    </w:p>
    <w:p>
      <w:pPr>
        <w:ind w:firstLine="560"/>
        <w:rPr>
          <w:sz w:val="28"/>
          <w:szCs w:val="28"/>
        </w:rPr>
      </w:pPr>
      <w:r>
        <w:rPr>
          <w:sz w:val="28"/>
          <w:szCs w:val="28"/>
        </w:rPr>
        <w:t>25）《土地复垦方案编制规程一通则》</w:t>
      </w:r>
      <w:r>
        <w:rPr>
          <w:rFonts w:hint="eastAsia"/>
          <w:sz w:val="28"/>
          <w:szCs w:val="28"/>
          <w:lang w:eastAsia="zh-CN"/>
        </w:rPr>
        <w:t>（</w:t>
      </w:r>
      <w:r>
        <w:rPr>
          <w:sz w:val="28"/>
          <w:szCs w:val="28"/>
        </w:rPr>
        <w:t>TD/T1031.1-2011</w:t>
      </w:r>
      <w:r>
        <w:rPr>
          <w:rFonts w:hint="eastAsia"/>
          <w:sz w:val="28"/>
          <w:szCs w:val="28"/>
          <w:lang w:eastAsia="zh-CN"/>
        </w:rPr>
        <w:t>）</w:t>
      </w:r>
      <w:r>
        <w:rPr>
          <w:sz w:val="28"/>
          <w:szCs w:val="28"/>
        </w:rPr>
        <w:t>；</w:t>
      </w:r>
    </w:p>
    <w:p>
      <w:pPr>
        <w:ind w:firstLine="560"/>
        <w:rPr>
          <w:sz w:val="28"/>
          <w:szCs w:val="28"/>
        </w:rPr>
      </w:pPr>
      <w:r>
        <w:rPr>
          <w:sz w:val="28"/>
          <w:szCs w:val="28"/>
        </w:rPr>
        <w:t>2</w:t>
      </w:r>
      <w:r>
        <w:rPr>
          <w:rFonts w:hint="eastAsia"/>
          <w:sz w:val="28"/>
          <w:szCs w:val="28"/>
          <w:lang w:val="en-US" w:eastAsia="zh-CN"/>
        </w:rPr>
        <w:t>6</w:t>
      </w:r>
      <w:r>
        <w:rPr>
          <w:sz w:val="28"/>
          <w:szCs w:val="28"/>
        </w:rPr>
        <w:t>）《矿山地质环境监测技术规程》</w:t>
      </w:r>
      <w:r>
        <w:rPr>
          <w:rFonts w:hint="eastAsia"/>
          <w:sz w:val="28"/>
          <w:szCs w:val="28"/>
          <w:lang w:eastAsia="zh-CN"/>
        </w:rPr>
        <w:t>（</w:t>
      </w:r>
      <w:r>
        <w:rPr>
          <w:sz w:val="28"/>
          <w:szCs w:val="28"/>
        </w:rPr>
        <w:t>DZ/T 0287-2015</w:t>
      </w:r>
      <w:r>
        <w:rPr>
          <w:rFonts w:hint="eastAsia"/>
          <w:sz w:val="28"/>
          <w:szCs w:val="28"/>
          <w:lang w:eastAsia="zh-CN"/>
        </w:rPr>
        <w:t>）</w:t>
      </w:r>
      <w:r>
        <w:rPr>
          <w:sz w:val="28"/>
          <w:szCs w:val="28"/>
        </w:rPr>
        <w:t>；</w:t>
      </w:r>
    </w:p>
    <w:p>
      <w:pPr>
        <w:ind w:firstLine="560"/>
        <w:rPr>
          <w:sz w:val="28"/>
          <w:szCs w:val="28"/>
        </w:rPr>
      </w:pPr>
      <w:r>
        <w:rPr>
          <w:sz w:val="28"/>
          <w:szCs w:val="28"/>
        </w:rPr>
        <w:t>2</w:t>
      </w:r>
      <w:r>
        <w:rPr>
          <w:rFonts w:hint="eastAsia"/>
          <w:sz w:val="28"/>
          <w:szCs w:val="28"/>
          <w:lang w:val="en-US" w:eastAsia="zh-CN"/>
        </w:rPr>
        <w:t>7</w:t>
      </w:r>
      <w:r>
        <w:rPr>
          <w:sz w:val="28"/>
          <w:szCs w:val="28"/>
        </w:rPr>
        <w:t>）《黑龙江省土地开发整理项目建设标准》；</w:t>
      </w:r>
    </w:p>
    <w:p>
      <w:pPr>
        <w:ind w:firstLine="560"/>
        <w:rPr>
          <w:sz w:val="28"/>
          <w:szCs w:val="28"/>
        </w:rPr>
      </w:pPr>
      <w:r>
        <w:rPr>
          <w:sz w:val="28"/>
          <w:szCs w:val="28"/>
        </w:rPr>
        <w:t>2</w:t>
      </w:r>
      <w:r>
        <w:rPr>
          <w:rFonts w:hint="eastAsia"/>
          <w:sz w:val="28"/>
          <w:szCs w:val="28"/>
          <w:lang w:val="en-US" w:eastAsia="zh-CN"/>
        </w:rPr>
        <w:t>8</w:t>
      </w:r>
      <w:r>
        <w:rPr>
          <w:sz w:val="28"/>
          <w:szCs w:val="28"/>
        </w:rPr>
        <w:t>）《造林技术规程》（GB/T15776-2023）。</w:t>
      </w:r>
    </w:p>
    <w:p>
      <w:pPr>
        <w:pStyle w:val="4"/>
        <w:bidi w:val="0"/>
        <w:rPr>
          <w:rFonts w:hint="default"/>
        </w:rPr>
      </w:pPr>
      <w:bookmarkStart w:id="10" w:name="_Toc32463"/>
      <w:r>
        <w:rPr>
          <w:rFonts w:hint="eastAsia"/>
        </w:rPr>
        <w:t>（</w:t>
      </w:r>
      <w:r>
        <w:rPr>
          <w:rFonts w:hint="eastAsia"/>
          <w:lang w:val="en-US" w:eastAsia="zh-CN"/>
        </w:rPr>
        <w:t>四</w:t>
      </w:r>
      <w:r>
        <w:rPr>
          <w:rFonts w:hint="eastAsia"/>
        </w:rPr>
        <w:t>）地方规划及自然与社会经济资料</w:t>
      </w:r>
      <w:bookmarkEnd w:id="10"/>
    </w:p>
    <w:p>
      <w:pPr>
        <w:ind w:firstLine="560"/>
        <w:rPr>
          <w:sz w:val="28"/>
          <w:szCs w:val="28"/>
        </w:rPr>
      </w:pPr>
      <w:r>
        <w:rPr>
          <w:rFonts w:hint="eastAsia"/>
          <w:sz w:val="28"/>
          <w:szCs w:val="28"/>
          <w:lang w:val="en-US" w:eastAsia="zh-CN"/>
        </w:rPr>
        <w:t>1</w:t>
      </w:r>
      <w:r>
        <w:rPr>
          <w:sz w:val="28"/>
          <w:szCs w:val="28"/>
        </w:rPr>
        <w:t>）《</w:t>
      </w:r>
      <w:r>
        <w:rPr>
          <w:rFonts w:hint="eastAsia"/>
          <w:sz w:val="28"/>
          <w:szCs w:val="28"/>
        </w:rPr>
        <w:t>桦川县</w:t>
      </w:r>
      <w:r>
        <w:rPr>
          <w:sz w:val="28"/>
          <w:szCs w:val="28"/>
        </w:rPr>
        <w:t>国土空间</w:t>
      </w:r>
      <w:r>
        <w:rPr>
          <w:rFonts w:hint="eastAsia"/>
          <w:sz w:val="28"/>
          <w:szCs w:val="28"/>
        </w:rPr>
        <w:t>总体</w:t>
      </w:r>
      <w:r>
        <w:rPr>
          <w:sz w:val="28"/>
          <w:szCs w:val="28"/>
        </w:rPr>
        <w:t>规划</w:t>
      </w:r>
      <w:r>
        <w:rPr>
          <w:rFonts w:hint="eastAsia"/>
          <w:sz w:val="28"/>
          <w:szCs w:val="28"/>
          <w:lang w:eastAsia="zh-CN"/>
        </w:rPr>
        <w:t>（</w:t>
      </w:r>
      <w:r>
        <w:rPr>
          <w:sz w:val="28"/>
          <w:szCs w:val="28"/>
        </w:rPr>
        <w:t>202</w:t>
      </w:r>
      <w:r>
        <w:rPr>
          <w:rFonts w:hint="eastAsia"/>
          <w:sz w:val="28"/>
          <w:szCs w:val="28"/>
        </w:rPr>
        <w:t>1</w:t>
      </w:r>
      <w:r>
        <w:rPr>
          <w:rFonts w:hint="eastAsia"/>
          <w:sz w:val="28"/>
          <w:szCs w:val="28"/>
          <w:lang w:eastAsia="zh-CN"/>
        </w:rPr>
        <w:t>—</w:t>
      </w:r>
      <w:r>
        <w:rPr>
          <w:sz w:val="28"/>
          <w:szCs w:val="28"/>
        </w:rPr>
        <w:t>20</w:t>
      </w:r>
      <w:r>
        <w:rPr>
          <w:rFonts w:hint="eastAsia"/>
          <w:sz w:val="28"/>
          <w:szCs w:val="28"/>
          <w:lang w:val="en-US" w:eastAsia="zh-CN"/>
        </w:rPr>
        <w:t>3</w:t>
      </w:r>
      <w:r>
        <w:rPr>
          <w:sz w:val="28"/>
          <w:szCs w:val="28"/>
        </w:rPr>
        <w:t>5年</w:t>
      </w:r>
      <w:r>
        <w:rPr>
          <w:rFonts w:hint="eastAsia"/>
          <w:sz w:val="28"/>
          <w:szCs w:val="28"/>
          <w:lang w:eastAsia="zh-CN"/>
        </w:rPr>
        <w:t>）</w:t>
      </w:r>
      <w:r>
        <w:rPr>
          <w:sz w:val="28"/>
          <w:szCs w:val="28"/>
        </w:rPr>
        <w:t>》；</w:t>
      </w:r>
    </w:p>
    <w:p>
      <w:pPr>
        <w:ind w:firstLine="560"/>
        <w:rPr>
          <w:sz w:val="28"/>
          <w:szCs w:val="28"/>
        </w:rPr>
      </w:pPr>
      <w:r>
        <w:rPr>
          <w:rFonts w:hint="eastAsia"/>
          <w:sz w:val="28"/>
          <w:szCs w:val="28"/>
          <w:lang w:val="en-US" w:eastAsia="zh-CN"/>
        </w:rPr>
        <w:t>2</w:t>
      </w:r>
      <w:r>
        <w:rPr>
          <w:sz w:val="28"/>
          <w:szCs w:val="28"/>
        </w:rPr>
        <w:t>）《</w:t>
      </w:r>
      <w:r>
        <w:rPr>
          <w:rFonts w:hint="eastAsia"/>
          <w:sz w:val="28"/>
          <w:szCs w:val="28"/>
        </w:rPr>
        <w:t>桦川县</w:t>
      </w:r>
      <w:r>
        <w:rPr>
          <w:sz w:val="28"/>
          <w:szCs w:val="28"/>
        </w:rPr>
        <w:t>矿产资源总体规划</w:t>
      </w:r>
      <w:r>
        <w:rPr>
          <w:rFonts w:hint="eastAsia"/>
          <w:sz w:val="28"/>
          <w:szCs w:val="28"/>
          <w:lang w:eastAsia="zh-CN"/>
        </w:rPr>
        <w:t>（</w:t>
      </w:r>
      <w:r>
        <w:rPr>
          <w:sz w:val="28"/>
          <w:szCs w:val="28"/>
        </w:rPr>
        <w:t>202</w:t>
      </w:r>
      <w:r>
        <w:rPr>
          <w:rFonts w:hint="eastAsia"/>
          <w:sz w:val="28"/>
          <w:szCs w:val="28"/>
          <w:lang w:val="en-US" w:eastAsia="zh-CN"/>
        </w:rPr>
        <w:t>1—</w:t>
      </w:r>
      <w:r>
        <w:rPr>
          <w:sz w:val="28"/>
          <w:szCs w:val="28"/>
        </w:rPr>
        <w:t>2025年</w:t>
      </w:r>
      <w:r>
        <w:rPr>
          <w:rFonts w:hint="eastAsia"/>
          <w:sz w:val="28"/>
          <w:szCs w:val="28"/>
          <w:lang w:eastAsia="zh-CN"/>
        </w:rPr>
        <w:t>）</w:t>
      </w:r>
      <w:r>
        <w:rPr>
          <w:sz w:val="28"/>
          <w:szCs w:val="28"/>
        </w:rPr>
        <w:t>》；</w:t>
      </w:r>
    </w:p>
    <w:p>
      <w:pPr>
        <w:ind w:firstLine="560"/>
        <w:rPr>
          <w:sz w:val="28"/>
          <w:szCs w:val="28"/>
        </w:rPr>
      </w:pPr>
      <w:r>
        <w:rPr>
          <w:rFonts w:hint="eastAsia"/>
          <w:sz w:val="28"/>
          <w:szCs w:val="28"/>
          <w:lang w:val="en-US" w:eastAsia="zh-CN"/>
        </w:rPr>
        <w:t>3</w:t>
      </w:r>
      <w:r>
        <w:rPr>
          <w:sz w:val="28"/>
          <w:szCs w:val="28"/>
        </w:rPr>
        <w:t>）《黑龙江土种》；</w:t>
      </w:r>
    </w:p>
    <w:p>
      <w:pPr>
        <w:ind w:firstLine="560"/>
        <w:rPr>
          <w:sz w:val="28"/>
          <w:szCs w:val="28"/>
        </w:rPr>
      </w:pPr>
      <w:r>
        <w:rPr>
          <w:rFonts w:hint="eastAsia"/>
          <w:sz w:val="28"/>
          <w:szCs w:val="28"/>
          <w:lang w:val="en-US" w:eastAsia="zh-CN"/>
        </w:rPr>
        <w:t>4</w:t>
      </w:r>
      <w:r>
        <w:rPr>
          <w:sz w:val="28"/>
          <w:szCs w:val="28"/>
        </w:rPr>
        <w:t>）《黑龙江土壤》；</w:t>
      </w:r>
    </w:p>
    <w:p>
      <w:pPr>
        <w:ind w:firstLine="560"/>
        <w:rPr>
          <w:sz w:val="28"/>
          <w:szCs w:val="28"/>
        </w:rPr>
      </w:pPr>
      <w:r>
        <w:rPr>
          <w:rFonts w:hint="eastAsia"/>
          <w:sz w:val="28"/>
          <w:szCs w:val="28"/>
          <w:lang w:val="en-US" w:eastAsia="zh-CN"/>
        </w:rPr>
        <w:t>5</w:t>
      </w:r>
      <w:r>
        <w:rPr>
          <w:sz w:val="28"/>
          <w:szCs w:val="28"/>
        </w:rPr>
        <w:t>）项目区所在地的社会经济资料。</w:t>
      </w:r>
    </w:p>
    <w:p>
      <w:pPr>
        <w:pStyle w:val="4"/>
        <w:bidi w:val="0"/>
        <w:rPr>
          <w:rFonts w:hint="eastAsia"/>
          <w:lang w:val="en-US" w:eastAsia="zh-CN"/>
        </w:rPr>
      </w:pPr>
      <w:bookmarkStart w:id="11" w:name="_Toc8269"/>
      <w:r>
        <w:t>（</w:t>
      </w:r>
      <w:r>
        <w:rPr>
          <w:rFonts w:hint="eastAsia"/>
          <w:lang w:val="en-US" w:eastAsia="zh-CN"/>
        </w:rPr>
        <w:t>五</w:t>
      </w:r>
      <w:r>
        <w:t>）</w:t>
      </w:r>
      <w:r>
        <w:rPr>
          <w:rFonts w:hint="eastAsia"/>
          <w:lang w:eastAsia="zh-CN"/>
        </w:rPr>
        <w:t>技术文件</w:t>
      </w:r>
      <w:bookmarkEnd w:id="11"/>
    </w:p>
    <w:p>
      <w:pPr>
        <w:bidi w:val="0"/>
      </w:pPr>
      <w:r>
        <w:t>1）《</w:t>
      </w:r>
      <w:r>
        <w:rPr>
          <w:rFonts w:hint="eastAsia"/>
        </w:rPr>
        <w:t>桦川县马库力山采石场地质储量简测报告</w:t>
      </w:r>
      <w:r>
        <w:rPr>
          <w:rFonts w:hint="eastAsia"/>
          <w:lang w:val="en-US" w:eastAsia="zh-CN"/>
        </w:rPr>
        <w:t>及评审文件</w:t>
      </w:r>
      <w:r>
        <w:t>》；</w:t>
      </w:r>
    </w:p>
    <w:p>
      <w:pPr>
        <w:bidi w:val="0"/>
      </w:pPr>
      <w:r>
        <w:t>2）《</w:t>
      </w:r>
      <w:r>
        <w:rPr>
          <w:rFonts w:hint="eastAsia"/>
          <w:lang w:eastAsia="zh-CN"/>
        </w:rPr>
        <w:t>桦川县马库力山采石场</w:t>
      </w:r>
      <w:r>
        <w:rPr>
          <w:rFonts w:hint="eastAsia"/>
        </w:rPr>
        <w:t>矿产资源开发利用方案</w:t>
      </w:r>
      <w:r>
        <w:rPr>
          <w:rFonts w:hint="eastAsia"/>
          <w:lang w:val="en-US" w:eastAsia="zh-CN"/>
        </w:rPr>
        <w:t>及评审文件</w:t>
      </w:r>
      <w:r>
        <w:t>》；</w:t>
      </w:r>
    </w:p>
    <w:p>
      <w:pPr>
        <w:bidi w:val="0"/>
        <w:rPr>
          <w:rFonts w:hint="eastAsia"/>
          <w:lang w:val="en-US" w:eastAsia="zh-CN"/>
        </w:rPr>
      </w:pPr>
      <w:r>
        <w:rPr>
          <w:rFonts w:hint="eastAsia"/>
          <w:lang w:val="en-US" w:eastAsia="zh-CN"/>
        </w:rPr>
        <w:t>3）《桦川县马库力山采石场矿山地质环境保护与土地复垦方案》</w:t>
      </w:r>
      <w:r>
        <w:t>；</w:t>
      </w:r>
    </w:p>
    <w:p>
      <w:pPr>
        <w:bidi w:val="0"/>
        <w:rPr>
          <w:rFonts w:hint="default"/>
          <w:lang w:val="en-US" w:eastAsia="zh-CN"/>
        </w:rPr>
      </w:pPr>
      <w:r>
        <w:rPr>
          <w:rFonts w:hint="eastAsia"/>
          <w:lang w:val="en-US" w:eastAsia="zh-CN"/>
        </w:rPr>
        <w:t>4）2024年度土地利用</w:t>
      </w:r>
      <w:r>
        <w:rPr>
          <w:rFonts w:hint="eastAsia"/>
        </w:rPr>
        <w:t>现状图</w:t>
      </w:r>
      <w:r>
        <w:t>；</w:t>
      </w:r>
    </w:p>
    <w:p>
      <w:pPr>
        <w:ind w:firstLine="560"/>
        <w:rPr>
          <w:color w:val="FF0000"/>
          <w:sz w:val="28"/>
          <w:szCs w:val="28"/>
        </w:rPr>
      </w:pPr>
      <w:r>
        <w:rPr>
          <w:rFonts w:hint="eastAsia"/>
          <w:lang w:val="en-US" w:eastAsia="zh-CN"/>
        </w:rPr>
        <w:t>5</w:t>
      </w:r>
      <w:r>
        <w:t>）</w:t>
      </w:r>
      <w:r>
        <w:rPr>
          <w:rFonts w:hint="eastAsia"/>
        </w:rPr>
        <w:t>营业执照</w:t>
      </w:r>
      <w:r>
        <w:rPr>
          <w:rFonts w:hint="eastAsia"/>
          <w:lang w:eastAsia="zh-CN"/>
        </w:rPr>
        <w:t>、</w:t>
      </w:r>
      <w:r>
        <w:rPr>
          <w:rFonts w:hint="eastAsia"/>
          <w:lang w:val="en-US" w:eastAsia="zh-CN"/>
        </w:rPr>
        <w:t>采矿证</w:t>
      </w:r>
      <w:r>
        <w:rPr>
          <w:rFonts w:hint="eastAsia"/>
        </w:rPr>
        <w:t>等</w:t>
      </w:r>
      <w:r>
        <w:t>。</w:t>
      </w:r>
    </w:p>
    <w:p>
      <w:pPr>
        <w:pStyle w:val="3"/>
      </w:pPr>
      <w:bookmarkStart w:id="12" w:name="_Toc3086"/>
      <w:r>
        <w:rPr>
          <w:rFonts w:hint="eastAsia"/>
          <w:lang w:val="en-US" w:eastAsia="zh-CN"/>
        </w:rPr>
        <w:t>三</w:t>
      </w:r>
      <w:r>
        <w:t>、服务年限</w:t>
      </w:r>
      <w:bookmarkEnd w:id="12"/>
    </w:p>
    <w:bookmarkEnd w:id="4"/>
    <w:bookmarkEnd w:id="5"/>
    <w:p>
      <w:pPr>
        <w:pStyle w:val="4"/>
      </w:pPr>
      <w:bookmarkStart w:id="13" w:name="_Toc401734576"/>
      <w:r>
        <w:t>（一）生产服务年限</w:t>
      </w:r>
    </w:p>
    <w:p>
      <w:pPr>
        <w:bidi w:val="0"/>
      </w:pPr>
      <w:r>
        <w:t>根据</w:t>
      </w:r>
      <w:r>
        <w:rPr>
          <w:rFonts w:hint="eastAsia"/>
        </w:rPr>
        <w:t>采矿许可证</w:t>
      </w:r>
      <w:r>
        <w:t>，</w:t>
      </w:r>
      <w:r>
        <w:rPr>
          <w:rFonts w:hint="eastAsia"/>
          <w:lang w:val="en-US" w:eastAsia="zh-CN"/>
        </w:rPr>
        <w:t>矿上有限期为2026年6月26日至2029年6月26日。</w:t>
      </w:r>
      <w:r>
        <w:t>矿山剩余服务年限</w:t>
      </w:r>
      <w:r>
        <w:rPr>
          <w:rFonts w:hint="eastAsia"/>
          <w:lang w:val="en-US" w:eastAsia="zh-CN"/>
        </w:rPr>
        <w:t>3年</w:t>
      </w:r>
      <w:r>
        <w:t>。</w:t>
      </w:r>
    </w:p>
    <w:p>
      <w:pPr>
        <w:pStyle w:val="4"/>
      </w:pPr>
      <w:r>
        <w:t>（二）方案服务年限</w:t>
      </w:r>
    </w:p>
    <w:p>
      <w:pPr>
        <w:bidi w:val="0"/>
        <w:rPr>
          <w:rFonts w:hint="default" w:eastAsia="宋体"/>
          <w:lang w:val="en-US" w:eastAsia="zh-CN"/>
        </w:rPr>
      </w:pPr>
      <w:r>
        <w:t>本方案</w:t>
      </w:r>
      <w:r>
        <w:rPr>
          <w:rFonts w:hint="eastAsia"/>
          <w:lang w:val="en-US" w:eastAsia="zh-CN"/>
        </w:rPr>
        <w:t>服务</w:t>
      </w:r>
      <w:r>
        <w:t>年限包括矿山服务年限、生态修复年限、监测管护年限。依据</w:t>
      </w:r>
      <w:r>
        <w:rPr>
          <w:rFonts w:hint="eastAsia"/>
          <w:lang w:val="en-US" w:eastAsia="zh-CN"/>
        </w:rPr>
        <w:t>采矿证矿山剩余服务年限为3年（2026年6月—2029年6月）</w:t>
      </w:r>
      <w:r>
        <w:t>、闭矿修复期</w:t>
      </w:r>
      <w:r>
        <w:rPr>
          <w:rFonts w:hint="eastAsia"/>
          <w:lang w:val="en-US" w:eastAsia="zh-CN"/>
        </w:rPr>
        <w:t>1年</w:t>
      </w:r>
      <w:r>
        <w:t>（20</w:t>
      </w:r>
      <w:r>
        <w:rPr>
          <w:rFonts w:hint="eastAsia"/>
          <w:lang w:val="en-US" w:eastAsia="zh-CN"/>
        </w:rPr>
        <w:t>29</w:t>
      </w:r>
      <w:r>
        <w:t>年</w:t>
      </w:r>
      <w:r>
        <w:rPr>
          <w:rFonts w:hint="eastAsia"/>
          <w:lang w:val="en-US" w:eastAsia="zh-CN"/>
        </w:rPr>
        <w:t>6</w:t>
      </w:r>
      <w:r>
        <w:t>月</w:t>
      </w:r>
      <w:r>
        <w:rPr>
          <w:rFonts w:hint="eastAsia"/>
          <w:lang w:eastAsia="zh-CN"/>
        </w:rPr>
        <w:t>—</w:t>
      </w:r>
      <w:r>
        <w:t>20</w:t>
      </w:r>
      <w:r>
        <w:rPr>
          <w:rFonts w:hint="eastAsia"/>
          <w:lang w:val="en-US" w:eastAsia="zh-CN"/>
        </w:rPr>
        <w:t>30</w:t>
      </w:r>
      <w:r>
        <w:t>年</w:t>
      </w:r>
      <w:r>
        <w:rPr>
          <w:rFonts w:hint="eastAsia"/>
          <w:lang w:val="en-US" w:eastAsia="zh-CN"/>
        </w:rPr>
        <w:t>6</w:t>
      </w:r>
      <w:r>
        <w:t>月）、监测管护期</w:t>
      </w:r>
      <w:r>
        <w:rPr>
          <w:rFonts w:hint="eastAsia"/>
          <w:lang w:val="en-US" w:eastAsia="zh-CN"/>
        </w:rPr>
        <w:t>3年</w:t>
      </w:r>
      <w:r>
        <w:t>（203</w:t>
      </w:r>
      <w:r>
        <w:rPr>
          <w:rFonts w:hint="eastAsia"/>
          <w:lang w:val="en-US" w:eastAsia="zh-CN"/>
        </w:rPr>
        <w:t>0</w:t>
      </w:r>
      <w:r>
        <w:t>年</w:t>
      </w:r>
      <w:r>
        <w:rPr>
          <w:rFonts w:hint="eastAsia"/>
          <w:lang w:val="en-US" w:eastAsia="zh-CN"/>
        </w:rPr>
        <w:t>6</w:t>
      </w:r>
      <w:r>
        <w:t>月</w:t>
      </w:r>
      <w:r>
        <w:rPr>
          <w:rFonts w:hint="eastAsia"/>
          <w:lang w:eastAsia="zh-CN"/>
        </w:rPr>
        <w:t>—</w:t>
      </w:r>
      <w:r>
        <w:t>20</w:t>
      </w:r>
      <w:r>
        <w:rPr>
          <w:rFonts w:hint="eastAsia"/>
        </w:rPr>
        <w:t>3</w:t>
      </w:r>
      <w:r>
        <w:rPr>
          <w:rFonts w:hint="eastAsia"/>
          <w:lang w:val="en-US" w:eastAsia="zh-CN"/>
        </w:rPr>
        <w:t>3</w:t>
      </w:r>
      <w:r>
        <w:t>年</w:t>
      </w:r>
      <w:r>
        <w:rPr>
          <w:rFonts w:hint="eastAsia"/>
          <w:lang w:val="en-US" w:eastAsia="zh-CN"/>
        </w:rPr>
        <w:t>6</w:t>
      </w:r>
      <w:r>
        <w:t>月）三个阶段实施，主要生态修复工程为工业广场地面清理、土壤重构、植被重建、</w:t>
      </w:r>
      <w:r>
        <w:rPr>
          <w:rFonts w:hint="eastAsia"/>
        </w:rPr>
        <w:t>不稳定斜坡</w:t>
      </w:r>
      <w:r>
        <w:t>监测、</w:t>
      </w:r>
      <w:r>
        <w:rPr>
          <w:rFonts w:hint="eastAsia"/>
          <w:lang w:val="en-US" w:eastAsia="zh-CN"/>
        </w:rPr>
        <w:t>土地损毁监测、</w:t>
      </w:r>
      <w:r>
        <w:t>土壤质量监测、植被恢复效果监测及管护工程。</w:t>
      </w:r>
      <w:r>
        <w:rPr>
          <w:rFonts w:hint="eastAsia"/>
        </w:rPr>
        <w:t>因此，</w:t>
      </w:r>
      <w:r>
        <w:t>本方案</w:t>
      </w:r>
      <w:r>
        <w:rPr>
          <w:rFonts w:hint="eastAsia"/>
          <w:lang w:val="en-US" w:eastAsia="zh-CN"/>
        </w:rPr>
        <w:t>服务</w:t>
      </w:r>
      <w:r>
        <w:t>年限</w:t>
      </w:r>
      <w:r>
        <w:rPr>
          <w:rFonts w:hint="eastAsia"/>
        </w:rPr>
        <w:t>为</w:t>
      </w:r>
      <w:r>
        <w:rPr>
          <w:rFonts w:hint="eastAsia"/>
          <w:lang w:val="en-US" w:eastAsia="zh-CN"/>
        </w:rPr>
        <w:t>7年。</w:t>
      </w:r>
    </w:p>
    <w:p>
      <w:pPr>
        <w:bidi w:val="0"/>
        <w:rPr>
          <w:rFonts w:hint="default"/>
          <w:lang w:val="en-US" w:eastAsia="zh-CN"/>
        </w:rPr>
      </w:pPr>
    </w:p>
    <w:p>
      <w:pPr>
        <w:ind w:firstLine="560"/>
        <w:rPr>
          <w:sz w:val="28"/>
          <w:szCs w:val="28"/>
        </w:rPr>
        <w:sectPr>
          <w:headerReference r:id="rId14" w:type="default"/>
          <w:footerReference r:id="rId15" w:type="default"/>
          <w:pgSz w:w="11906" w:h="16838"/>
          <w:pgMar w:top="1440" w:right="1080" w:bottom="1440" w:left="1080" w:header="1020" w:footer="1020" w:gutter="0"/>
          <w:pgNumType w:start="1"/>
          <w:cols w:space="720" w:num="1"/>
          <w:docGrid w:type="lines" w:linePitch="312" w:charSpace="0"/>
        </w:sectPr>
      </w:pPr>
    </w:p>
    <w:p>
      <w:pPr>
        <w:pStyle w:val="2"/>
        <w:bidi w:val="0"/>
      </w:pPr>
      <w:bookmarkStart w:id="14" w:name="_Toc12837"/>
      <w:r>
        <w:t>第一章 矿山基本情况</w:t>
      </w:r>
      <w:bookmarkEnd w:id="13"/>
      <w:bookmarkEnd w:id="14"/>
    </w:p>
    <w:p>
      <w:pPr>
        <w:pStyle w:val="3"/>
      </w:pPr>
      <w:bookmarkStart w:id="15" w:name="_Toc401734577"/>
      <w:bookmarkStart w:id="16" w:name="_Toc448821240"/>
      <w:bookmarkStart w:id="17" w:name="_Toc2347"/>
      <w:r>
        <w:t>一、</w:t>
      </w:r>
      <w:bookmarkEnd w:id="15"/>
      <w:bookmarkEnd w:id="16"/>
      <w:r>
        <w:t>矿业权人基本情况</w:t>
      </w:r>
      <w:bookmarkEnd w:id="17"/>
    </w:p>
    <w:p>
      <w:pPr>
        <w:bidi w:val="0"/>
      </w:pPr>
      <w:r>
        <w:rPr>
          <w:rFonts w:hint="eastAsia"/>
          <w:lang w:eastAsia="zh-CN"/>
        </w:rPr>
        <w:t>桦川县马库力山采石场</w:t>
      </w:r>
      <w:r>
        <w:t>矿业权人为</w:t>
      </w:r>
      <w:r>
        <w:rPr>
          <w:rFonts w:hint="eastAsia"/>
        </w:rPr>
        <w:t>桦川县马库力恒瑞采石场有限公司</w:t>
      </w:r>
      <w:r>
        <w:t>，企业性质为</w:t>
      </w:r>
      <w:r>
        <w:rPr>
          <w:rFonts w:hint="eastAsia"/>
        </w:rPr>
        <w:t>个体工商户</w:t>
      </w:r>
      <w:r>
        <w:t>。经国家企业信用信息公示系统查询得知，</w:t>
      </w:r>
      <w:r>
        <w:rPr>
          <w:rFonts w:hint="eastAsia"/>
        </w:rPr>
        <w:t>桦川县马库力恒瑞采石场有限公司</w:t>
      </w:r>
      <w:r>
        <w:t>成立于</w:t>
      </w:r>
      <w:r>
        <w:rPr>
          <w:rFonts w:hint="eastAsia"/>
          <w:lang w:eastAsia="zh-CN"/>
        </w:rPr>
        <w:t>2017年5月12日</w:t>
      </w:r>
      <w:r>
        <w:t>，</w:t>
      </w:r>
      <w:r>
        <w:rPr>
          <w:rFonts w:hint="eastAsia"/>
        </w:rPr>
        <w:t>桦川县马库力恒瑞采石场有限公司</w:t>
      </w:r>
      <w:r>
        <w:t>的</w:t>
      </w:r>
      <w:r>
        <w:rPr>
          <w:rFonts w:hint="eastAsia"/>
        </w:rPr>
        <w:t>统一社会信用代码</w:t>
      </w:r>
      <w:r>
        <w:t>为</w:t>
      </w:r>
      <w:r>
        <w:rPr>
          <w:rFonts w:hint="eastAsia"/>
        </w:rPr>
        <w:t>91230826MACC9EMC5N</w:t>
      </w:r>
      <w:r>
        <w:t>，企业的经营范围为：</w:t>
      </w:r>
      <w:r>
        <w:rPr>
          <w:rFonts w:hint="eastAsia"/>
        </w:rPr>
        <w:t>非煤矿山矿产资源开采（除稀土、放射性矿产、钨）：道路货物运输（不含危险货物）。一般项目：建筑用石加工；建筑材料销售；装卸搬</w:t>
      </w:r>
      <w:r>
        <w:t>。</w:t>
      </w:r>
    </w:p>
    <w:p>
      <w:pPr>
        <w:ind w:firstLine="560"/>
        <w:rPr>
          <w:rFonts w:hint="eastAsia" w:eastAsia="宋体"/>
          <w:sz w:val="28"/>
          <w:szCs w:val="28"/>
          <w:lang w:val="en-US" w:eastAsia="zh-CN"/>
        </w:rPr>
      </w:pPr>
      <w:bookmarkStart w:id="18" w:name="_Toc448821242"/>
      <w:bookmarkStart w:id="19" w:name="_Toc401734579"/>
      <w:r>
        <w:rPr>
          <w:rFonts w:hint="eastAsia"/>
        </w:rPr>
        <w:t>桦川县马库力山采石场位于桦川县东北方向约14公里处，马库力村东北0.4公里处。采场中心</w:t>
      </w:r>
      <w:r>
        <w:rPr>
          <w:rFonts w:hint="eastAsia"/>
          <w:lang w:eastAsia="zh-CN"/>
        </w:rPr>
        <w:t>地理坐标</w:t>
      </w:r>
      <w:r>
        <w:rPr>
          <w:rFonts w:hint="eastAsia"/>
        </w:rPr>
        <w:t>为东经***°**′**″，北纬**°**′**″</w:t>
      </w:r>
      <w:r>
        <w:rPr>
          <w:rFonts w:hint="eastAsia"/>
          <w:lang w:eastAsia="zh-CN"/>
        </w:rPr>
        <w:t>。</w:t>
      </w:r>
      <w:r>
        <w:rPr>
          <w:rFonts w:hint="eastAsia"/>
          <w:lang w:val="en-US" w:eastAsia="zh-CN"/>
        </w:rPr>
        <w:t>根据采矿证</w:t>
      </w:r>
      <w:r>
        <w:rPr>
          <w:rFonts w:hint="eastAsia"/>
          <w:sz w:val="28"/>
          <w:szCs w:val="28"/>
        </w:rPr>
        <w:t>，</w:t>
      </w:r>
      <w:r>
        <w:rPr>
          <w:rFonts w:hint="eastAsia"/>
          <w:sz w:val="28"/>
          <w:szCs w:val="28"/>
          <w:lang w:val="en-US" w:eastAsia="zh-CN"/>
        </w:rPr>
        <w:t>矿权</w:t>
      </w:r>
      <w:r>
        <w:rPr>
          <w:sz w:val="28"/>
          <w:szCs w:val="28"/>
          <w:lang w:val="zh-CN"/>
        </w:rPr>
        <w:t>面积</w:t>
      </w:r>
      <w:r>
        <w:rPr>
          <w:rFonts w:hint="eastAsia"/>
          <w:lang w:val="en-US" w:eastAsia="zh-CN"/>
        </w:rPr>
        <w:t>*.****k</w:t>
      </w:r>
      <w:r>
        <w:rPr>
          <w:sz w:val="28"/>
          <w:szCs w:val="28"/>
        </w:rPr>
        <w:t>m</w:t>
      </w:r>
      <w:r>
        <w:rPr>
          <w:sz w:val="28"/>
          <w:szCs w:val="28"/>
          <w:vertAlign w:val="superscript"/>
        </w:rPr>
        <w:t>2</w:t>
      </w:r>
      <w:r>
        <w:rPr>
          <w:sz w:val="28"/>
          <w:szCs w:val="28"/>
          <w:lang w:val="zh-CN"/>
        </w:rPr>
        <w:t>，矿</w:t>
      </w:r>
      <w:r>
        <w:rPr>
          <w:rFonts w:hint="eastAsia"/>
          <w:sz w:val="28"/>
          <w:szCs w:val="28"/>
          <w:lang w:val="en-US" w:eastAsia="zh-CN"/>
        </w:rPr>
        <w:t>山</w:t>
      </w:r>
      <w:r>
        <w:rPr>
          <w:sz w:val="28"/>
          <w:szCs w:val="28"/>
          <w:lang w:val="zh-CN"/>
        </w:rPr>
        <w:t>生产规模</w:t>
      </w:r>
      <w:r>
        <w:rPr>
          <w:rFonts w:hint="eastAsia" w:cs="Times New Roman"/>
          <w:color w:val="auto"/>
          <w:sz w:val="28"/>
          <w:szCs w:val="28"/>
          <w:lang w:val="en-US" w:eastAsia="zh-CN"/>
        </w:rPr>
        <w:t>18.968</w:t>
      </w:r>
      <w:r>
        <w:rPr>
          <w:rFonts w:hint="eastAsia"/>
          <w:sz w:val="28"/>
          <w:szCs w:val="28"/>
          <w:lang w:val="zh-CN"/>
        </w:rPr>
        <w:t>万立方米</w:t>
      </w:r>
      <w:r>
        <w:rPr>
          <w:sz w:val="28"/>
          <w:szCs w:val="28"/>
          <w:lang w:val="zh-CN"/>
        </w:rPr>
        <w:t>/年，</w:t>
      </w:r>
      <w:r>
        <w:rPr>
          <w:rFonts w:hint="eastAsia"/>
          <w:sz w:val="28"/>
          <w:szCs w:val="28"/>
        </w:rPr>
        <w:t>露天开采</w:t>
      </w:r>
      <w:r>
        <w:rPr>
          <w:sz w:val="28"/>
          <w:szCs w:val="28"/>
          <w:lang w:val="zh-CN"/>
        </w:rPr>
        <w:t>。具体坐标范围见表1-</w:t>
      </w:r>
      <w:r>
        <w:rPr>
          <w:sz w:val="28"/>
          <w:szCs w:val="28"/>
        </w:rPr>
        <w:t>1</w:t>
      </w:r>
      <w:r>
        <w:rPr>
          <w:sz w:val="28"/>
          <w:szCs w:val="28"/>
          <w:lang w:val="zh-CN"/>
        </w:rPr>
        <w:t>。</w:t>
      </w:r>
    </w:p>
    <w:p>
      <w:pPr>
        <w:ind w:firstLine="560"/>
        <w:rPr>
          <w:rFonts w:hint="default"/>
          <w:color w:val="auto"/>
          <w:vertAlign w:val="baseline"/>
          <w:lang w:val="en-US" w:eastAsia="zh-CN"/>
        </w:rPr>
      </w:pPr>
      <w:r>
        <w:rPr>
          <w:rFonts w:hint="eastAsia"/>
          <w:color w:val="auto"/>
        </w:rPr>
        <w:t>矿区</w:t>
      </w:r>
      <w:r>
        <w:rPr>
          <w:rFonts w:hint="eastAsia"/>
          <w:color w:val="auto"/>
          <w:lang w:val="en-US" w:eastAsia="zh-CN"/>
        </w:rPr>
        <w:t>各部分面积分别为：采区面积为*****.**m</w:t>
      </w:r>
      <w:r>
        <w:rPr>
          <w:rFonts w:hint="eastAsia"/>
          <w:color w:val="auto"/>
          <w:vertAlign w:val="superscript"/>
          <w:lang w:val="en-US" w:eastAsia="zh-CN"/>
        </w:rPr>
        <w:t>2</w:t>
      </w:r>
      <w:r>
        <w:rPr>
          <w:rFonts w:hint="eastAsia"/>
          <w:color w:val="auto"/>
          <w:vertAlign w:val="baseline"/>
          <w:lang w:val="en-US" w:eastAsia="zh-CN"/>
        </w:rPr>
        <w:t>、</w:t>
      </w:r>
      <w:r>
        <w:rPr>
          <w:rFonts w:hint="eastAsia"/>
          <w:color w:val="auto"/>
        </w:rPr>
        <w:t>办公</w:t>
      </w:r>
      <w:r>
        <w:rPr>
          <w:rFonts w:hint="eastAsia"/>
          <w:color w:val="auto"/>
          <w:lang w:val="en-US" w:eastAsia="zh-CN"/>
        </w:rPr>
        <w:t>区1面积为***.**m</w:t>
      </w:r>
      <w:r>
        <w:rPr>
          <w:rFonts w:hint="eastAsia"/>
          <w:color w:val="auto"/>
          <w:vertAlign w:val="superscript"/>
          <w:lang w:val="en-US" w:eastAsia="zh-CN"/>
        </w:rPr>
        <w:t>2</w:t>
      </w:r>
      <w:r>
        <w:rPr>
          <w:rFonts w:hint="eastAsia"/>
          <w:color w:val="auto"/>
          <w:vertAlign w:val="baseline"/>
          <w:lang w:val="en-US" w:eastAsia="zh-CN"/>
        </w:rPr>
        <w:t>、办公区2面积为***.**</w:t>
      </w:r>
      <w:r>
        <w:rPr>
          <w:rFonts w:hint="eastAsia"/>
          <w:color w:val="auto"/>
          <w:lang w:val="en-US" w:eastAsia="zh-CN"/>
        </w:rPr>
        <w:t>m</w:t>
      </w:r>
      <w:r>
        <w:rPr>
          <w:rFonts w:hint="eastAsia"/>
          <w:color w:val="auto"/>
          <w:vertAlign w:val="superscript"/>
          <w:lang w:val="en-US" w:eastAsia="zh-CN"/>
        </w:rPr>
        <w:t>2</w:t>
      </w:r>
      <w:r>
        <w:rPr>
          <w:rFonts w:hint="eastAsia"/>
          <w:color w:val="auto"/>
          <w:vertAlign w:val="baseline"/>
          <w:lang w:val="en-US" w:eastAsia="zh-CN"/>
        </w:rPr>
        <w:t>、</w:t>
      </w:r>
      <w:r>
        <w:rPr>
          <w:rFonts w:hint="eastAsia"/>
          <w:color w:val="auto"/>
          <w:lang w:val="en-US" w:eastAsia="zh-CN"/>
        </w:rPr>
        <w:t>排土场面积为*****.**m</w:t>
      </w:r>
      <w:r>
        <w:rPr>
          <w:rFonts w:hint="eastAsia"/>
          <w:color w:val="auto"/>
          <w:vertAlign w:val="superscript"/>
          <w:lang w:val="en-US" w:eastAsia="zh-CN"/>
        </w:rPr>
        <w:t>2</w:t>
      </w:r>
      <w:r>
        <w:rPr>
          <w:rFonts w:hint="eastAsia"/>
          <w:color w:val="auto"/>
          <w:vertAlign w:val="baseline"/>
          <w:lang w:val="en-US" w:eastAsia="zh-CN"/>
        </w:rPr>
        <w:t>、</w:t>
      </w:r>
      <w:r>
        <w:rPr>
          <w:rFonts w:hint="eastAsia"/>
          <w:color w:val="auto"/>
          <w:lang w:val="en-US" w:eastAsia="zh-CN"/>
        </w:rPr>
        <w:t>工业广场面积为*****.**m</w:t>
      </w:r>
      <w:r>
        <w:rPr>
          <w:rFonts w:hint="eastAsia"/>
          <w:color w:val="auto"/>
          <w:vertAlign w:val="superscript"/>
          <w:lang w:val="en-US" w:eastAsia="zh-CN"/>
        </w:rPr>
        <w:t>2</w:t>
      </w:r>
      <w:r>
        <w:rPr>
          <w:rFonts w:hint="eastAsia"/>
          <w:color w:val="auto"/>
          <w:vertAlign w:val="baseline"/>
          <w:lang w:val="en-US" w:eastAsia="zh-CN"/>
        </w:rPr>
        <w:t>，影响区面积为*****.**</w:t>
      </w:r>
      <w:r>
        <w:rPr>
          <w:rFonts w:hint="eastAsia"/>
          <w:color w:val="auto"/>
          <w:lang w:val="en-US" w:eastAsia="zh-CN"/>
        </w:rPr>
        <w:t>m</w:t>
      </w:r>
      <w:r>
        <w:rPr>
          <w:rFonts w:hint="eastAsia"/>
          <w:color w:val="auto"/>
          <w:vertAlign w:val="superscript"/>
          <w:lang w:val="en-US" w:eastAsia="zh-CN"/>
        </w:rPr>
        <w:t>2</w:t>
      </w:r>
      <w:r>
        <w:rPr>
          <w:rFonts w:hint="eastAsia"/>
          <w:color w:val="auto"/>
          <w:vertAlign w:val="baseline"/>
          <w:lang w:val="en-US" w:eastAsia="zh-CN"/>
        </w:rPr>
        <w:t>。其中影响区为该矿山历史遗留所造成，非该矿山在此次开采过程中破坏。对比上阶段方案，新增办公区2，办公区1位置迁移，工业广场位置迁移至东侧，排土场位置也发生改变，面积比上阶段方案增加*****.**</w:t>
      </w:r>
      <w:r>
        <w:rPr>
          <w:rFonts w:hint="eastAsia"/>
          <w:color w:val="auto"/>
          <w:lang w:val="en-US" w:eastAsia="zh-CN"/>
        </w:rPr>
        <w:t>m</w:t>
      </w:r>
      <w:r>
        <w:rPr>
          <w:rFonts w:hint="eastAsia"/>
          <w:color w:val="auto"/>
          <w:vertAlign w:val="superscript"/>
          <w:lang w:val="en-US" w:eastAsia="zh-CN"/>
        </w:rPr>
        <w:t>2</w:t>
      </w:r>
      <w:r>
        <w:rPr>
          <w:rFonts w:hint="eastAsia"/>
          <w:color w:val="auto"/>
          <w:vertAlign w:val="baseline"/>
          <w:lang w:val="en-US" w:eastAsia="zh-CN"/>
        </w:rPr>
        <w:t>。矿区各部分现状拐点坐标以及示意图如下：</w:t>
      </w:r>
    </w:p>
    <w:p>
      <w:pPr>
        <w:pStyle w:val="8"/>
        <w:rPr>
          <w:rFonts w:hint="eastAsia"/>
          <w:color w:val="auto"/>
          <w:vertAlign w:val="baseline"/>
          <w:lang w:val="en-US" w:eastAsia="zh-CN"/>
        </w:rPr>
      </w:pPr>
      <w:r>
        <w:t xml:space="preserve">表 </w:t>
      </w:r>
      <w:r>
        <w:fldChar w:fldCharType="begin"/>
      </w:r>
      <w:r>
        <w:instrText xml:space="preserve"> SEQ 表 \* ARABIC </w:instrText>
      </w:r>
      <w:r>
        <w:fldChar w:fldCharType="separate"/>
      </w:r>
      <w:r>
        <w:t>1</w:t>
      </w:r>
      <w:r>
        <w:fldChar w:fldCharType="end"/>
      </w:r>
      <w:r>
        <w:rPr>
          <w:rFonts w:hint="eastAsia"/>
          <w:lang w:val="en-US" w:eastAsia="zh-CN"/>
        </w:rPr>
        <w:t>-1 矿区</w:t>
      </w:r>
      <w:r>
        <w:rPr>
          <w:rFonts w:hint="eastAsia"/>
          <w:color w:val="auto"/>
          <w:vertAlign w:val="baseline"/>
          <w:lang w:val="en-US" w:eastAsia="zh-CN"/>
        </w:rPr>
        <w:t>各部分拐点坐标</w:t>
      </w:r>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1"/>
        <w:gridCol w:w="746"/>
        <w:gridCol w:w="1583"/>
        <w:gridCol w:w="1583"/>
        <w:gridCol w:w="1003"/>
        <w:gridCol w:w="746"/>
        <w:gridCol w:w="1453"/>
        <w:gridCol w:w="15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分区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点号</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东坐标</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北坐标</w:t>
            </w:r>
          </w:p>
        </w:tc>
        <w:tc>
          <w:tcPr>
            <w:tcW w:w="50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分区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点号</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东坐标</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北坐标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矿区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影响区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排土场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J120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工业广场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J110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J100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办公区2</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办公区1</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J90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J40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J69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J59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影响区</w:t>
            </w: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J80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J30</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J160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J79</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J159</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J158</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J27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J157</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J78</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J156</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J77</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J155</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J76</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J154</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J75</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J153</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J74</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J152</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J73</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J151</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J72</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J150</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0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J71</w:t>
            </w:r>
          </w:p>
        </w:tc>
        <w:tc>
          <w:tcPr>
            <w:tcW w:w="72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9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bl>
    <w:p>
      <w:pPr>
        <w:rPr>
          <w:rFonts w:hint="default"/>
          <w:lang w:val="en-US" w:eastAsia="zh-CN"/>
        </w:rPr>
      </w:pPr>
    </w:p>
    <w:p>
      <w:pPr>
        <w:pStyle w:val="27"/>
        <w:bidi w:val="0"/>
        <w:rPr>
          <w:rFonts w:hint="eastAsia" w:eastAsia="宋体"/>
          <w:lang w:eastAsia="zh-CN"/>
        </w:rPr>
      </w:pPr>
      <w:r>
        <w:rPr>
          <w:rFonts w:hint="eastAsia" w:eastAsia="宋体"/>
          <w:lang w:eastAsia="zh-CN"/>
        </w:rPr>
        <w:pict>
          <v:shape id="_x0000_i1026" o:spt="75" alt="马库力评估区1" type="#_x0000_t75" style="height:608.05pt;width:485.15pt;" filled="f" o:preferrelative="t" stroked="f" coordsize="21600,21600">
            <v:path/>
            <v:fill on="f" focussize="0,0"/>
            <v:stroke on="f"/>
            <v:imagedata r:id="rId25" croptop="3836f" cropright="229f" cropbottom="3822f" o:title="马库力评估区1"/>
            <o:lock v:ext="edit" aspectratio="t"/>
            <w10:wrap type="none"/>
            <w10:anchorlock/>
          </v:shape>
        </w:pict>
      </w:r>
    </w:p>
    <w:p>
      <w:pPr>
        <w:pStyle w:val="8"/>
        <w:bidi w:val="0"/>
      </w:pPr>
      <w:r>
        <w:t>图</w:t>
      </w:r>
      <w:r>
        <w:rPr>
          <w:rFonts w:hint="eastAsia"/>
          <w:lang w:val="en-US" w:eastAsia="zh-CN"/>
        </w:rPr>
        <w:t xml:space="preserve"> </w:t>
      </w:r>
      <w:r>
        <w:t>1-1 矿区范围及工业广场布局示意图</w:t>
      </w:r>
    </w:p>
    <w:p>
      <w:pPr>
        <w:pStyle w:val="3"/>
      </w:pPr>
      <w:bookmarkStart w:id="20" w:name="_Toc1132"/>
      <w:r>
        <w:t>二、地理位置及区域概况</w:t>
      </w:r>
      <w:bookmarkEnd w:id="20"/>
    </w:p>
    <w:p>
      <w:pPr>
        <w:pStyle w:val="4"/>
      </w:pPr>
      <w:r>
        <w:t>（一）位置与交通</w:t>
      </w:r>
    </w:p>
    <w:p>
      <w:pPr>
        <w:bidi w:val="0"/>
        <w:rPr>
          <w:rFonts w:hint="eastAsia"/>
          <w:lang w:eastAsia="zh-CN"/>
        </w:rPr>
      </w:pPr>
      <w:r>
        <w:rPr>
          <w:rFonts w:hint="eastAsia"/>
        </w:rPr>
        <w:t>桦川县马库力山采石场位于桦川县东北方向约14公里处，马库力村东北0.4公里处。采场中心</w:t>
      </w:r>
      <w:r>
        <w:rPr>
          <w:rFonts w:hint="eastAsia"/>
          <w:lang w:eastAsia="zh-CN"/>
        </w:rPr>
        <w:t>地理坐标</w:t>
      </w:r>
      <w:r>
        <w:rPr>
          <w:rFonts w:hint="eastAsia"/>
        </w:rPr>
        <w:t>为东经***°**′**″，北纬**°**′**″</w:t>
      </w:r>
      <w:r>
        <w:rPr>
          <w:rFonts w:hint="eastAsia"/>
          <w:lang w:eastAsia="zh-CN"/>
        </w:rPr>
        <w:t>。矿区有简易砂石路与乡村公路相通，可通往桦川县、佳木斯市交通条件较方便（图1-</w:t>
      </w:r>
      <w:r>
        <w:rPr>
          <w:rFonts w:hint="eastAsia"/>
          <w:lang w:val="en-US" w:eastAsia="zh-CN"/>
        </w:rPr>
        <w:t>2）</w:t>
      </w:r>
      <w:r>
        <w:rPr>
          <w:rFonts w:hint="eastAsia"/>
          <w:lang w:eastAsia="zh-CN"/>
        </w:rPr>
        <w:t>。</w:t>
      </w:r>
    </w:p>
    <w:p>
      <w:pPr>
        <w:pStyle w:val="27"/>
        <w:bidi w:val="0"/>
      </w:pPr>
      <w:r>
        <w:rPr>
          <w:rFonts w:hint="eastAsia" w:eastAsia="仿宋"/>
          <w:lang w:eastAsia="zh-CN"/>
        </w:rPr>
        <w:pict>
          <v:shape id="_x0000_i1027" o:spt="75" alt="图片1" type="#_x0000_t75" style="height:310.05pt;width:414.25pt;" filled="f" o:preferrelative="t" stroked="f" coordsize="21600,21600">
            <v:path/>
            <v:fill on="f" focussize="0,0"/>
            <v:stroke on="f"/>
            <v:imagedata r:id="rId26" o:title="图片1"/>
            <o:lock v:ext="edit" aspectratio="t"/>
            <w10:wrap type="none"/>
            <w10:anchorlock/>
          </v:shape>
        </w:pict>
      </w:r>
    </w:p>
    <w:p>
      <w:pPr>
        <w:pStyle w:val="8"/>
        <w:bidi w:val="0"/>
        <w:rPr>
          <w:rFonts w:hint="default"/>
        </w:rPr>
      </w:pPr>
      <w:r>
        <w:rPr>
          <w:rFonts w:hint="default"/>
        </w:rPr>
        <w:t>图</w:t>
      </w:r>
      <w:r>
        <w:rPr>
          <w:rFonts w:hint="eastAsia"/>
          <w:lang w:val="en-US" w:eastAsia="zh-CN"/>
        </w:rPr>
        <w:t xml:space="preserve"> </w:t>
      </w:r>
      <w:r>
        <w:rPr>
          <w:rFonts w:hint="default"/>
        </w:rPr>
        <w:t>1-</w:t>
      </w:r>
      <w:r>
        <w:rPr>
          <w:rFonts w:hint="eastAsia"/>
          <w:lang w:val="en-US" w:eastAsia="zh-CN"/>
        </w:rPr>
        <w:t>2</w:t>
      </w:r>
      <w:r>
        <w:rPr>
          <w:rFonts w:hint="default"/>
        </w:rPr>
        <w:t xml:space="preserve"> 交通位置图</w:t>
      </w:r>
    </w:p>
    <w:p>
      <w:pPr>
        <w:pStyle w:val="4"/>
      </w:pPr>
      <w:r>
        <w:t>（二）矿山周边环境</w:t>
      </w:r>
    </w:p>
    <w:p>
      <w:pPr>
        <w:pStyle w:val="5"/>
        <w:bidi w:val="0"/>
      </w:pPr>
      <w:r>
        <w:t>1.与周边矿权关系</w:t>
      </w:r>
    </w:p>
    <w:p>
      <w:pPr>
        <w:bidi w:val="0"/>
      </w:pPr>
      <w:r>
        <w:t>矿区范围内和周边</w:t>
      </w:r>
      <w:r>
        <w:rPr>
          <w:rFonts w:hint="eastAsia"/>
        </w:rPr>
        <w:t>300m范围内无矿权设立。水土资源无污染现象</w:t>
      </w:r>
      <w:r>
        <w:t>。</w:t>
      </w:r>
      <w:r>
        <w:rPr>
          <w:rFonts w:hint="eastAsia"/>
        </w:rPr>
        <w:t>主要活动是农业作业。</w:t>
      </w:r>
    </w:p>
    <w:p>
      <w:pPr>
        <w:pStyle w:val="5"/>
        <w:bidi w:val="0"/>
      </w:pPr>
      <w:r>
        <w:t>2.基本农田</w:t>
      </w:r>
    </w:p>
    <w:p>
      <w:pPr>
        <w:bidi w:val="0"/>
      </w:pPr>
      <w:r>
        <w:rPr>
          <w:rFonts w:hint="eastAsia"/>
        </w:rPr>
        <w:t>矿区范围内没有占用永久基本农田。矿区范围内生活办公室、料场、工业广场、矿区道路不涉及永久基本农田，占用的林地</w:t>
      </w:r>
      <w:r>
        <w:rPr>
          <w:rFonts w:hint="eastAsia"/>
          <w:lang w:eastAsia="zh-CN"/>
        </w:rPr>
        <w:t>、</w:t>
      </w:r>
      <w:r>
        <w:rPr>
          <w:rFonts w:hint="eastAsia"/>
          <w:lang w:val="en-US" w:eastAsia="zh-CN"/>
        </w:rPr>
        <w:t>耕地、草地、农村道路、</w:t>
      </w:r>
      <w:r>
        <w:rPr>
          <w:rFonts w:hint="eastAsia"/>
        </w:rPr>
        <w:t>采矿用地</w:t>
      </w:r>
      <w:r>
        <w:rPr>
          <w:rFonts w:hint="eastAsia"/>
          <w:lang w:eastAsia="zh-CN"/>
        </w:rPr>
        <w:t>、</w:t>
      </w:r>
      <w:r>
        <w:rPr>
          <w:rFonts w:hint="eastAsia"/>
          <w:lang w:val="en-US" w:eastAsia="zh-CN"/>
        </w:rPr>
        <w:t>坑塘水面</w:t>
      </w:r>
      <w:r>
        <w:rPr>
          <w:rFonts w:hint="eastAsia"/>
        </w:rPr>
        <w:t>后期进行复垦。项目用地符合相关政策</w:t>
      </w:r>
      <w:r>
        <w:t>。</w:t>
      </w:r>
    </w:p>
    <w:p>
      <w:pPr>
        <w:pStyle w:val="5"/>
        <w:bidi w:val="0"/>
      </w:pPr>
      <w:r>
        <w:t>3.村庄</w:t>
      </w:r>
    </w:p>
    <w:p>
      <w:pPr>
        <w:ind w:firstLine="560"/>
        <w:rPr>
          <w:sz w:val="28"/>
          <w:szCs w:val="28"/>
        </w:rPr>
      </w:pPr>
      <w:r>
        <w:rPr>
          <w:sz w:val="28"/>
          <w:szCs w:val="28"/>
        </w:rPr>
        <w:t>矿区范围内无居民村庄，</w:t>
      </w:r>
      <w:r>
        <w:rPr>
          <w:rFonts w:hint="eastAsia"/>
          <w:sz w:val="28"/>
          <w:szCs w:val="28"/>
        </w:rPr>
        <w:t>距</w:t>
      </w:r>
      <w:r>
        <w:rPr>
          <w:rFonts w:hint="eastAsia"/>
          <w:sz w:val="28"/>
          <w:szCs w:val="28"/>
          <w:lang w:val="en-US" w:eastAsia="zh-CN"/>
        </w:rPr>
        <w:t>江川农场西</w:t>
      </w:r>
      <w:r>
        <w:rPr>
          <w:rFonts w:hint="eastAsia"/>
          <w:sz w:val="28"/>
          <w:szCs w:val="28"/>
        </w:rPr>
        <w:t>南</w:t>
      </w:r>
      <w:r>
        <w:rPr>
          <w:rFonts w:hint="eastAsia"/>
          <w:sz w:val="28"/>
          <w:szCs w:val="28"/>
          <w:lang w:val="en-US" w:eastAsia="zh-CN"/>
        </w:rPr>
        <w:t>0.5</w:t>
      </w:r>
      <w:r>
        <w:rPr>
          <w:sz w:val="28"/>
          <w:szCs w:val="28"/>
        </w:rPr>
        <w:t>公里</w:t>
      </w:r>
      <w:r>
        <w:rPr>
          <w:rFonts w:hint="eastAsia"/>
          <w:sz w:val="28"/>
          <w:szCs w:val="28"/>
        </w:rPr>
        <w:t>，</w:t>
      </w:r>
      <w:r>
        <w:rPr>
          <w:rFonts w:hint="eastAsia"/>
          <w:sz w:val="28"/>
          <w:szCs w:val="28"/>
          <w:lang w:val="en-US" w:eastAsia="zh-CN"/>
        </w:rPr>
        <w:t>中间有山相隔，</w:t>
      </w:r>
      <w:r>
        <w:rPr>
          <w:sz w:val="28"/>
          <w:szCs w:val="28"/>
        </w:rPr>
        <w:t>矿山开采对周边居民影响较小。</w:t>
      </w:r>
    </w:p>
    <w:p>
      <w:pPr>
        <w:pStyle w:val="5"/>
        <w:bidi w:val="0"/>
      </w:pPr>
      <w:r>
        <w:t>4.对矿山及周边的主要交通干线的影响</w:t>
      </w:r>
    </w:p>
    <w:p>
      <w:pPr>
        <w:ind w:firstLine="560"/>
        <w:rPr>
          <w:sz w:val="28"/>
          <w:szCs w:val="28"/>
        </w:rPr>
      </w:pPr>
      <w:r>
        <w:rPr>
          <w:sz w:val="28"/>
          <w:szCs w:val="28"/>
        </w:rPr>
        <w:t>矿区及</w:t>
      </w:r>
      <w:r>
        <w:rPr>
          <w:rFonts w:hint="eastAsia"/>
          <w:sz w:val="28"/>
          <w:szCs w:val="28"/>
          <w:lang w:eastAsia="zh-CN"/>
        </w:rPr>
        <w:t>周边</w:t>
      </w:r>
      <w:r>
        <w:rPr>
          <w:sz w:val="28"/>
          <w:szCs w:val="28"/>
        </w:rPr>
        <w:t>没有主要交通工程，只有简易公路，因此，矿山对周边的主要交通工程的影响较轻。</w:t>
      </w:r>
    </w:p>
    <w:p>
      <w:pPr>
        <w:pStyle w:val="5"/>
        <w:bidi w:val="0"/>
      </w:pPr>
      <w:r>
        <w:t>5.对电力工程和水利工程的影响</w:t>
      </w:r>
    </w:p>
    <w:p>
      <w:pPr>
        <w:bidi w:val="0"/>
      </w:pPr>
      <w:r>
        <w:t>（1）电力工程</w:t>
      </w:r>
    </w:p>
    <w:p>
      <w:pPr>
        <w:bidi w:val="0"/>
      </w:pPr>
      <w:r>
        <w:t>评估区内无重要的电力工程设施，矿山开采用电系统及设施均布设在工业广场内，</w:t>
      </w:r>
      <w:r>
        <w:rPr>
          <w:rFonts w:hint="eastAsia"/>
        </w:rPr>
        <w:t>露天矿采用挖掘机，汽车运输，无需输电供给</w:t>
      </w:r>
      <w:r>
        <w:t>，对电力工程无影响。</w:t>
      </w:r>
    </w:p>
    <w:p>
      <w:pPr>
        <w:bidi w:val="0"/>
      </w:pPr>
      <w:r>
        <w:t>（2）水利工程</w:t>
      </w:r>
    </w:p>
    <w:p>
      <w:pPr>
        <w:bidi w:val="0"/>
      </w:pPr>
      <w:r>
        <w:t>评估区内水利设施主要为田间的水渠，</w:t>
      </w:r>
      <w:r>
        <w:rPr>
          <w:rFonts w:hint="eastAsia"/>
        </w:rPr>
        <w:t>矿山属于露天矿，采区位于</w:t>
      </w:r>
      <w:r>
        <w:rPr>
          <w:rFonts w:hint="eastAsia"/>
          <w:lang w:val="en-US" w:eastAsia="zh-CN"/>
        </w:rPr>
        <w:t>采矿用地</w:t>
      </w:r>
      <w:r>
        <w:rPr>
          <w:rFonts w:hint="eastAsia"/>
        </w:rPr>
        <w:t>，</w:t>
      </w:r>
      <w:r>
        <w:t>对水利工程的影响较轻</w:t>
      </w:r>
      <w:r>
        <w:rPr>
          <w:rFonts w:hint="eastAsia"/>
        </w:rPr>
        <w:t>。</w:t>
      </w:r>
    </w:p>
    <w:p>
      <w:pPr>
        <w:pStyle w:val="5"/>
        <w:bidi w:val="0"/>
      </w:pPr>
      <w:r>
        <w:t>6.其他禁限区</w:t>
      </w:r>
    </w:p>
    <w:p>
      <w:pPr>
        <w:ind w:firstLine="560"/>
        <w:rPr>
          <w:sz w:val="28"/>
          <w:szCs w:val="28"/>
        </w:rPr>
      </w:pPr>
      <w:r>
        <w:rPr>
          <w:sz w:val="28"/>
          <w:szCs w:val="28"/>
        </w:rPr>
        <w:t>矿区不涉及《矿产资源法》第二十条规定的港口、机场、国防工程设施以及其他不得开采矿产资源的地区。矿区300m范围内无重要公路；</w:t>
      </w:r>
      <w:bookmarkStart w:id="21" w:name="_Hlk148167486"/>
      <w:r>
        <w:rPr>
          <w:sz w:val="28"/>
          <w:szCs w:val="28"/>
        </w:rPr>
        <w:t>500m范围内无名胜古迹、旅游景点、无学校等需要保护的对象，</w:t>
      </w:r>
      <w:bookmarkEnd w:id="21"/>
      <w:r>
        <w:rPr>
          <w:sz w:val="28"/>
          <w:szCs w:val="28"/>
        </w:rPr>
        <w:t>无重要工业区、不涉及重要河流、堤坝等大型水利工程设施、城镇市政工程设施等。不在各类自然保护区、风景名胜区、森林公园、地质公园、矿山公园、国际重要湿地、国家重要湿地、湿地公园、世界自然（自然与文化）遗产地、沙化土地封禁保护区、饮用水水源保护区、水产资源保护区、国家重点保护的不能移动的历史文物和名胜古迹所在地等各类保护地内，不在城镇开发边界内、不在村庄建设边界内。</w:t>
      </w:r>
    </w:p>
    <w:p>
      <w:pPr>
        <w:pStyle w:val="3"/>
        <w:bidi w:val="0"/>
      </w:pPr>
      <w:bookmarkStart w:id="22" w:name="_Toc15645"/>
      <w:r>
        <w:t>三、矿山开采历史及现状</w:t>
      </w:r>
      <w:bookmarkEnd w:id="22"/>
    </w:p>
    <w:p>
      <w:pPr>
        <w:pStyle w:val="4"/>
        <w:bidi w:val="0"/>
      </w:pPr>
      <w:r>
        <w:t>（一）矿山开采历史</w:t>
      </w:r>
    </w:p>
    <w:p>
      <w:pPr>
        <w:ind w:firstLine="560"/>
        <w:rPr>
          <w:rFonts w:hint="default" w:eastAsia="宋体"/>
          <w:sz w:val="28"/>
          <w:szCs w:val="28"/>
          <w:lang w:val="en-US" w:eastAsia="zh-CN"/>
        </w:rPr>
      </w:pPr>
      <w:r>
        <w:rPr>
          <w:rFonts w:hint="eastAsia" w:hAnsi="宋体"/>
          <w:kern w:val="0"/>
          <w:sz w:val="28"/>
          <w:szCs w:val="28"/>
        </w:rPr>
        <w:t>矿山有历史遗留掌子面，开采时间不详。</w:t>
      </w:r>
      <w:r>
        <w:rPr>
          <w:rFonts w:hint="eastAsia" w:hAnsi="宋体"/>
          <w:kern w:val="0"/>
          <w:sz w:val="28"/>
          <w:szCs w:val="28"/>
          <w:lang w:val="en-US" w:eastAsia="zh-CN"/>
        </w:rPr>
        <w:t>马库力山采石场</w:t>
      </w:r>
      <w:r>
        <w:rPr>
          <w:rFonts w:hint="eastAsia" w:hAnsi="宋体"/>
          <w:kern w:val="0"/>
          <w:sz w:val="28"/>
          <w:szCs w:val="28"/>
        </w:rPr>
        <w:t>为桦川县自然资源局通过</w:t>
      </w:r>
      <w:r>
        <w:rPr>
          <w:rFonts w:hint="eastAsia" w:ascii="宋体" w:hAnsi="宋体" w:cs="宋体"/>
          <w:sz w:val="28"/>
          <w:szCs w:val="28"/>
          <w:shd w:val="clear" w:color="auto" w:fill="FFFFFF"/>
        </w:rPr>
        <w:t>黑龙江公共资源交易网挂牌出售，由桦川县马库力恒瑞采石场有限公司</w:t>
      </w:r>
      <w:r>
        <w:rPr>
          <w:rFonts w:hint="eastAsia" w:ascii="宋体" w:hAnsi="宋体" w:cs="宋体"/>
          <w:sz w:val="28"/>
          <w:szCs w:val="28"/>
          <w:shd w:val="clear" w:color="auto" w:fill="FFFFFF"/>
          <w:lang w:val="en-US" w:eastAsia="zh-CN"/>
        </w:rPr>
        <w:t>2024年1月</w:t>
      </w:r>
      <w:r>
        <w:rPr>
          <w:rFonts w:hint="eastAsia" w:ascii="宋体" w:hAnsi="宋体" w:cs="宋体"/>
          <w:sz w:val="28"/>
          <w:szCs w:val="28"/>
          <w:shd w:val="clear" w:color="auto" w:fill="FFFFFF"/>
        </w:rPr>
        <w:t>通过竞买获得</w:t>
      </w:r>
      <w:r>
        <w:rPr>
          <w:rFonts w:hint="eastAsia" w:ascii="宋体" w:hAnsi="宋体" w:cs="宋体"/>
          <w:sz w:val="28"/>
          <w:szCs w:val="28"/>
          <w:shd w:val="clear" w:color="auto" w:fill="FFFFFF"/>
          <w:lang w:eastAsia="zh-CN"/>
        </w:rPr>
        <w:t>（</w:t>
      </w:r>
      <w:r>
        <w:rPr>
          <w:rFonts w:hint="eastAsia" w:ascii="宋体" w:hAnsi="宋体" w:cs="宋体"/>
          <w:sz w:val="28"/>
          <w:szCs w:val="28"/>
          <w:shd w:val="clear" w:color="auto" w:fill="FFFFFF"/>
          <w:lang w:val="en-US" w:eastAsia="zh-CN"/>
        </w:rPr>
        <w:t>后附矿业权出让合同</w:t>
      </w:r>
      <w:r>
        <w:rPr>
          <w:rFonts w:hint="eastAsia" w:ascii="宋体" w:hAnsi="宋体" w:cs="宋体"/>
          <w:sz w:val="28"/>
          <w:szCs w:val="28"/>
          <w:shd w:val="clear" w:color="auto" w:fill="FFFFFF"/>
          <w:lang w:eastAsia="zh-CN"/>
        </w:rPr>
        <w:t>），</w:t>
      </w:r>
      <w:r>
        <w:rPr>
          <w:rFonts w:hint="eastAsia" w:ascii="宋体" w:hAnsi="宋体" w:cs="宋体"/>
          <w:sz w:val="28"/>
          <w:szCs w:val="28"/>
          <w:shd w:val="clear" w:color="auto" w:fill="FFFFFF"/>
          <w:lang w:val="en-US" w:eastAsia="zh-CN"/>
        </w:rPr>
        <w:t>开采至今。</w:t>
      </w:r>
    </w:p>
    <w:p>
      <w:pPr>
        <w:pStyle w:val="4"/>
      </w:pPr>
      <w:r>
        <w:t>（二）矿山开发利用方案概述</w:t>
      </w:r>
    </w:p>
    <w:p>
      <w:pPr>
        <w:ind w:firstLine="560"/>
        <w:rPr>
          <w:sz w:val="28"/>
          <w:szCs w:val="28"/>
        </w:rPr>
      </w:pPr>
      <w:r>
        <w:rPr>
          <w:sz w:val="28"/>
          <w:szCs w:val="28"/>
        </w:rPr>
        <w:t>矿山于202</w:t>
      </w:r>
      <w:r>
        <w:rPr>
          <w:rFonts w:hint="eastAsia"/>
          <w:sz w:val="28"/>
          <w:szCs w:val="28"/>
          <w:lang w:val="en-US" w:eastAsia="zh-CN"/>
        </w:rPr>
        <w:t>4</w:t>
      </w:r>
      <w:r>
        <w:rPr>
          <w:sz w:val="28"/>
          <w:szCs w:val="28"/>
        </w:rPr>
        <w:t>年</w:t>
      </w:r>
      <w:r>
        <w:rPr>
          <w:rFonts w:hint="eastAsia"/>
          <w:sz w:val="28"/>
          <w:szCs w:val="28"/>
          <w:lang w:val="en-US" w:eastAsia="zh-CN"/>
        </w:rPr>
        <w:t>10</w:t>
      </w:r>
      <w:r>
        <w:rPr>
          <w:sz w:val="28"/>
          <w:szCs w:val="28"/>
        </w:rPr>
        <w:t>月编制了《</w:t>
      </w:r>
      <w:r>
        <w:rPr>
          <w:rFonts w:hint="eastAsia"/>
          <w:sz w:val="28"/>
          <w:szCs w:val="28"/>
          <w:lang w:eastAsia="zh-CN"/>
        </w:rPr>
        <w:t>桦川县马库力山采石场</w:t>
      </w:r>
      <w:r>
        <w:rPr>
          <w:sz w:val="28"/>
          <w:szCs w:val="28"/>
        </w:rPr>
        <w:t>矿产资源开发利用方案》，</w:t>
      </w:r>
      <w:r>
        <w:rPr>
          <w:rFonts w:hint="eastAsia"/>
          <w:sz w:val="28"/>
          <w:szCs w:val="28"/>
          <w:lang w:val="en-US" w:eastAsia="zh-CN"/>
        </w:rPr>
        <w:t>2024年12月矿山委托中国冶金矿业鞍山冶金设计研究院有限责任公司编制安全设施设计</w:t>
      </w:r>
      <w:r>
        <w:rPr>
          <w:sz w:val="28"/>
          <w:szCs w:val="28"/>
        </w:rPr>
        <w:t>主要开采设计方案如下：</w:t>
      </w:r>
    </w:p>
    <w:p>
      <w:pPr>
        <w:pStyle w:val="5"/>
        <w:bidi w:val="0"/>
      </w:pPr>
      <w:r>
        <w:t>1.设计开采</w:t>
      </w:r>
      <w:r>
        <w:rPr>
          <w:rFonts w:hint="eastAsia"/>
        </w:rPr>
        <w:t>范围</w:t>
      </w:r>
    </w:p>
    <w:p>
      <w:pPr>
        <w:pStyle w:val="8"/>
        <w:bidi w:val="0"/>
      </w:pPr>
      <w:r>
        <w:rPr>
          <w:rFonts w:hint="eastAsia"/>
          <w:lang w:val="en-US" w:eastAsia="zh-CN"/>
        </w:rPr>
        <w:t>表 1-2 设计开采范围</w:t>
      </w:r>
      <w:r>
        <w:t>。</w:t>
      </w:r>
    </w:p>
    <w:tbl>
      <w:tblPr>
        <w:tblStyle w:val="16"/>
        <w:tblW w:w="84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3"/>
        <w:gridCol w:w="1432"/>
        <w:gridCol w:w="1725"/>
        <w:gridCol w:w="900"/>
        <w:gridCol w:w="1575"/>
        <w:gridCol w:w="1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single" w:color="000000" w:sz="8" w:space="0"/>
              <w:left w:val="single" w:color="000000" w:sz="8" w:space="0"/>
              <w:bottom w:val="single" w:color="000000" w:sz="8" w:space="0"/>
              <w:right w:val="single" w:color="000000" w:sz="8" w:space="0"/>
            </w:tcBorders>
            <w:noWrap w:val="0"/>
            <w:vAlign w:val="center"/>
          </w:tcPr>
          <w:p>
            <w:pPr>
              <w:pStyle w:val="27"/>
              <w:bidi w:val="0"/>
              <w:rPr>
                <w:rFonts w:hint="eastAsia"/>
              </w:rPr>
            </w:pPr>
            <w:r>
              <w:rPr>
                <w:rFonts w:hint="eastAsia"/>
                <w:lang w:val="en-US" w:eastAsia="zh-CN"/>
              </w:rPr>
              <w:t>序 号</w:t>
            </w:r>
          </w:p>
        </w:tc>
        <w:tc>
          <w:tcPr>
            <w:tcW w:w="1432" w:type="dxa"/>
            <w:tcBorders>
              <w:top w:val="single" w:color="000000" w:sz="8" w:space="0"/>
              <w:left w:val="nil"/>
              <w:bottom w:val="single" w:color="000000" w:sz="8" w:space="0"/>
              <w:right w:val="single" w:color="000000" w:sz="8" w:space="0"/>
            </w:tcBorders>
            <w:noWrap w:val="0"/>
            <w:vAlign w:val="center"/>
          </w:tcPr>
          <w:p>
            <w:pPr>
              <w:pStyle w:val="27"/>
              <w:bidi w:val="0"/>
              <w:rPr>
                <w:rFonts w:hint="default"/>
              </w:rPr>
            </w:pPr>
            <w:r>
              <w:rPr>
                <w:rFonts w:hint="default"/>
                <w:lang w:val="en-US" w:eastAsia="zh-CN"/>
              </w:rPr>
              <w:t>X</w:t>
            </w:r>
          </w:p>
        </w:tc>
        <w:tc>
          <w:tcPr>
            <w:tcW w:w="1725" w:type="dxa"/>
            <w:tcBorders>
              <w:top w:val="single" w:color="000000" w:sz="8" w:space="0"/>
              <w:left w:val="nil"/>
              <w:bottom w:val="single" w:color="000000" w:sz="8" w:space="0"/>
              <w:right w:val="single" w:color="000000" w:sz="8" w:space="0"/>
            </w:tcBorders>
            <w:noWrap w:val="0"/>
            <w:vAlign w:val="center"/>
          </w:tcPr>
          <w:p>
            <w:pPr>
              <w:pStyle w:val="27"/>
              <w:bidi w:val="0"/>
              <w:rPr>
                <w:rFonts w:hint="default"/>
              </w:rPr>
            </w:pPr>
            <w:r>
              <w:rPr>
                <w:rFonts w:hint="default"/>
                <w:lang w:val="en-US" w:eastAsia="zh-CN"/>
              </w:rPr>
              <w:t>Y</w:t>
            </w:r>
          </w:p>
        </w:tc>
        <w:tc>
          <w:tcPr>
            <w:tcW w:w="900" w:type="dxa"/>
            <w:tcBorders>
              <w:top w:val="single" w:color="000000" w:sz="8" w:space="0"/>
              <w:left w:val="single" w:color="000000" w:sz="8" w:space="0"/>
              <w:bottom w:val="single" w:color="000000" w:sz="8" w:space="0"/>
              <w:right w:val="single" w:color="000000" w:sz="8" w:space="0"/>
            </w:tcBorders>
            <w:noWrap w:val="0"/>
            <w:vAlign w:val="center"/>
          </w:tcPr>
          <w:p>
            <w:pPr>
              <w:pStyle w:val="27"/>
              <w:bidi w:val="0"/>
              <w:rPr>
                <w:rFonts w:hint="eastAsia"/>
              </w:rPr>
            </w:pPr>
            <w:r>
              <w:rPr>
                <w:rFonts w:hint="eastAsia"/>
                <w:lang w:val="en-US" w:eastAsia="zh-CN"/>
              </w:rPr>
              <w:t>序 号</w:t>
            </w:r>
          </w:p>
        </w:tc>
        <w:tc>
          <w:tcPr>
            <w:tcW w:w="1575" w:type="dxa"/>
            <w:tcBorders>
              <w:top w:val="single" w:color="000000" w:sz="8" w:space="0"/>
              <w:left w:val="nil"/>
              <w:bottom w:val="single" w:color="000000" w:sz="8" w:space="0"/>
              <w:right w:val="single" w:color="000000" w:sz="8" w:space="0"/>
            </w:tcBorders>
            <w:noWrap w:val="0"/>
            <w:vAlign w:val="center"/>
          </w:tcPr>
          <w:p>
            <w:pPr>
              <w:pStyle w:val="27"/>
              <w:bidi w:val="0"/>
              <w:rPr>
                <w:rFonts w:hint="default"/>
              </w:rPr>
            </w:pPr>
            <w:r>
              <w:rPr>
                <w:rFonts w:hint="default"/>
                <w:lang w:val="en-US" w:eastAsia="zh-CN"/>
              </w:rPr>
              <w:t>X</w:t>
            </w:r>
          </w:p>
        </w:tc>
        <w:tc>
          <w:tcPr>
            <w:tcW w:w="1725" w:type="dxa"/>
            <w:tcBorders>
              <w:top w:val="single" w:color="000000" w:sz="8" w:space="0"/>
              <w:left w:val="nil"/>
              <w:bottom w:val="single" w:color="000000" w:sz="8" w:space="0"/>
              <w:right w:val="single" w:color="000000" w:sz="8" w:space="0"/>
            </w:tcBorders>
            <w:noWrap w:val="0"/>
            <w:vAlign w:val="center"/>
          </w:tcPr>
          <w:p>
            <w:pPr>
              <w:pStyle w:val="27"/>
              <w:bidi w:val="0"/>
              <w:rPr>
                <w:rFonts w:hint="default"/>
              </w:rPr>
            </w:pPr>
            <w:r>
              <w:rPr>
                <w:rFonts w:hint="default"/>
                <w:lang w:val="en-US" w:eastAsia="zh-CN"/>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1</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7</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2</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8</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3</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9</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4</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10</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5</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11</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43" w:type="dxa"/>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6</w:t>
            </w:r>
          </w:p>
        </w:tc>
        <w:tc>
          <w:tcPr>
            <w:tcW w:w="1432" w:type="dxa"/>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default"/>
              </w:rPr>
            </w:pPr>
            <w:r>
              <w:rPr>
                <w:rFonts w:hint="default"/>
                <w:lang w:val="en-US" w:eastAsia="zh-CN"/>
              </w:rPr>
              <w:t>12</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0" w:type="auto"/>
            <w:gridSpan w:val="6"/>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面积：</w:t>
            </w:r>
            <w:r>
              <w:rPr>
                <w:rFonts w:hint="default"/>
                <w:lang w:val="en-US" w:eastAsia="zh-CN"/>
              </w:rPr>
              <w:t xml:space="preserve"> *****.**m</w:t>
            </w:r>
            <w:r>
              <w:rPr>
                <w:rFonts w:hint="eastAsia"/>
                <w:lang w:val="en-US" w:eastAsia="zh-CN"/>
              </w:rPr>
              <w:t xml:space="preserve">² </w:t>
            </w:r>
            <w:r>
              <w:rPr>
                <w:rFonts w:hint="default"/>
                <w:lang w:val="en-US" w:eastAsia="zh-CN"/>
              </w:rPr>
              <w:t xml:space="preserve">                </w:t>
            </w:r>
            <w:r>
              <w:rPr>
                <w:rFonts w:hint="eastAsia"/>
                <w:lang w:val="en-US" w:eastAsia="zh-CN"/>
              </w:rPr>
              <w:t>开采标高：</w:t>
            </w:r>
            <w:r>
              <w:rPr>
                <w:rFonts w:hint="default"/>
                <w:lang w:val="en-US" w:eastAsia="zh-CN"/>
              </w:rPr>
              <w:t>158</w:t>
            </w:r>
            <w:r>
              <w:rPr>
                <w:rFonts w:hint="eastAsia"/>
                <w:lang w:val="en-US" w:eastAsia="zh-CN"/>
              </w:rPr>
              <w:t>—</w:t>
            </w:r>
            <w:r>
              <w:rPr>
                <w:rFonts w:hint="default"/>
                <w:lang w:val="en-US" w:eastAsia="zh-CN"/>
              </w:rPr>
              <w:t>84.65m</w:t>
            </w:r>
          </w:p>
        </w:tc>
      </w:tr>
    </w:tbl>
    <w:p>
      <w:pPr>
        <w:pStyle w:val="5"/>
        <w:bidi w:val="0"/>
      </w:pPr>
      <w:r>
        <w:t>2.矿山资源储量及设计服务年限</w:t>
      </w:r>
    </w:p>
    <w:p>
      <w:pPr>
        <w:bidi w:val="0"/>
      </w:pPr>
      <w:r>
        <w:t>据黑龙江省第六地质勘查院202</w:t>
      </w:r>
      <w:r>
        <w:rPr>
          <w:rFonts w:hint="eastAsia"/>
          <w:lang w:val="en-US" w:eastAsia="zh-CN"/>
        </w:rPr>
        <w:t>4</w:t>
      </w:r>
      <w:r>
        <w:t>年</w:t>
      </w:r>
      <w:r>
        <w:rPr>
          <w:rFonts w:hint="eastAsia"/>
          <w:lang w:val="en-US" w:eastAsia="zh-CN"/>
        </w:rPr>
        <w:t>10</w:t>
      </w:r>
      <w:r>
        <w:t>月提交的《</w:t>
      </w:r>
      <w:r>
        <w:rPr>
          <w:rFonts w:hint="eastAsia"/>
        </w:rPr>
        <w:t>佳木斯市桦川县创业乡</w:t>
      </w:r>
      <w:r>
        <w:rPr>
          <w:rFonts w:hint="eastAsia"/>
          <w:lang w:eastAsia="zh-CN"/>
        </w:rPr>
        <w:t>马库力山采石场</w:t>
      </w:r>
      <w:r>
        <w:rPr>
          <w:rFonts w:hint="eastAsia"/>
        </w:rPr>
        <w:t>建筑用花岗岩矿储量简测报告</w:t>
      </w:r>
      <w:r>
        <w:t>》</w:t>
      </w:r>
      <w:r>
        <w:rPr>
          <w:rFonts w:hint="eastAsia"/>
          <w:lang w:eastAsia="zh-CN"/>
        </w:rPr>
        <w:t>，截至</w:t>
      </w:r>
      <w:r>
        <w:t xml:space="preserve"> 202</w:t>
      </w:r>
      <w:r>
        <w:rPr>
          <w:rFonts w:hint="eastAsia"/>
          <w:lang w:val="en-US" w:eastAsia="zh-CN"/>
        </w:rPr>
        <w:t>5</w:t>
      </w:r>
      <w:r>
        <w:t xml:space="preserve"> 年 </w:t>
      </w:r>
      <w:r>
        <w:rPr>
          <w:rFonts w:hint="eastAsia"/>
          <w:lang w:val="en-US" w:eastAsia="zh-CN"/>
        </w:rPr>
        <w:t xml:space="preserve">11 </w:t>
      </w:r>
      <w:r>
        <w:t xml:space="preserve">月，在储量简测范围内 </w:t>
      </w:r>
      <w:r>
        <w:rPr>
          <w:rFonts w:hint="default"/>
          <w:lang w:val="en-US" w:eastAsia="zh-CN"/>
        </w:rPr>
        <w:t>84.65</w:t>
      </w:r>
      <w:r>
        <w:t>m 标高以上，估算出建筑用</w:t>
      </w:r>
      <w:r>
        <w:rPr>
          <w:rFonts w:hint="eastAsia"/>
          <w:lang w:val="en-US" w:eastAsia="zh-CN"/>
        </w:rPr>
        <w:t>花岗岩</w:t>
      </w:r>
      <w:r>
        <w:t>石推断资源量（TD）</w:t>
      </w:r>
      <w:r>
        <w:rPr>
          <w:rFonts w:hint="eastAsia"/>
        </w:rPr>
        <w:t>94</w:t>
      </w:r>
      <w:r>
        <w:rPr>
          <w:rFonts w:hint="eastAsia"/>
          <w:lang w:val="en-US" w:eastAsia="zh-CN"/>
        </w:rPr>
        <w:t>.</w:t>
      </w:r>
      <w:r>
        <w:rPr>
          <w:rFonts w:hint="eastAsia"/>
        </w:rPr>
        <w:t>84</w:t>
      </w:r>
      <w:r>
        <w:t xml:space="preserve"> 万立方米</w:t>
      </w:r>
      <w:r>
        <w:rPr>
          <w:rFonts w:hint="eastAsia"/>
        </w:rPr>
        <w:t>。</w:t>
      </w:r>
    </w:p>
    <w:p>
      <w:pPr>
        <w:bidi w:val="0"/>
      </w:pPr>
      <w:r>
        <w:t>依据《</w:t>
      </w:r>
      <w:r>
        <w:rPr>
          <w:rFonts w:hint="eastAsia"/>
          <w:lang w:eastAsia="zh-CN"/>
        </w:rPr>
        <w:t>桦川县马库力山采石场</w:t>
      </w:r>
      <w:r>
        <w:t>矿产资源开发利用方案》，</w:t>
      </w:r>
      <w:r>
        <w:rPr>
          <w:rFonts w:hint="eastAsia"/>
          <w:lang w:eastAsia="zh-CN"/>
        </w:rPr>
        <w:t>桦川县马库力山采石场</w:t>
      </w:r>
      <w:r>
        <w:t>资源储量为</w:t>
      </w:r>
      <w:r>
        <w:rPr>
          <w:rFonts w:hint="eastAsia"/>
        </w:rPr>
        <w:t>94</w:t>
      </w:r>
      <w:r>
        <w:rPr>
          <w:rFonts w:hint="eastAsia"/>
          <w:lang w:val="en-US" w:eastAsia="zh-CN"/>
        </w:rPr>
        <w:t>.</w:t>
      </w:r>
      <w:r>
        <w:rPr>
          <w:rFonts w:hint="eastAsia"/>
        </w:rPr>
        <w:t>84</w:t>
      </w:r>
      <w:r>
        <w:t>万立方米，设计利用资源量</w:t>
      </w:r>
      <w:r>
        <w:rPr>
          <w:rFonts w:hint="eastAsia"/>
        </w:rPr>
        <w:t>94</w:t>
      </w:r>
      <w:r>
        <w:rPr>
          <w:rFonts w:hint="eastAsia"/>
          <w:lang w:val="en-US" w:eastAsia="zh-CN"/>
        </w:rPr>
        <w:t>.</w:t>
      </w:r>
      <w:r>
        <w:rPr>
          <w:rFonts w:hint="eastAsia"/>
        </w:rPr>
        <w:t>84</w:t>
      </w:r>
      <w:r>
        <w:t>万立方米</w:t>
      </w:r>
      <w:r>
        <w:rPr>
          <w:rFonts w:hint="eastAsia"/>
        </w:rPr>
        <w:t>，回采率95%，生产能力</w:t>
      </w:r>
      <w:r>
        <w:rPr>
          <w:rFonts w:hint="eastAsia"/>
          <w:lang w:val="en-US" w:eastAsia="zh-CN"/>
        </w:rPr>
        <w:t>18</w:t>
      </w:r>
      <w:r>
        <w:rPr>
          <w:rFonts w:hint="eastAsia"/>
          <w:lang w:eastAsia="zh-CN"/>
        </w:rPr>
        <w:t>万立方米</w:t>
      </w:r>
      <w:r>
        <w:rPr>
          <w:rFonts w:hint="eastAsia"/>
        </w:rPr>
        <w:t>/年</w:t>
      </w:r>
      <w:r>
        <w:t>。</w:t>
      </w:r>
    </w:p>
    <w:p>
      <w:pPr>
        <w:ind w:firstLine="560"/>
        <w:rPr>
          <w:sz w:val="28"/>
          <w:szCs w:val="28"/>
        </w:rPr>
      </w:pPr>
      <w:r>
        <w:rPr>
          <w:rFonts w:hint="eastAsia"/>
          <w:sz w:val="28"/>
          <w:szCs w:val="28"/>
        </w:rPr>
        <w:t>建筑用</w:t>
      </w:r>
      <w:r>
        <w:rPr>
          <w:rFonts w:hint="eastAsia"/>
          <w:sz w:val="28"/>
          <w:szCs w:val="28"/>
          <w:lang w:val="en-US" w:eastAsia="zh-CN"/>
        </w:rPr>
        <w:t>花岗岩矿</w:t>
      </w:r>
      <w:r>
        <w:rPr>
          <w:sz w:val="28"/>
          <w:szCs w:val="28"/>
        </w:rPr>
        <w:t>可采资源储量</w:t>
      </w:r>
      <w:r>
        <w:rPr>
          <w:rFonts w:hint="eastAsia"/>
          <w:sz w:val="28"/>
          <w:szCs w:val="28"/>
        </w:rPr>
        <w:t>（</w:t>
      </w:r>
      <w:r>
        <w:rPr>
          <w:sz w:val="28"/>
          <w:szCs w:val="28"/>
        </w:rPr>
        <w:t>Q</w:t>
      </w:r>
      <w:r>
        <w:rPr>
          <w:rFonts w:hint="eastAsia"/>
          <w:sz w:val="28"/>
          <w:szCs w:val="28"/>
        </w:rPr>
        <w:t>）为：</w:t>
      </w:r>
    </w:p>
    <w:p>
      <w:pPr>
        <w:ind w:firstLine="560"/>
        <w:rPr>
          <w:sz w:val="28"/>
          <w:szCs w:val="28"/>
        </w:rPr>
      </w:pPr>
      <w:r>
        <w:rPr>
          <w:sz w:val="28"/>
          <w:szCs w:val="28"/>
        </w:rPr>
        <w:t>Q＝</w:t>
      </w:r>
      <w:r>
        <w:rPr>
          <w:rFonts w:hint="eastAsia"/>
          <w:lang w:val="en-US" w:eastAsia="zh-CN"/>
        </w:rPr>
        <w:t>94.84</w:t>
      </w:r>
      <w:r>
        <w:rPr>
          <w:rFonts w:hint="eastAsia"/>
          <w:sz w:val="28"/>
          <w:szCs w:val="28"/>
        </w:rPr>
        <w:t>万立方米×</w:t>
      </w:r>
      <w:r>
        <w:rPr>
          <w:sz w:val="28"/>
          <w:szCs w:val="28"/>
        </w:rPr>
        <w:t>0.95</w:t>
      </w:r>
    </w:p>
    <w:p>
      <w:pPr>
        <w:ind w:firstLine="560"/>
        <w:rPr>
          <w:sz w:val="28"/>
          <w:szCs w:val="28"/>
        </w:rPr>
      </w:pPr>
      <w:r>
        <w:rPr>
          <w:sz w:val="28"/>
          <w:szCs w:val="28"/>
        </w:rPr>
        <w:t>=</w:t>
      </w:r>
      <w:r>
        <w:rPr>
          <w:rFonts w:hint="eastAsia"/>
          <w:lang w:val="en-US" w:eastAsia="zh-CN"/>
        </w:rPr>
        <w:t>90.10</w:t>
      </w:r>
      <w:r>
        <w:rPr>
          <w:rFonts w:hint="eastAsia"/>
          <w:sz w:val="28"/>
          <w:szCs w:val="28"/>
        </w:rPr>
        <w:t>万立方米</w:t>
      </w:r>
    </w:p>
    <w:p>
      <w:pPr>
        <w:ind w:firstLine="560"/>
        <w:rPr>
          <w:rFonts w:eastAsia="宋体"/>
          <w:sz w:val="28"/>
          <w:szCs w:val="28"/>
        </w:rPr>
      </w:pPr>
      <w:r>
        <w:rPr>
          <w:rFonts w:hint="eastAsia"/>
          <w:sz w:val="28"/>
          <w:szCs w:val="28"/>
        </w:rPr>
        <w:t>开采回采率能够达到国家“三率”指标要求</w:t>
      </w:r>
    </w:p>
    <w:p>
      <w:pPr>
        <w:bidi w:val="0"/>
      </w:pPr>
      <w:r>
        <w:t>根据矿山可采储量，生产能力和服务年限之间的关系，确定矿山的服务年限，其计算公式为：</w:t>
      </w:r>
    </w:p>
    <w:p>
      <w:pPr>
        <w:ind w:firstLine="560"/>
        <w:rPr>
          <w:rFonts w:hint="default" w:eastAsia="宋体"/>
          <w:sz w:val="28"/>
          <w:szCs w:val="28"/>
          <w:lang w:val="en-US" w:eastAsia="zh-CN"/>
        </w:rPr>
      </w:pPr>
      <w:r>
        <w:rPr>
          <w:rFonts w:hint="eastAsia"/>
          <w:sz w:val="28"/>
          <w:szCs w:val="28"/>
        </w:rPr>
        <w:t xml:space="preserve"> T=</w:t>
      </w:r>
      <w:r>
        <w:rPr>
          <w:sz w:val="28"/>
          <w:szCs w:val="28"/>
        </w:rPr>
        <w:t xml:space="preserve"> Q</w:t>
      </w:r>
      <w:r>
        <w:rPr>
          <w:rFonts w:hint="eastAsia"/>
          <w:sz w:val="28"/>
          <w:szCs w:val="28"/>
        </w:rPr>
        <w:t>÷A=</w:t>
      </w:r>
      <w:r>
        <w:rPr>
          <w:rFonts w:hint="eastAsia"/>
          <w:lang w:val="en-US" w:eastAsia="zh-CN"/>
        </w:rPr>
        <w:t>90.10</w:t>
      </w:r>
      <w:r>
        <w:rPr>
          <w:rFonts w:hint="eastAsia" w:hAnsi="宋体"/>
          <w:sz w:val="28"/>
          <w:szCs w:val="28"/>
        </w:rPr>
        <w:t>万立方米</w:t>
      </w:r>
      <w:r>
        <w:rPr>
          <w:rFonts w:hint="eastAsia"/>
          <w:sz w:val="28"/>
          <w:szCs w:val="28"/>
        </w:rPr>
        <w:t>÷</w:t>
      </w:r>
      <w:r>
        <w:rPr>
          <w:rFonts w:hint="eastAsia"/>
          <w:sz w:val="28"/>
          <w:szCs w:val="28"/>
          <w:lang w:val="en-US" w:eastAsia="zh-CN"/>
        </w:rPr>
        <w:t>18</w:t>
      </w:r>
      <w:r>
        <w:rPr>
          <w:rFonts w:hint="eastAsia"/>
          <w:sz w:val="28"/>
          <w:szCs w:val="28"/>
        </w:rPr>
        <w:t>万立方米/年≈</w:t>
      </w:r>
      <w:r>
        <w:rPr>
          <w:rFonts w:hint="eastAsia"/>
          <w:sz w:val="28"/>
          <w:szCs w:val="28"/>
          <w:lang w:val="en-US" w:eastAsia="zh-CN"/>
        </w:rPr>
        <w:t>5年。</w:t>
      </w:r>
    </w:p>
    <w:p>
      <w:pPr>
        <w:ind w:firstLine="560"/>
        <w:rPr>
          <w:sz w:val="28"/>
          <w:szCs w:val="28"/>
        </w:rPr>
      </w:pPr>
      <w:r>
        <w:rPr>
          <w:rFonts w:hint="eastAsia"/>
          <w:sz w:val="28"/>
          <w:szCs w:val="28"/>
        </w:rPr>
        <w:t>其中： T—矿山服务年限（年）</w:t>
      </w:r>
    </w:p>
    <w:p>
      <w:pPr>
        <w:ind w:firstLine="560"/>
        <w:rPr>
          <w:sz w:val="28"/>
          <w:szCs w:val="28"/>
        </w:rPr>
      </w:pPr>
      <w:r>
        <w:rPr>
          <w:rFonts w:hint="eastAsia"/>
          <w:sz w:val="28"/>
          <w:szCs w:val="28"/>
        </w:rPr>
        <w:t xml:space="preserve">       Q—矿山可采储量（</w:t>
      </w:r>
      <w:r>
        <w:rPr>
          <w:rFonts w:hint="eastAsia" w:hAnsi="宋体"/>
          <w:sz w:val="28"/>
          <w:szCs w:val="28"/>
        </w:rPr>
        <w:t>万立方米</w:t>
      </w:r>
      <w:r>
        <w:rPr>
          <w:rFonts w:hint="eastAsia"/>
          <w:sz w:val="28"/>
          <w:szCs w:val="28"/>
        </w:rPr>
        <w:t>）</w:t>
      </w:r>
    </w:p>
    <w:p>
      <w:pPr>
        <w:ind w:firstLine="560"/>
        <w:rPr>
          <w:rFonts w:eastAsia="宋体"/>
          <w:sz w:val="28"/>
          <w:szCs w:val="28"/>
        </w:rPr>
      </w:pPr>
      <w:r>
        <w:rPr>
          <w:rFonts w:hint="eastAsia"/>
          <w:sz w:val="28"/>
          <w:szCs w:val="28"/>
        </w:rPr>
        <w:t xml:space="preserve">       A—矿山生产能力（</w:t>
      </w:r>
      <w:r>
        <w:rPr>
          <w:rFonts w:hint="eastAsia" w:hAnsi="宋体"/>
          <w:sz w:val="28"/>
          <w:szCs w:val="28"/>
        </w:rPr>
        <w:t>万立方米</w:t>
      </w:r>
      <w:r>
        <w:rPr>
          <w:rFonts w:hint="eastAsia"/>
          <w:sz w:val="28"/>
          <w:szCs w:val="28"/>
        </w:rPr>
        <w:t>/年）</w:t>
      </w:r>
    </w:p>
    <w:p>
      <w:pPr>
        <w:bidi w:val="0"/>
      </w:pPr>
      <w:r>
        <w:rPr>
          <w:rFonts w:hint="eastAsia"/>
          <w:lang w:val="en-US" w:eastAsia="zh-CN"/>
        </w:rPr>
        <w:t>依据采矿证，</w:t>
      </w:r>
      <w:r>
        <w:t>矿山剩余服务年限</w:t>
      </w:r>
      <w:r>
        <w:rPr>
          <w:rFonts w:hint="eastAsia"/>
          <w:lang w:val="en-US" w:eastAsia="zh-CN"/>
        </w:rPr>
        <w:t>约</w:t>
      </w:r>
      <w:r>
        <w:t>为</w:t>
      </w:r>
      <w:r>
        <w:rPr>
          <w:rFonts w:hint="eastAsia"/>
          <w:lang w:val="en-US" w:eastAsia="zh-CN"/>
        </w:rPr>
        <w:t>3年</w:t>
      </w:r>
      <w:r>
        <w:t>。</w:t>
      </w:r>
    </w:p>
    <w:p>
      <w:pPr>
        <w:pStyle w:val="5"/>
        <w:bidi w:val="0"/>
      </w:pPr>
      <w:r>
        <w:t>3.建设规模</w:t>
      </w:r>
    </w:p>
    <w:p>
      <w:pPr>
        <w:bidi w:val="0"/>
        <w:rPr>
          <w:sz w:val="28"/>
          <w:szCs w:val="28"/>
        </w:rPr>
      </w:pPr>
      <w:r>
        <w:t>根据《</w:t>
      </w:r>
      <w:r>
        <w:rPr>
          <w:rFonts w:hint="eastAsia"/>
          <w:lang w:eastAsia="zh-CN"/>
        </w:rPr>
        <w:t>桦川县马库力山采石场</w:t>
      </w:r>
      <w:r>
        <w:t>矿产资源开发利用方案》</w:t>
      </w:r>
      <w:r>
        <w:rPr>
          <w:sz w:val="28"/>
          <w:szCs w:val="28"/>
        </w:rPr>
        <w:t>，设计生产能力</w:t>
      </w:r>
      <w:r>
        <w:rPr>
          <w:rFonts w:hint="eastAsia"/>
          <w:sz w:val="28"/>
          <w:szCs w:val="28"/>
          <w:lang w:val="en-US" w:eastAsia="zh-CN"/>
        </w:rPr>
        <w:t>18</w:t>
      </w:r>
      <w:r>
        <w:rPr>
          <w:rFonts w:hint="eastAsia"/>
          <w:sz w:val="28"/>
          <w:szCs w:val="28"/>
          <w:lang w:eastAsia="zh-CN"/>
        </w:rPr>
        <w:t>万立方米</w:t>
      </w:r>
      <w:r>
        <w:rPr>
          <w:sz w:val="28"/>
          <w:szCs w:val="28"/>
        </w:rPr>
        <w:t>/年</w:t>
      </w:r>
      <w:r>
        <w:rPr>
          <w:rFonts w:hint="eastAsia"/>
          <w:sz w:val="28"/>
          <w:szCs w:val="28"/>
          <w:lang w:eastAsia="zh-CN"/>
        </w:rPr>
        <w:t>，</w:t>
      </w:r>
      <w:r>
        <w:rPr>
          <w:sz w:val="28"/>
          <w:szCs w:val="28"/>
        </w:rPr>
        <w:t>对照《矿山地质环境保护与恢复治理方案编制规范》（DZ/T 0223-2011）附录表D矿山生产建设规模分类一览表，确定矿山生产建设规模级别为</w:t>
      </w:r>
      <w:r>
        <w:rPr>
          <w:rFonts w:hint="eastAsia"/>
          <w:sz w:val="28"/>
          <w:szCs w:val="28"/>
          <w:lang w:eastAsia="zh-CN"/>
        </w:rPr>
        <w:t>“</w:t>
      </w:r>
      <w:r>
        <w:rPr>
          <w:rFonts w:hint="eastAsia"/>
          <w:b/>
          <w:bCs/>
          <w:lang w:val="en-US" w:eastAsia="zh-CN"/>
        </w:rPr>
        <w:t>大</w:t>
      </w:r>
      <w:r>
        <w:rPr>
          <w:rFonts w:hint="eastAsia"/>
          <w:b/>
          <w:bCs/>
        </w:rPr>
        <w:t>型</w:t>
      </w:r>
      <w:r>
        <w:rPr>
          <w:rFonts w:hint="eastAsia"/>
          <w:sz w:val="28"/>
          <w:szCs w:val="28"/>
          <w:lang w:eastAsia="zh-CN"/>
        </w:rPr>
        <w:t>”</w:t>
      </w:r>
      <w:r>
        <w:rPr>
          <w:sz w:val="28"/>
          <w:szCs w:val="28"/>
        </w:rPr>
        <w:t>。</w:t>
      </w:r>
    </w:p>
    <w:p>
      <w:pPr>
        <w:pStyle w:val="8"/>
        <w:bidi w:val="0"/>
        <w:rPr>
          <w:rFonts w:hint="eastAsia"/>
          <w:lang w:val="en-US" w:eastAsia="zh-CN"/>
        </w:rPr>
      </w:pPr>
      <w:r>
        <w:t xml:space="preserve">表 </w:t>
      </w:r>
      <w:r>
        <w:rPr>
          <w:rFonts w:hint="eastAsia"/>
          <w:lang w:val="en-US" w:eastAsia="zh-CN"/>
        </w:rPr>
        <w:t xml:space="preserve">1-3 </w:t>
      </w:r>
      <w:r>
        <w:rPr>
          <w:rFonts w:hint="eastAsia"/>
        </w:rPr>
        <w:t>矿山建设规模分类表</w:t>
      </w:r>
    </w:p>
    <w:tbl>
      <w:tblPr>
        <w:tblStyle w:val="16"/>
        <w:tblW w:w="9339" w:type="dxa"/>
        <w:tblInd w:w="1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05"/>
        <w:gridCol w:w="2292"/>
        <w:gridCol w:w="2489"/>
        <w:gridCol w:w="225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2305" w:type="dxa"/>
            <w:vMerge w:val="restart"/>
            <w:tcBorders>
              <w:bottom w:val="single" w:color="auto" w:sz="6" w:space="0"/>
              <w:right w:val="single" w:color="auto" w:sz="6" w:space="0"/>
            </w:tcBorders>
            <w:noWrap w:val="0"/>
            <w:vAlign w:val="center"/>
          </w:tcPr>
          <w:p>
            <w:pPr>
              <w:pStyle w:val="27"/>
              <w:bidi w:val="0"/>
              <w:rPr>
                <w:rFonts w:hint="eastAsia"/>
              </w:rPr>
            </w:pPr>
            <w:r>
              <w:rPr>
                <w:rFonts w:hint="eastAsia"/>
              </w:rPr>
              <w:t>矿种类别</w:t>
            </w:r>
          </w:p>
        </w:tc>
        <w:tc>
          <w:tcPr>
            <w:tcW w:w="7034" w:type="dxa"/>
            <w:gridSpan w:val="3"/>
            <w:tcBorders>
              <w:left w:val="single" w:color="auto" w:sz="6" w:space="0"/>
              <w:bottom w:val="single" w:color="auto" w:sz="6" w:space="0"/>
            </w:tcBorders>
            <w:noWrap w:val="0"/>
            <w:vAlign w:val="center"/>
          </w:tcPr>
          <w:p>
            <w:pPr>
              <w:pStyle w:val="27"/>
              <w:bidi w:val="0"/>
              <w:rPr>
                <w:rFonts w:hint="eastAsia"/>
              </w:rPr>
            </w:pPr>
            <w:r>
              <w:rPr>
                <w:rFonts w:hint="eastAsia"/>
              </w:rPr>
              <w:t>矿山生产建设规模矿石（万立方米）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24" w:hRule="atLeast"/>
        </w:trPr>
        <w:tc>
          <w:tcPr>
            <w:tcW w:w="2305" w:type="dxa"/>
            <w:vMerge w:val="continue"/>
            <w:tcBorders>
              <w:top w:val="single" w:color="auto" w:sz="12" w:space="0"/>
              <w:bottom w:val="single" w:color="auto" w:sz="6" w:space="0"/>
              <w:right w:val="single" w:color="auto" w:sz="6" w:space="0"/>
            </w:tcBorders>
            <w:noWrap w:val="0"/>
            <w:vAlign w:val="center"/>
          </w:tcPr>
          <w:p>
            <w:pPr>
              <w:pStyle w:val="27"/>
              <w:bidi w:val="0"/>
              <w:rPr>
                <w:rFonts w:hint="eastAsia"/>
              </w:rPr>
            </w:pPr>
          </w:p>
        </w:tc>
        <w:tc>
          <w:tcPr>
            <w:tcW w:w="2292" w:type="dxa"/>
            <w:tcBorders>
              <w:top w:val="single" w:color="auto" w:sz="6" w:space="0"/>
              <w:left w:val="single" w:color="auto" w:sz="6" w:space="0"/>
              <w:bottom w:val="single" w:color="auto" w:sz="6" w:space="0"/>
              <w:right w:val="single" w:color="auto" w:sz="6" w:space="0"/>
            </w:tcBorders>
            <w:noWrap w:val="0"/>
            <w:vAlign w:val="center"/>
          </w:tcPr>
          <w:p>
            <w:pPr>
              <w:pStyle w:val="27"/>
              <w:bidi w:val="0"/>
              <w:rPr>
                <w:rFonts w:hint="eastAsia"/>
              </w:rPr>
            </w:pPr>
            <w:r>
              <w:rPr>
                <w:rFonts w:hint="eastAsia"/>
                <w:b/>
                <w:bCs/>
              </w:rPr>
              <w:t>大型</w:t>
            </w:r>
          </w:p>
        </w:tc>
        <w:tc>
          <w:tcPr>
            <w:tcW w:w="2489" w:type="dxa"/>
            <w:tcBorders>
              <w:top w:val="single" w:color="auto" w:sz="6" w:space="0"/>
              <w:left w:val="single" w:color="auto" w:sz="6" w:space="0"/>
              <w:bottom w:val="single" w:color="auto" w:sz="6" w:space="0"/>
              <w:right w:val="single" w:color="auto" w:sz="6" w:space="0"/>
            </w:tcBorders>
            <w:noWrap w:val="0"/>
            <w:vAlign w:val="center"/>
          </w:tcPr>
          <w:p>
            <w:pPr>
              <w:pStyle w:val="27"/>
              <w:bidi w:val="0"/>
              <w:rPr>
                <w:rFonts w:hint="eastAsia"/>
              </w:rPr>
            </w:pPr>
            <w:r>
              <w:rPr>
                <w:rFonts w:hint="eastAsia"/>
                <w:b w:val="0"/>
                <w:bCs w:val="0"/>
              </w:rPr>
              <w:t>中型</w:t>
            </w:r>
          </w:p>
        </w:tc>
        <w:tc>
          <w:tcPr>
            <w:tcW w:w="2253" w:type="dxa"/>
            <w:tcBorders>
              <w:top w:val="single" w:color="auto" w:sz="6" w:space="0"/>
              <w:left w:val="single" w:color="auto" w:sz="6" w:space="0"/>
              <w:bottom w:val="single" w:color="auto" w:sz="6" w:space="0"/>
            </w:tcBorders>
            <w:noWrap w:val="0"/>
            <w:vAlign w:val="center"/>
          </w:tcPr>
          <w:p>
            <w:pPr>
              <w:pStyle w:val="27"/>
              <w:bidi w:val="0"/>
              <w:rPr>
                <w:rFonts w:hint="eastAsia"/>
                <w:lang w:eastAsia="zh-CN"/>
              </w:rPr>
            </w:pPr>
            <w:r>
              <w:rPr>
                <w:rFonts w:hint="eastAsia"/>
                <w:lang w:val="en-US" w:eastAsia="zh-CN"/>
              </w:rPr>
              <w:t>小</w:t>
            </w:r>
            <w:r>
              <w:rPr>
                <w:rFonts w:hint="eastAsia"/>
                <w:lang w:eastAsia="zh-CN"/>
              </w:rPr>
              <w:t>型</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0" w:hRule="atLeast"/>
        </w:trPr>
        <w:tc>
          <w:tcPr>
            <w:tcW w:w="2305" w:type="dxa"/>
            <w:tcBorders>
              <w:top w:val="single" w:color="auto" w:sz="6" w:space="0"/>
              <w:right w:val="single" w:color="auto" w:sz="6" w:space="0"/>
            </w:tcBorders>
            <w:noWrap w:val="0"/>
            <w:vAlign w:val="center"/>
          </w:tcPr>
          <w:p>
            <w:pPr>
              <w:pStyle w:val="27"/>
              <w:bidi w:val="0"/>
              <w:rPr>
                <w:rFonts w:hint="eastAsia"/>
              </w:rPr>
            </w:pPr>
            <w:r>
              <w:rPr>
                <w:rFonts w:hint="eastAsia"/>
              </w:rPr>
              <w:t>建筑用石</w:t>
            </w:r>
          </w:p>
        </w:tc>
        <w:tc>
          <w:tcPr>
            <w:tcW w:w="2292" w:type="dxa"/>
            <w:tcBorders>
              <w:top w:val="single" w:color="auto" w:sz="6" w:space="0"/>
              <w:left w:val="single" w:color="auto" w:sz="6" w:space="0"/>
              <w:right w:val="single" w:color="auto" w:sz="6" w:space="0"/>
            </w:tcBorders>
            <w:noWrap w:val="0"/>
            <w:vAlign w:val="center"/>
          </w:tcPr>
          <w:p>
            <w:pPr>
              <w:pStyle w:val="27"/>
              <w:bidi w:val="0"/>
              <w:rPr>
                <w:rFonts w:hint="eastAsia"/>
              </w:rPr>
            </w:pPr>
            <w:r>
              <w:rPr>
                <w:rFonts w:hint="eastAsia"/>
              </w:rPr>
              <w:t>≥10</w:t>
            </w:r>
          </w:p>
        </w:tc>
        <w:tc>
          <w:tcPr>
            <w:tcW w:w="2489" w:type="dxa"/>
            <w:tcBorders>
              <w:top w:val="single" w:color="auto" w:sz="6" w:space="0"/>
              <w:left w:val="single" w:color="auto" w:sz="6" w:space="0"/>
              <w:right w:val="single" w:color="auto" w:sz="6" w:space="0"/>
            </w:tcBorders>
            <w:noWrap w:val="0"/>
            <w:vAlign w:val="center"/>
          </w:tcPr>
          <w:p>
            <w:pPr>
              <w:pStyle w:val="27"/>
              <w:bidi w:val="0"/>
              <w:rPr>
                <w:rFonts w:hint="eastAsia"/>
              </w:rPr>
            </w:pPr>
            <w:r>
              <w:rPr>
                <w:rFonts w:hint="eastAsia"/>
              </w:rPr>
              <w:t>10</w:t>
            </w:r>
            <w:r>
              <w:rPr>
                <w:rFonts w:hint="eastAsia"/>
                <w:lang w:eastAsia="zh-CN"/>
              </w:rPr>
              <w:t>~</w:t>
            </w:r>
            <w:r>
              <w:rPr>
                <w:rFonts w:hint="eastAsia"/>
              </w:rPr>
              <w:t>5</w:t>
            </w:r>
          </w:p>
        </w:tc>
        <w:tc>
          <w:tcPr>
            <w:tcW w:w="2253" w:type="dxa"/>
            <w:tcBorders>
              <w:top w:val="single" w:color="auto" w:sz="6" w:space="0"/>
              <w:left w:val="single" w:color="auto" w:sz="6" w:space="0"/>
            </w:tcBorders>
            <w:noWrap w:val="0"/>
            <w:vAlign w:val="center"/>
          </w:tcPr>
          <w:p>
            <w:pPr>
              <w:pStyle w:val="27"/>
              <w:bidi w:val="0"/>
              <w:rPr>
                <w:rFonts w:hint="eastAsia"/>
              </w:rPr>
            </w:pPr>
            <w:r>
              <w:rPr>
                <w:rFonts w:hint="eastAsia"/>
                <w:lang w:eastAsia="zh-CN"/>
              </w:rPr>
              <w:t>&lt;</w:t>
            </w:r>
            <w:r>
              <w:rPr>
                <w:rFonts w:hint="eastAsia"/>
              </w:rPr>
              <w:t>5</w:t>
            </w:r>
          </w:p>
        </w:tc>
      </w:tr>
    </w:tbl>
    <w:p>
      <w:pPr>
        <w:pStyle w:val="5"/>
        <w:bidi w:val="0"/>
      </w:pPr>
      <w:r>
        <w:rPr>
          <w:rFonts w:hint="eastAsia"/>
          <w:lang w:val="en-US" w:eastAsia="zh-CN"/>
        </w:rPr>
        <w:t>5</w:t>
      </w:r>
      <w:r>
        <w:t>.工程布局</w:t>
      </w:r>
    </w:p>
    <w:p>
      <w:pPr>
        <w:bidi w:val="0"/>
        <w:rPr>
          <w:rFonts w:hint="default" w:eastAsia="宋体"/>
          <w:lang w:val="en-US" w:eastAsia="zh-CN"/>
        </w:rPr>
      </w:pPr>
      <w:r>
        <w:rPr>
          <w:rFonts w:hint="eastAsia"/>
          <w:lang w:val="en-US" w:eastAsia="zh-CN"/>
        </w:rPr>
        <w:t>根据</w:t>
      </w:r>
      <w:r>
        <w:rPr>
          <w:rFonts w:hint="eastAsia"/>
        </w:rPr>
        <w:t>矿区</w:t>
      </w:r>
      <w:r>
        <w:rPr>
          <w:rFonts w:hint="eastAsia"/>
          <w:lang w:val="en-US" w:eastAsia="zh-CN"/>
        </w:rPr>
        <w:t>现场实际情况，实测</w:t>
      </w:r>
      <w:r>
        <w:rPr>
          <w:rFonts w:hint="eastAsia"/>
          <w:color w:val="auto"/>
        </w:rPr>
        <w:t>矿区</w:t>
      </w:r>
      <w:r>
        <w:rPr>
          <w:rFonts w:hint="eastAsia"/>
          <w:color w:val="auto"/>
          <w:lang w:val="en-US" w:eastAsia="zh-CN"/>
        </w:rPr>
        <w:t>内</w:t>
      </w:r>
      <w:r>
        <w:rPr>
          <w:rFonts w:hint="eastAsia"/>
          <w:color w:val="auto"/>
        </w:rPr>
        <w:t>设置</w:t>
      </w:r>
      <w:r>
        <w:rPr>
          <w:rFonts w:hint="eastAsia"/>
          <w:color w:val="auto"/>
          <w:lang w:val="en-US" w:eastAsia="zh-CN"/>
        </w:rPr>
        <w:t>工业广场面积为</w:t>
      </w:r>
      <w:r>
        <w:rPr>
          <w:rFonts w:hint="eastAsia"/>
          <w:color w:val="auto"/>
          <w:vertAlign w:val="baseline"/>
          <w:lang w:val="en-US" w:eastAsia="zh-CN"/>
        </w:rPr>
        <w:t>*.****</w:t>
      </w:r>
      <w:r>
        <w:rPr>
          <w:rFonts w:hint="eastAsia"/>
          <w:color w:val="auto"/>
          <w:lang w:val="en-US" w:eastAsia="zh-CN"/>
        </w:rPr>
        <w:t>hm</w:t>
      </w:r>
      <w:r>
        <w:rPr>
          <w:rFonts w:hint="eastAsia"/>
          <w:color w:val="auto"/>
          <w:vertAlign w:val="superscript"/>
          <w:lang w:val="en-US" w:eastAsia="zh-CN"/>
        </w:rPr>
        <w:t>2</w:t>
      </w:r>
      <w:r>
        <w:rPr>
          <w:rFonts w:hint="eastAsia"/>
          <w:color w:val="auto"/>
          <w:vertAlign w:val="baseline"/>
          <w:lang w:val="en-US" w:eastAsia="zh-CN"/>
        </w:rPr>
        <w:t>其中包含：</w:t>
      </w:r>
      <w:r>
        <w:rPr>
          <w:rFonts w:hint="eastAsia"/>
          <w:color w:val="auto"/>
        </w:rPr>
        <w:t>办公室、</w:t>
      </w:r>
      <w:r>
        <w:rPr>
          <w:rFonts w:hint="eastAsia"/>
          <w:color w:val="auto"/>
          <w:lang w:val="en-US" w:eastAsia="zh-CN"/>
        </w:rPr>
        <w:t>工业广场、</w:t>
      </w:r>
      <w:r>
        <w:rPr>
          <w:rFonts w:hint="eastAsia"/>
          <w:color w:val="auto"/>
        </w:rPr>
        <w:t>料</w:t>
      </w:r>
      <w:r>
        <w:rPr>
          <w:rFonts w:hint="eastAsia"/>
          <w:color w:val="auto"/>
          <w:lang w:val="en-US" w:eastAsia="zh-CN"/>
        </w:rPr>
        <w:t>场</w:t>
      </w:r>
      <w:r>
        <w:rPr>
          <w:rFonts w:hint="eastAsia"/>
          <w:color w:val="auto"/>
        </w:rPr>
        <w:t>的临时堆放场</w:t>
      </w:r>
      <w:r>
        <w:rPr>
          <w:rFonts w:hint="eastAsia"/>
          <w:color w:val="auto"/>
          <w:lang w:val="en-US" w:eastAsia="zh-CN"/>
        </w:rPr>
        <w:t>等</w:t>
      </w:r>
      <w:r>
        <w:rPr>
          <w:rFonts w:hint="eastAsia"/>
          <w:color w:val="auto"/>
          <w:lang w:eastAsia="zh-CN"/>
        </w:rPr>
        <w:t>，</w:t>
      </w:r>
      <w:r>
        <w:rPr>
          <w:rFonts w:hint="eastAsia"/>
          <w:color w:val="auto"/>
          <w:lang w:val="en-US" w:eastAsia="zh-CN"/>
        </w:rPr>
        <w:t>开采区面积</w:t>
      </w:r>
      <w:r>
        <w:rPr>
          <w:rFonts w:hint="default"/>
          <w:color w:val="auto"/>
          <w:lang w:val="en-US" w:eastAsia="zh-CN"/>
        </w:rPr>
        <w:t>*</w:t>
      </w:r>
      <w:r>
        <w:rPr>
          <w:rFonts w:hint="eastAsia"/>
          <w:color w:val="auto"/>
          <w:lang w:val="en-US" w:eastAsia="zh-CN"/>
        </w:rPr>
        <w:t>.</w:t>
      </w:r>
      <w:r>
        <w:rPr>
          <w:rFonts w:hint="default"/>
          <w:color w:val="auto"/>
          <w:lang w:val="en-US" w:eastAsia="zh-CN"/>
        </w:rPr>
        <w:t>****</w:t>
      </w:r>
      <w:r>
        <w:rPr>
          <w:rFonts w:hint="eastAsia"/>
          <w:color w:val="auto"/>
          <w:lang w:val="en-US" w:eastAsia="zh-CN"/>
        </w:rPr>
        <w:t>hm</w:t>
      </w:r>
      <w:r>
        <w:rPr>
          <w:rFonts w:hint="eastAsia"/>
          <w:color w:val="auto"/>
          <w:vertAlign w:val="superscript"/>
          <w:lang w:val="en-US" w:eastAsia="zh-CN"/>
        </w:rPr>
        <w:t>2</w:t>
      </w:r>
      <w:r>
        <w:rPr>
          <w:rFonts w:hint="eastAsia"/>
          <w:color w:val="auto"/>
          <w:vertAlign w:val="baseline"/>
          <w:lang w:val="en-US" w:eastAsia="zh-CN"/>
        </w:rPr>
        <w:t>，</w:t>
      </w:r>
      <w:r>
        <w:rPr>
          <w:rFonts w:hint="eastAsia"/>
          <w:color w:val="auto"/>
          <w:lang w:val="en-US" w:eastAsia="zh-CN"/>
        </w:rPr>
        <w:t>影响区面积*.****hm</w:t>
      </w:r>
      <w:r>
        <w:rPr>
          <w:rFonts w:hint="eastAsia"/>
          <w:color w:val="auto"/>
          <w:vertAlign w:val="superscript"/>
          <w:lang w:val="en-US" w:eastAsia="zh-CN"/>
        </w:rPr>
        <w:t>2</w:t>
      </w:r>
      <w:r>
        <w:rPr>
          <w:rFonts w:hint="eastAsia"/>
          <w:color w:val="auto"/>
          <w:vertAlign w:val="baseline"/>
          <w:lang w:val="en-US" w:eastAsia="zh-CN"/>
        </w:rPr>
        <w:t>。</w:t>
      </w:r>
      <w:r>
        <w:rPr>
          <w:rFonts w:hint="eastAsia"/>
          <w:color w:val="auto"/>
          <w:lang w:val="en-US" w:eastAsia="zh-CN"/>
        </w:rPr>
        <w:t>开采区位于矿区西侧，设备区位于矿区东侧，料堆位于开采区东侧，拍图差位于矿区东侧，办公区位于矿区出厂道路西侧</w:t>
      </w:r>
      <w:r>
        <w:rPr>
          <w:rFonts w:hint="eastAsia"/>
          <w:lang w:val="en-US" w:eastAsia="zh-CN"/>
        </w:rPr>
        <w:t>。详见</w:t>
      </w:r>
      <w:r>
        <w:t>矿区范围及工业广场布局示意图</w:t>
      </w:r>
      <w:r>
        <w:rPr>
          <w:rFonts w:hint="eastAsia"/>
          <w:lang w:val="en-US" w:eastAsia="zh-CN"/>
        </w:rPr>
        <w:t>1-1。</w:t>
      </w:r>
    </w:p>
    <w:p>
      <w:pPr>
        <w:pStyle w:val="5"/>
        <w:bidi w:val="0"/>
      </w:pPr>
      <w:r>
        <w:rPr>
          <w:rFonts w:hint="eastAsia"/>
          <w:lang w:val="en-US" w:eastAsia="zh-CN"/>
        </w:rPr>
        <w:t>6</w:t>
      </w:r>
      <w:r>
        <w:t>.矿山开采方式</w:t>
      </w:r>
    </w:p>
    <w:p>
      <w:pPr>
        <w:ind w:firstLine="560"/>
        <w:rPr>
          <w:rFonts w:hint="eastAsia"/>
          <w:lang w:val="en-US" w:eastAsia="zh-CN"/>
        </w:rPr>
      </w:pPr>
      <w:r>
        <w:rPr>
          <w:rFonts w:hint="eastAsia"/>
          <w:lang w:val="en-US" w:eastAsia="zh-CN"/>
        </w:rPr>
        <w:t>该矿床采用</w:t>
      </w:r>
      <w:r>
        <w:rPr>
          <w:rFonts w:hint="eastAsia"/>
        </w:rPr>
        <w:t>露天台阶式开采</w:t>
      </w:r>
      <w:r>
        <w:rPr>
          <w:rFonts w:hint="eastAsia"/>
          <w:lang w:eastAsia="zh-CN"/>
        </w:rPr>
        <w:t>。</w:t>
      </w:r>
      <w:r>
        <w:rPr>
          <w:rFonts w:hint="eastAsia"/>
          <w:lang w:val="en-US" w:eastAsia="zh-CN"/>
        </w:rPr>
        <w:t>根据现场地形地貌与设计最低标高对比，共设置2个台阶，124m平台、104m平台以及基地84.65m。</w:t>
      </w:r>
    </w:p>
    <w:p>
      <w:pPr>
        <w:pStyle w:val="5"/>
        <w:bidi w:val="0"/>
        <w:rPr>
          <w:rFonts w:hint="eastAsia"/>
          <w:lang w:val="en-US" w:eastAsia="zh-CN"/>
        </w:rPr>
      </w:pPr>
      <w:r>
        <w:rPr>
          <w:rFonts w:hint="eastAsia"/>
          <w:lang w:val="en-US" w:eastAsia="zh-CN"/>
        </w:rPr>
        <w:t>7.开采顺序</w:t>
      </w:r>
    </w:p>
    <w:p>
      <w:pPr>
        <w:rPr>
          <w:rFonts w:hint="eastAsia"/>
          <w:lang w:eastAsia="zh-CN"/>
        </w:rPr>
      </w:pPr>
      <w:r>
        <w:rPr>
          <w:rFonts w:hint="eastAsia"/>
        </w:rPr>
        <w:t>由上往下分台阶推进的原则</w:t>
      </w:r>
      <w:r>
        <w:rPr>
          <w:rFonts w:hint="eastAsia"/>
          <w:lang w:eastAsia="zh-CN"/>
        </w:rPr>
        <w:t>。</w:t>
      </w:r>
    </w:p>
    <w:p>
      <w:pPr>
        <w:pStyle w:val="5"/>
        <w:bidi w:val="0"/>
        <w:rPr>
          <w:rFonts w:hint="eastAsia"/>
          <w:lang w:val="en-US" w:eastAsia="zh-CN"/>
        </w:rPr>
      </w:pPr>
      <w:r>
        <w:rPr>
          <w:rFonts w:hint="eastAsia"/>
          <w:lang w:val="en-US" w:eastAsia="zh-CN"/>
        </w:rPr>
        <w:t>8.</w:t>
      </w:r>
      <w:r>
        <w:rPr>
          <w:rFonts w:hint="eastAsia"/>
        </w:rPr>
        <w:t>采矿方</w:t>
      </w:r>
      <w:r>
        <w:rPr>
          <w:rFonts w:hint="eastAsia"/>
          <w:lang w:val="en-US" w:eastAsia="zh-CN"/>
        </w:rPr>
        <w:t>法</w:t>
      </w:r>
    </w:p>
    <w:p>
      <w:pPr>
        <w:rPr>
          <w:rFonts w:hint="eastAsia"/>
        </w:rPr>
      </w:pPr>
      <w:r>
        <w:rPr>
          <w:rFonts w:hint="eastAsia"/>
        </w:rPr>
        <w:t>露天横向</w:t>
      </w:r>
      <w:r>
        <w:rPr>
          <w:rFonts w:hint="eastAsia"/>
          <w:lang w:val="en-US" w:eastAsia="zh-CN"/>
        </w:rPr>
        <w:t>开采</w:t>
      </w:r>
      <w:r>
        <w:rPr>
          <w:rFonts w:hint="eastAsia"/>
        </w:rPr>
        <w:t>。</w:t>
      </w:r>
    </w:p>
    <w:p>
      <w:pPr>
        <w:pStyle w:val="5"/>
        <w:bidi w:val="0"/>
        <w:rPr>
          <w:rFonts w:hint="eastAsia"/>
        </w:rPr>
      </w:pPr>
      <w:r>
        <w:rPr>
          <w:rFonts w:hint="eastAsia"/>
          <w:lang w:val="en-US" w:eastAsia="zh-CN"/>
        </w:rPr>
        <w:t>9.</w:t>
      </w:r>
      <w:r>
        <w:rPr>
          <w:rFonts w:hint="eastAsia"/>
        </w:rPr>
        <w:t>装载方式</w:t>
      </w:r>
    </w:p>
    <w:p>
      <w:pPr>
        <w:rPr>
          <w:rFonts w:hint="eastAsia"/>
        </w:rPr>
      </w:pPr>
      <w:r>
        <w:rPr>
          <w:rFonts w:hint="eastAsia"/>
        </w:rPr>
        <w:t>挖掘机装矿</w:t>
      </w:r>
    </w:p>
    <w:p>
      <w:pPr>
        <w:pStyle w:val="5"/>
        <w:bidi w:val="0"/>
        <w:rPr>
          <w:rFonts w:hint="eastAsia"/>
        </w:rPr>
      </w:pPr>
      <w:r>
        <w:rPr>
          <w:rFonts w:hint="eastAsia"/>
          <w:lang w:val="en-US" w:eastAsia="zh-CN"/>
        </w:rPr>
        <w:t>10.</w:t>
      </w:r>
      <w:r>
        <w:rPr>
          <w:rFonts w:hint="eastAsia"/>
        </w:rPr>
        <w:t>运输方式</w:t>
      </w:r>
    </w:p>
    <w:p>
      <w:pPr>
        <w:rPr>
          <w:rFonts w:hint="eastAsia"/>
          <w:lang w:val="en-US" w:eastAsia="zh-CN"/>
        </w:rPr>
      </w:pPr>
      <w:r>
        <w:rPr>
          <w:rFonts w:hint="eastAsia"/>
        </w:rPr>
        <w:t>汽车运输</w:t>
      </w:r>
      <w:r>
        <w:rPr>
          <w:rFonts w:hint="eastAsia"/>
          <w:lang w:val="en-US" w:eastAsia="zh-CN"/>
        </w:rPr>
        <w:br w:type="page"/>
      </w:r>
    </w:p>
    <w:bookmarkEnd w:id="18"/>
    <w:bookmarkEnd w:id="19"/>
    <w:p>
      <w:pPr>
        <w:pStyle w:val="2"/>
        <w:bidi w:val="0"/>
      </w:pPr>
      <w:bookmarkStart w:id="23" w:name="_Toc401734581"/>
      <w:bookmarkStart w:id="24" w:name="_Toc448821244"/>
      <w:bookmarkStart w:id="25" w:name="_Toc20830"/>
      <w:r>
        <w:t>第二章</w:t>
      </w:r>
      <w:bookmarkEnd w:id="23"/>
      <w:bookmarkEnd w:id="24"/>
      <w:r>
        <w:t xml:space="preserve"> 矿区基础信息</w:t>
      </w:r>
      <w:bookmarkEnd w:id="25"/>
    </w:p>
    <w:p>
      <w:pPr>
        <w:pStyle w:val="3"/>
        <w:bidi w:val="0"/>
      </w:pPr>
      <w:bookmarkStart w:id="26" w:name="_Toc24715"/>
      <w:bookmarkStart w:id="27" w:name="_Toc401734583"/>
      <w:bookmarkStart w:id="28" w:name="_Toc448821246"/>
      <w:r>
        <w:t>一、矿区自然条件</w:t>
      </w:r>
      <w:bookmarkEnd w:id="26"/>
    </w:p>
    <w:p>
      <w:pPr>
        <w:pStyle w:val="4"/>
      </w:pPr>
      <w:r>
        <w:t>（一）气象</w:t>
      </w:r>
    </w:p>
    <w:p>
      <w:pPr>
        <w:bidi w:val="0"/>
        <w:rPr>
          <w:lang w:val="en-GB"/>
        </w:rPr>
      </w:pPr>
      <w:r>
        <w:rPr>
          <w:rFonts w:hint="eastAsia"/>
          <w:lang w:val="en-GB"/>
        </w:rPr>
        <w:t>气候属北中温带大陆性气候，年平均气温2.5℃，最冷为一月，平均气温-20℃，最热在七月，平均气温22.2℃，无霜期145天，年降水量460mm，日照2503小时，冰冻期从11月至翌年4月，冻土最大厚度2.2米。</w:t>
      </w:r>
    </w:p>
    <w:p>
      <w:pPr>
        <w:pStyle w:val="4"/>
        <w:bidi w:val="0"/>
      </w:pPr>
      <w:r>
        <w:t>（二）水文</w:t>
      </w:r>
    </w:p>
    <w:p>
      <w:pPr>
        <w:ind w:firstLine="560"/>
        <w:rPr>
          <w:rFonts w:hint="eastAsia"/>
          <w:sz w:val="28"/>
          <w:szCs w:val="28"/>
          <w:lang w:val="en-GB"/>
        </w:rPr>
      </w:pPr>
      <w:r>
        <w:rPr>
          <w:rFonts w:hint="eastAsia"/>
          <w:sz w:val="28"/>
          <w:szCs w:val="28"/>
          <w:lang w:val="en-GB"/>
        </w:rPr>
        <w:t>矿区内无地表水体存在，地表水只有在降雨时出现暂时的地表径流，雨后消失。由于采矿场地势较高，地表水对矿床开采不造成影响。</w:t>
      </w:r>
    </w:p>
    <w:p>
      <w:pPr>
        <w:ind w:firstLine="560"/>
        <w:jc w:val="center"/>
        <w:rPr>
          <w:rFonts w:hint="eastAsia" w:eastAsia="宋体"/>
          <w:sz w:val="28"/>
          <w:szCs w:val="28"/>
          <w:lang w:val="en-GB" w:eastAsia="zh-CN"/>
        </w:rPr>
      </w:pPr>
      <w:r>
        <w:rPr>
          <w:rFonts w:hint="eastAsia" w:eastAsia="宋体"/>
          <w:sz w:val="28"/>
          <w:szCs w:val="28"/>
          <w:lang w:val="en-GB" w:eastAsia="zh-CN"/>
        </w:rPr>
        <w:pict>
          <v:shape id="_x0000_i1028" o:spt="75" alt="桦川县水文地质图" type="#_x0000_t75" style="height:377.55pt;width:414.65pt;" filled="f" o:preferrelative="t" stroked="f" coordsize="21600,21600">
            <v:path/>
            <v:fill on="f" focussize="0,0"/>
            <v:stroke on="f"/>
            <v:imagedata r:id="rId27" o:title="桦川县水文地质图"/>
            <o:lock v:ext="edit" aspectratio="t"/>
            <w10:wrap type="none"/>
            <w10:anchorlock/>
          </v:shape>
        </w:pict>
      </w:r>
    </w:p>
    <w:p>
      <w:pPr>
        <w:pStyle w:val="8"/>
        <w:ind w:firstLine="560"/>
        <w:rPr>
          <w:rFonts w:hint="default" w:eastAsia="黑体"/>
          <w:sz w:val="28"/>
          <w:szCs w:val="28"/>
          <w:lang w:val="en-US" w:eastAsia="zh-CN"/>
        </w:rPr>
      </w:pPr>
      <w:r>
        <w:t xml:space="preserve">图 </w:t>
      </w:r>
      <w:r>
        <w:rPr>
          <w:rFonts w:hint="eastAsia"/>
          <w:lang w:val="en-US" w:eastAsia="zh-CN"/>
        </w:rPr>
        <w:t>2-1 矿区水系图</w:t>
      </w:r>
    </w:p>
    <w:bookmarkEnd w:id="27"/>
    <w:bookmarkEnd w:id="28"/>
    <w:p>
      <w:pPr>
        <w:pStyle w:val="4"/>
      </w:pPr>
      <w:bookmarkStart w:id="29" w:name="_Toc448821249"/>
      <w:bookmarkStart w:id="30" w:name="_Toc401734586"/>
      <w:r>
        <w:t>（三）地形地貌</w:t>
      </w:r>
    </w:p>
    <w:p>
      <w:pPr>
        <w:ind w:firstLine="560"/>
        <w:jc w:val="left"/>
        <w:rPr>
          <w:rFonts w:hint="default" w:eastAsia="宋体"/>
          <w:lang w:val="en-US" w:eastAsia="zh-CN"/>
        </w:rPr>
      </w:pPr>
      <w:r>
        <w:rPr>
          <w:rFonts w:hint="default" w:eastAsia="宋体"/>
          <w:lang w:val="en-US" w:eastAsia="zh-CN"/>
        </w:rPr>
        <w:t>矿区位于三江平原西部，为岩浆成因孤岛状侵蚀残山，其</w:t>
      </w:r>
      <w:r>
        <w:rPr>
          <w:rFonts w:hint="eastAsia"/>
          <w:lang w:val="en-US" w:eastAsia="zh-CN"/>
        </w:rPr>
        <w:t>四周</w:t>
      </w:r>
      <w:r>
        <w:rPr>
          <w:rFonts w:hint="default" w:eastAsia="宋体"/>
          <w:lang w:val="en-US" w:eastAsia="zh-CN"/>
        </w:rPr>
        <w:t>多为林地。该残山最高海拔190米，当地侵蚀基准面约为海拔66米，最高洪水位约为海拔70米，坡度5°—20°。</w:t>
      </w:r>
    </w:p>
    <w:p>
      <w:pPr>
        <w:jc w:val="center"/>
      </w:pPr>
      <w:r>
        <w:rPr>
          <w:sz w:val="30"/>
        </w:rPr>
        <w:pict>
          <v:shape id="_x0000_s2070" o:spid="_x0000_s2070" o:spt="202" type="#_x0000_t202" style="position:absolute;left:0pt;margin-left:397.4pt;margin-top:4.1pt;height:27pt;width:30.05pt;z-index:251661312;mso-width-relative:page;mso-height-relative:page;" fillcolor="#FFFFFF" filled="t" stroked="f" coordsize="21600,21600">
            <v:path/>
            <v:fill on="t" color2="#FFFFFF" focussize="0,0"/>
            <v:stroke on="f"/>
            <v:imagedata o:title=""/>
            <o:lock v:ext="edit" aspectratio="f"/>
            <v:textbox>
              <w:txbxContent>
                <w:p>
                  <w:pPr>
                    <w:ind w:left="0" w:leftChars="0" w:firstLine="0" w:firstLineChars="0"/>
                    <w:rPr>
                      <w:rFonts w:hint="eastAsia" w:eastAsia="宋体"/>
                      <w:lang w:val="en-US" w:eastAsia="zh-CN"/>
                    </w:rPr>
                  </w:pPr>
                  <w:r>
                    <w:rPr>
                      <w:rFonts w:hint="eastAsia"/>
                      <w:lang w:val="en-US" w:eastAsia="zh-CN"/>
                    </w:rPr>
                    <w:t>北</w:t>
                  </w:r>
                </w:p>
              </w:txbxContent>
            </v:textbox>
          </v:shape>
        </w:pict>
      </w:r>
      <w:r>
        <w:rPr>
          <w:sz w:val="28"/>
        </w:rPr>
        <w:pict>
          <v:shape id="_x0000_s2066" o:spid="_x0000_s2066" o:spt="68" type="#_x0000_t68" style="position:absolute;left:0pt;margin-left:404.15pt;margin-top:35.5pt;height:52.95pt;width:17.25pt;z-index:251662336;mso-width-relative:page;mso-height-relative:page;" fillcolor="#000000" filled="t" stroked="t" coordsize="21600,21600" adj="5400,5400">
            <v:path/>
            <v:fill on="t" color2="#FFFFFF" focussize="0,0"/>
            <v:stroke/>
            <v:imagedata o:title=""/>
            <o:lock v:ext="edit" aspectratio="f"/>
          </v:shape>
        </w:pict>
      </w:r>
      <w:r>
        <w:rPr>
          <w:rFonts w:hint="eastAsia" w:eastAsia="宋体"/>
          <w:lang w:eastAsia="zh-CN"/>
        </w:rPr>
        <w:pict>
          <v:shape id="_x0000_i1029" o:spt="75" alt="无标题" type="#_x0000_t75" style="height:549.6pt;width:378pt;" filled="f" o:preferrelative="t" stroked="f" coordsize="21600,21600">
            <v:path/>
            <v:fill on="f" focussize="0,0"/>
            <v:stroke on="f"/>
            <v:imagedata r:id="rId28" cropleft="2945f" croptop="1972f" cropright="2905f" cropbottom="2151f" o:title="无标题"/>
            <o:lock v:ext="edit" aspectratio="t"/>
            <w10:wrap type="none"/>
            <w10:anchorlock/>
          </v:shape>
        </w:pict>
      </w:r>
    </w:p>
    <w:p>
      <w:pPr>
        <w:pStyle w:val="8"/>
        <w:bidi w:val="0"/>
        <w:rPr>
          <w:rFonts w:hint="default"/>
          <w:lang w:val="en-US"/>
        </w:rPr>
      </w:pPr>
      <w:r>
        <w:t xml:space="preserve">图 </w:t>
      </w:r>
      <w:r>
        <w:rPr>
          <w:rFonts w:hint="eastAsia"/>
          <w:lang w:val="en-US" w:eastAsia="zh-CN"/>
        </w:rPr>
        <w:t>2-2 矿区周边地貌</w:t>
      </w:r>
    </w:p>
    <w:p>
      <w:pPr>
        <w:ind w:firstLine="560"/>
        <w:jc w:val="center"/>
        <w:rPr>
          <w:lang w:val="zh-CN"/>
        </w:rPr>
      </w:pPr>
    </w:p>
    <w:p>
      <w:pPr>
        <w:pStyle w:val="4"/>
      </w:pPr>
      <w:r>
        <w:t>（四）植被</w:t>
      </w:r>
      <w:bookmarkEnd w:id="29"/>
      <w:bookmarkEnd w:id="30"/>
    </w:p>
    <w:p>
      <w:pPr>
        <w:bidi w:val="0"/>
      </w:pPr>
      <w:r>
        <w:rPr>
          <w:rFonts w:hint="eastAsia"/>
        </w:rPr>
        <w:t>矿区植被为林地、草地、耕地等，周围地类为旱地多种植玉米等农作物，林地多为</w:t>
      </w:r>
      <w:r>
        <w:rPr>
          <w:rFonts w:hint="eastAsia"/>
          <w:lang w:eastAsia="zh-CN"/>
        </w:rPr>
        <w:t>樟子松</w:t>
      </w:r>
      <w:r>
        <w:rPr>
          <w:rFonts w:hint="eastAsia"/>
        </w:rPr>
        <w:t>和其他灌木林地等，草地多为杂草。</w:t>
      </w:r>
    </w:p>
    <w:p>
      <w:pPr>
        <w:ind w:firstLine="0" w:firstLineChars="0"/>
        <w:jc w:val="center"/>
      </w:pPr>
      <w:r>
        <w:rPr>
          <w:sz w:val="30"/>
        </w:rPr>
        <w:pict>
          <v:shape id="_x0000_s2071" o:spid="_x0000_s2071" o:spt="202" type="#_x0000_t202" style="position:absolute;left:0pt;margin-left:372.4pt;margin-top:2.2pt;height:27pt;width:30.05pt;z-index:251663360;mso-width-relative:page;mso-height-relative:page;" fillcolor="#FFFFFF" filled="t" stroked="f" coordsize="21600,21600">
            <v:path/>
            <v:fill on="t" color2="#FFFFFF" focussize="0,0"/>
            <v:stroke on="f"/>
            <v:imagedata o:title=""/>
            <o:lock v:ext="edit" aspectratio="f"/>
            <v:textbox>
              <w:txbxContent>
                <w:p>
                  <w:pPr>
                    <w:ind w:left="0" w:leftChars="0" w:firstLine="0" w:firstLineChars="0"/>
                    <w:rPr>
                      <w:rFonts w:hint="eastAsia" w:eastAsia="宋体"/>
                      <w:lang w:val="en-US" w:eastAsia="zh-CN"/>
                    </w:rPr>
                  </w:pPr>
                  <w:r>
                    <w:rPr>
                      <w:rFonts w:hint="eastAsia"/>
                      <w:lang w:val="en-US" w:eastAsia="zh-CN"/>
                    </w:rPr>
                    <w:t>北</w:t>
                  </w:r>
                </w:p>
              </w:txbxContent>
            </v:textbox>
          </v:shape>
        </w:pict>
      </w:r>
      <w:r>
        <w:rPr>
          <w:sz w:val="28"/>
        </w:rPr>
        <w:pict>
          <v:shape id="_x0000_s2072" o:spid="_x0000_s2072" o:spt="68" type="#_x0000_t68" style="position:absolute;left:0pt;margin-left:379.15pt;margin-top:33.6pt;height:52.95pt;width:17.25pt;z-index:251664384;mso-width-relative:page;mso-height-relative:page;" fillcolor="#000000" filled="t" stroked="t" coordsize="21600,21600" adj="5400,5400">
            <v:path/>
            <v:fill on="t" color2="#FFFFFF" focussize="0,0"/>
            <v:stroke/>
            <v:imagedata o:title=""/>
            <o:lock v:ext="edit" aspectratio="f"/>
          </v:shape>
        </w:pict>
      </w:r>
      <w:r>
        <w:pict>
          <v:shape id="_x0000_i1030" o:spt="75" type="#_x0000_t75" style="height:293.55pt;width:336.7pt;" filled="f" o:preferrelative="t" stroked="f" coordsize="21600,21600">
            <v:path/>
            <v:fill on="f" focussize="0,0"/>
            <v:stroke on="f"/>
            <v:imagedata r:id="rId29" o:title=""/>
            <o:lock v:ext="edit" aspectratio="t"/>
            <w10:wrap type="none"/>
            <w10:anchorlock/>
          </v:shape>
        </w:pict>
      </w:r>
    </w:p>
    <w:p>
      <w:pPr>
        <w:pStyle w:val="8"/>
        <w:bidi w:val="0"/>
      </w:pPr>
      <w:r>
        <w:t xml:space="preserve">图 </w:t>
      </w:r>
      <w:r>
        <w:rPr>
          <w:rFonts w:hint="eastAsia"/>
          <w:lang w:val="en-US" w:eastAsia="zh-CN"/>
        </w:rPr>
        <w:t xml:space="preserve">2-3 </w:t>
      </w:r>
      <w:r>
        <w:rPr>
          <w:rFonts w:hint="eastAsia" w:ascii="宋体" w:hAnsi="宋体"/>
          <w:sz w:val="24"/>
          <w:szCs w:val="24"/>
        </w:rPr>
        <w:t>矿区</w:t>
      </w:r>
      <w:r>
        <w:rPr>
          <w:rFonts w:hint="eastAsia" w:ascii="宋体" w:hAnsi="宋体"/>
          <w:sz w:val="24"/>
          <w:szCs w:val="24"/>
          <w:lang w:val="en-US" w:eastAsia="zh-CN"/>
        </w:rPr>
        <w:t>耕地现状</w:t>
      </w:r>
    </w:p>
    <w:p>
      <w:pPr>
        <w:ind w:firstLine="0" w:firstLineChars="0"/>
        <w:jc w:val="center"/>
      </w:pPr>
      <w:r>
        <w:rPr>
          <w:sz w:val="30"/>
        </w:rPr>
        <w:pict>
          <v:shape id="_x0000_s2075" o:spid="_x0000_s2075" o:spt="202" type="#_x0000_t202" style="position:absolute;left:0pt;margin-left:379.9pt;margin-top:6.8pt;height:27pt;width:30.05pt;z-index:251665408;mso-width-relative:page;mso-height-relative:page;" fillcolor="#FFFFFF" filled="t" stroked="f" coordsize="21600,21600">
            <v:path/>
            <v:fill on="t" color2="#FFFFFF" focussize="0,0"/>
            <v:stroke on="f"/>
            <v:imagedata o:title=""/>
            <o:lock v:ext="edit" aspectratio="f"/>
            <v:textbox>
              <w:txbxContent>
                <w:p>
                  <w:pPr>
                    <w:ind w:left="0" w:leftChars="0" w:firstLine="0" w:firstLineChars="0"/>
                    <w:rPr>
                      <w:rFonts w:hint="eastAsia" w:eastAsia="宋体"/>
                      <w:lang w:val="en-US" w:eastAsia="zh-CN"/>
                    </w:rPr>
                  </w:pPr>
                  <w:r>
                    <w:rPr>
                      <w:rFonts w:hint="eastAsia"/>
                      <w:lang w:val="en-US" w:eastAsia="zh-CN"/>
                    </w:rPr>
                    <w:t>北</w:t>
                  </w:r>
                </w:p>
              </w:txbxContent>
            </v:textbox>
          </v:shape>
        </w:pict>
      </w:r>
      <w:r>
        <w:rPr>
          <w:sz w:val="28"/>
        </w:rPr>
        <w:pict>
          <v:shape id="_x0000_s2076" o:spid="_x0000_s2076" o:spt="68" type="#_x0000_t68" style="position:absolute;left:0pt;margin-left:386.65pt;margin-top:38.2pt;height:52.95pt;width:17.25pt;z-index:251666432;mso-width-relative:page;mso-height-relative:page;" fillcolor="#000000" filled="t" stroked="t" coordsize="21600,21600" adj="5400,5400">
            <v:path/>
            <v:fill on="t" color2="#FFFFFF" focussize="0,0"/>
            <v:stroke/>
            <v:imagedata o:title=""/>
            <o:lock v:ext="edit" aspectratio="f"/>
          </v:shape>
        </w:pict>
      </w:r>
      <w:r>
        <w:pict>
          <v:shape id="_x0000_i1031" o:spt="75" type="#_x0000_t75" style="height:283.2pt;width:346.4pt;" filled="f" o:preferrelative="t" stroked="f" coordsize="21600,21600">
            <v:path/>
            <v:fill on="f" focussize="0,0"/>
            <v:stroke on="f"/>
            <v:imagedata r:id="rId30" o:title=""/>
            <o:lock v:ext="edit" aspectratio="t"/>
            <w10:wrap type="none"/>
            <w10:anchorlock/>
          </v:shape>
        </w:pict>
      </w:r>
    </w:p>
    <w:p>
      <w:pPr>
        <w:pStyle w:val="8"/>
        <w:bidi w:val="0"/>
        <w:rPr>
          <w:rFonts w:hint="eastAsia" w:ascii="宋体" w:hAnsi="宋体"/>
          <w:sz w:val="24"/>
          <w:szCs w:val="24"/>
          <w:lang w:val="en-US" w:eastAsia="zh-CN"/>
        </w:rPr>
      </w:pPr>
      <w:bookmarkStart w:id="31" w:name="_Toc448821248"/>
      <w:bookmarkStart w:id="32" w:name="_Toc401734585"/>
      <w:r>
        <w:t xml:space="preserve">图 </w:t>
      </w:r>
      <w:r>
        <w:rPr>
          <w:rFonts w:hint="eastAsia"/>
          <w:lang w:val="en-US" w:eastAsia="zh-CN"/>
        </w:rPr>
        <w:t xml:space="preserve">2-4 </w:t>
      </w:r>
      <w:r>
        <w:rPr>
          <w:rFonts w:hint="eastAsia" w:ascii="宋体" w:hAnsi="宋体"/>
          <w:sz w:val="24"/>
          <w:szCs w:val="24"/>
        </w:rPr>
        <w:t>矿区</w:t>
      </w:r>
      <w:r>
        <w:rPr>
          <w:rFonts w:hint="eastAsia" w:ascii="宋体" w:hAnsi="宋体"/>
          <w:sz w:val="24"/>
          <w:szCs w:val="24"/>
          <w:lang w:val="en-US" w:eastAsia="zh-CN"/>
        </w:rPr>
        <w:t>林地现状</w:t>
      </w:r>
    </w:p>
    <w:p>
      <w:pPr>
        <w:pStyle w:val="27"/>
        <w:bidi w:val="0"/>
      </w:pPr>
      <w:r>
        <w:rPr>
          <w:sz w:val="30"/>
        </w:rPr>
        <w:pict>
          <v:shape id="_x0000_s2079" o:spid="_x0000_s2079" o:spt="202" type="#_x0000_t202" style="position:absolute;left:0pt;margin-left:401.15pt;margin-top:9.6pt;height:27pt;width:30.05pt;z-index:251667456;mso-width-relative:page;mso-height-relative:page;" fillcolor="#FFFFFF" filled="t" stroked="f" coordsize="21600,21600">
            <v:path/>
            <v:fill on="t" color2="#FFFFFF" focussize="0,0"/>
            <v:stroke on="f"/>
            <v:imagedata o:title=""/>
            <o:lock v:ext="edit" aspectratio="f"/>
            <v:textbox>
              <w:txbxContent>
                <w:p>
                  <w:pPr>
                    <w:ind w:left="0" w:leftChars="0" w:firstLine="0" w:firstLineChars="0"/>
                    <w:rPr>
                      <w:rFonts w:hint="eastAsia" w:eastAsia="宋体"/>
                      <w:lang w:val="en-US" w:eastAsia="zh-CN"/>
                    </w:rPr>
                  </w:pPr>
                  <w:r>
                    <w:rPr>
                      <w:rFonts w:hint="eastAsia"/>
                      <w:lang w:val="en-US" w:eastAsia="zh-CN"/>
                    </w:rPr>
                    <w:t>北</w:t>
                  </w:r>
                </w:p>
              </w:txbxContent>
            </v:textbox>
          </v:shape>
        </w:pict>
      </w:r>
      <w:r>
        <w:rPr>
          <w:sz w:val="28"/>
        </w:rPr>
        <w:pict>
          <v:shape id="_x0000_s2080" o:spid="_x0000_s2080" o:spt="68" type="#_x0000_t68" style="position:absolute;left:0pt;margin-left:407.9pt;margin-top:41pt;height:52.95pt;width:17.25pt;z-index:251668480;mso-width-relative:page;mso-height-relative:page;" fillcolor="#000000" filled="t" stroked="t" coordsize="21600,21600" adj="5400,5400">
            <v:path/>
            <v:fill on="t" color2="#FFFFFF" focussize="0,0"/>
            <v:stroke/>
            <v:imagedata o:title=""/>
            <o:lock v:ext="edit" aspectratio="f"/>
          </v:shape>
        </w:pict>
      </w:r>
      <w:r>
        <w:pict>
          <v:shape id="_x0000_i1032" o:spt="75" type="#_x0000_t75" style="height:259.7pt;width:394.5pt;" filled="f" o:preferrelative="t" stroked="f" coordsize="21600,21600">
            <v:path/>
            <v:fill on="f" focussize="0,0"/>
            <v:stroke on="f"/>
            <v:imagedata r:id="rId31" croptop="22146f" o:title=""/>
            <o:lock v:ext="edit" aspectratio="t"/>
            <w10:wrap type="none"/>
            <w10:anchorlock/>
          </v:shape>
        </w:pict>
      </w:r>
    </w:p>
    <w:p>
      <w:pPr>
        <w:pStyle w:val="8"/>
        <w:bidi w:val="0"/>
        <w:rPr>
          <w:rFonts w:hint="default"/>
          <w:lang w:val="en-US" w:eastAsia="zh-CN"/>
        </w:rPr>
      </w:pPr>
      <w:r>
        <w:t xml:space="preserve">图 </w:t>
      </w:r>
      <w:r>
        <w:rPr>
          <w:rFonts w:hint="eastAsia"/>
          <w:lang w:val="en-US" w:eastAsia="zh-CN"/>
        </w:rPr>
        <w:t xml:space="preserve">2-5 </w:t>
      </w:r>
      <w:r>
        <w:rPr>
          <w:rFonts w:hint="eastAsia"/>
        </w:rPr>
        <w:t>矿区</w:t>
      </w:r>
      <w:r>
        <w:rPr>
          <w:rFonts w:hint="eastAsia"/>
          <w:lang w:val="en-US" w:eastAsia="zh-CN"/>
        </w:rPr>
        <w:t>草地现状</w:t>
      </w:r>
    </w:p>
    <w:p>
      <w:pPr>
        <w:pStyle w:val="4"/>
      </w:pPr>
      <w:r>
        <w:t>（五）土壤</w:t>
      </w:r>
      <w:bookmarkEnd w:id="31"/>
      <w:bookmarkEnd w:id="32"/>
    </w:p>
    <w:p>
      <w:pPr>
        <w:bidi w:val="0"/>
        <w:rPr>
          <w:rFonts w:hint="eastAsia"/>
        </w:rPr>
      </w:pPr>
      <w:r>
        <w:rPr>
          <w:rFonts w:hint="eastAsia"/>
        </w:rPr>
        <w:t>根据黑龙江省土壤分布图，同时查询项目区相关资料判定项目区土壤类型为草甸土。草甸土是直接受地下水浸润、在草甸植被下发育而成的非地性半水成土壤。其有效土层约为</w:t>
      </w:r>
      <w:r>
        <w:rPr>
          <w:rFonts w:hint="eastAsia"/>
          <w:lang w:val="en-US" w:eastAsia="zh-CN"/>
        </w:rPr>
        <w:t>30</w:t>
      </w:r>
      <w:r>
        <w:rPr>
          <w:rFonts w:hint="eastAsia"/>
        </w:rPr>
        <w:t>cm，草甸土具有良好的土壤物理性状，土质疏松、保水保肥能力较强。</w:t>
      </w:r>
    </w:p>
    <w:p>
      <w:pPr>
        <w:bidi w:val="0"/>
        <w:jc w:val="center"/>
        <w:rPr>
          <w:rFonts w:hint="eastAsia" w:ascii="仿宋_GB2312" w:hAnsi="宋体" w:eastAsia="仿宋_GB2312"/>
          <w:sz w:val="24"/>
        </w:rPr>
      </w:pPr>
      <w:r>
        <w:rPr>
          <w:rFonts w:hint="eastAsia" w:ascii="仿宋_GB2312" w:hAnsi="宋体" w:eastAsia="仿宋_GB2312"/>
          <w:sz w:val="24"/>
        </w:rPr>
        <w:pict>
          <v:shape id="_x0000_i1033" o:spt="75" alt="图片2" type="#_x0000_t75" style="height:255.1pt;width:340.15pt;" filled="f" o:preferrelative="t" stroked="f" coordsize="21600,21600">
            <v:path/>
            <v:fill on="f" focussize="0,0"/>
            <v:stroke on="f"/>
            <v:imagedata r:id="rId32" o:title="图片2"/>
            <o:lock v:ext="edit" aspectratio="t"/>
            <w10:wrap type="none"/>
            <w10:anchorlock/>
          </v:shape>
        </w:pict>
      </w:r>
    </w:p>
    <w:p>
      <w:pPr>
        <w:pStyle w:val="8"/>
        <w:bidi w:val="0"/>
        <w:rPr>
          <w:rFonts w:hint="eastAsia"/>
        </w:rPr>
      </w:pPr>
      <w:r>
        <w:rPr>
          <w:rFonts w:hint="eastAsia"/>
          <w:lang w:val="en-US" w:eastAsia="zh-CN"/>
        </w:rPr>
        <w:t>图</w:t>
      </w:r>
      <w:r>
        <w:rPr>
          <w:rFonts w:hint="eastAsia"/>
        </w:rPr>
        <w:t>2-</w:t>
      </w:r>
      <w:r>
        <w:rPr>
          <w:rFonts w:hint="eastAsia"/>
          <w:lang w:val="en-US" w:eastAsia="zh-CN"/>
        </w:rPr>
        <w:t>6</w:t>
      </w:r>
      <w:r>
        <w:rPr>
          <w:rFonts w:hint="eastAsia"/>
        </w:rPr>
        <w:t xml:space="preserve"> 项目区土壤情况</w:t>
      </w:r>
    </w:p>
    <w:p>
      <w:pPr>
        <w:pStyle w:val="3"/>
      </w:pPr>
      <w:bookmarkStart w:id="33" w:name="_Toc31329"/>
      <w:r>
        <w:t>二、社会经济概况</w:t>
      </w:r>
      <w:bookmarkEnd w:id="33"/>
    </w:p>
    <w:p>
      <w:pPr>
        <w:bidi w:val="0"/>
      </w:pPr>
      <w:r>
        <w:t>桦川县行政区域面积2228.1134平方千米，其中县属区域面积1743.8393平方千米，农垦和森工系统区域面积484.2741平方千米。</w:t>
      </w:r>
    </w:p>
    <w:p>
      <w:pPr>
        <w:bidi w:val="0"/>
      </w:pPr>
      <w:r>
        <w:t>桦川县有煤、铁、</w:t>
      </w:r>
      <w:r>
        <w:fldChar w:fldCharType="begin"/>
      </w:r>
      <w:r>
        <w:instrText xml:space="preserve"> HYPERLINK "https://baike.baidu.com/item/%E7%8F%8D%E7%8F%A0%E5%B2%A9/0?fromModule=lemma_inlink" \t "_blank" </w:instrText>
      </w:r>
      <w:r>
        <w:fldChar w:fldCharType="separate"/>
      </w:r>
      <w:r>
        <w:t>珍珠岩</w:t>
      </w:r>
      <w:r>
        <w:fldChar w:fldCharType="end"/>
      </w:r>
      <w:r>
        <w:t>、石灰石、</w:t>
      </w:r>
      <w:r>
        <w:fldChar w:fldCharType="begin"/>
      </w:r>
      <w:r>
        <w:instrText xml:space="preserve"> HYPERLINK "https://baike.baidu.com/item/%E6%B2%B9%E9%A1%B5%E5%B2%A9/0?fromModule=lemma_inlink" \t "_blank" </w:instrText>
      </w:r>
      <w:r>
        <w:fldChar w:fldCharType="separate"/>
      </w:r>
      <w:r>
        <w:t>油页岩</w:t>
      </w:r>
      <w:r>
        <w:fldChar w:fldCharType="end"/>
      </w:r>
      <w:r>
        <w:t>、砂岩、卵石岩、</w:t>
      </w:r>
      <w:r>
        <w:rPr>
          <w:rFonts w:hint="eastAsia"/>
          <w:lang w:eastAsia="zh-CN"/>
        </w:rPr>
        <w:t>型砂</w:t>
      </w:r>
      <w:r>
        <w:t>、</w:t>
      </w:r>
      <w:r>
        <w:fldChar w:fldCharType="begin"/>
      </w:r>
      <w:r>
        <w:instrText xml:space="preserve"> HYPERLINK "https://baike.baidu.com/item/%E6%B1%9F%E6%B2%99/0?fromModule=lemma_inlink" \t "_blank" </w:instrText>
      </w:r>
      <w:r>
        <w:fldChar w:fldCharType="separate"/>
      </w:r>
      <w:r>
        <w:t>江</w:t>
      </w:r>
      <w:r>
        <w:rPr>
          <w:rFonts w:hint="eastAsia"/>
          <w:lang w:eastAsia="zh-CN"/>
        </w:rPr>
        <w:t>砂</w:t>
      </w:r>
      <w:r>
        <w:fldChar w:fldCharType="end"/>
      </w:r>
      <w:r>
        <w:t>、草炭等10多种矿产</w:t>
      </w:r>
      <w:r>
        <w:rPr>
          <w:rFonts w:hint="eastAsia"/>
        </w:rPr>
        <w:t>。</w:t>
      </w:r>
    </w:p>
    <w:p>
      <w:pPr>
        <w:bidi w:val="0"/>
      </w:pPr>
      <w:r>
        <w:t>桦川县菌生类有木耳、人参、蘑菇、</w:t>
      </w:r>
      <w:r>
        <w:fldChar w:fldCharType="begin"/>
      </w:r>
      <w:r>
        <w:instrText xml:space="preserve"> HYPERLINK "https://baike.baidu.com/item/%E8%95%A8%E8%8F%9C/0?fromModule=lemma_inlink" \t "_blank" </w:instrText>
      </w:r>
      <w:r>
        <w:fldChar w:fldCharType="separate"/>
      </w:r>
      <w:r>
        <w:t>蕨菜</w:t>
      </w:r>
      <w:r>
        <w:fldChar w:fldCharType="end"/>
      </w:r>
      <w:r>
        <w:t>、</w:t>
      </w:r>
      <w:r>
        <w:fldChar w:fldCharType="begin"/>
      </w:r>
      <w:r>
        <w:instrText xml:space="preserve"> HYPERLINK "https://baike.baidu.com/item/%E9%B9%BF%E8%8C%B8/5319?fromModule=lemma_inlink" \t "_blank" </w:instrText>
      </w:r>
      <w:r>
        <w:fldChar w:fldCharType="separate"/>
      </w:r>
      <w:r>
        <w:t>鹿茸</w:t>
      </w:r>
      <w:r>
        <w:fldChar w:fldCharType="end"/>
      </w:r>
      <w:r>
        <w:t>、</w:t>
      </w:r>
      <w:r>
        <w:fldChar w:fldCharType="begin"/>
      </w:r>
      <w:r>
        <w:instrText xml:space="preserve"> HYPERLINK "https://baike.baidu.com/item/%E4%BA%94%E5%91%B3%E5%AD%90/0?fromModule=lemma_inlink" \t "_blank" </w:instrText>
      </w:r>
      <w:r>
        <w:fldChar w:fldCharType="separate"/>
      </w:r>
      <w:r>
        <w:t>五味子</w:t>
      </w:r>
      <w:r>
        <w:fldChar w:fldCharType="end"/>
      </w:r>
      <w:r>
        <w:t>、</w:t>
      </w:r>
      <w:r>
        <w:fldChar w:fldCharType="begin"/>
      </w:r>
      <w:r>
        <w:instrText xml:space="preserve"> HYPERLINK "https://baike.baidu.com/item/%E7%99%BE%E5%90%88/7886?fromModule=lemma_inlink" \t "_blank" </w:instrText>
      </w:r>
      <w:r>
        <w:fldChar w:fldCharType="separate"/>
      </w:r>
      <w:r>
        <w:t>百合</w:t>
      </w:r>
      <w:r>
        <w:fldChar w:fldCharType="end"/>
      </w:r>
      <w:r>
        <w:t>、玉竹、</w:t>
      </w:r>
      <w:r>
        <w:fldChar w:fldCharType="begin"/>
      </w:r>
      <w:r>
        <w:instrText xml:space="preserve"> HYPERLINK "https://baike.baidu.com/item/%E6%9E%B8%E6%9D%9E%E5%AD%90/0?fromModule=lemma_inlink" \t "_blank" </w:instrText>
      </w:r>
      <w:r>
        <w:fldChar w:fldCharType="separate"/>
      </w:r>
      <w:r>
        <w:t>枸杞子</w:t>
      </w:r>
      <w:r>
        <w:fldChar w:fldCharType="end"/>
      </w:r>
      <w:r>
        <w:t>等。</w:t>
      </w:r>
    </w:p>
    <w:p>
      <w:pPr>
        <w:bidi w:val="0"/>
      </w:pPr>
      <w:r>
        <w:t>桦川县兽类有</w:t>
      </w:r>
      <w:r>
        <w:fldChar w:fldCharType="begin"/>
      </w:r>
      <w:r>
        <w:instrText xml:space="preserve"> HYPERLINK "https://baike.baidu.com/item/%E9%B9%BF/38428?fromModule=lemma_inlink" \t "_blank" </w:instrText>
      </w:r>
      <w:r>
        <w:fldChar w:fldCharType="separate"/>
      </w:r>
      <w:r>
        <w:t>鹿</w:t>
      </w:r>
      <w:r>
        <w:fldChar w:fldCharType="end"/>
      </w:r>
      <w:r>
        <w:t>、</w:t>
      </w:r>
      <w:r>
        <w:fldChar w:fldCharType="begin"/>
      </w:r>
      <w:r>
        <w:instrText xml:space="preserve"> HYPERLINK "https://baike.baidu.com/item/%E8%B2%82/1966743?fromModule=lemma_inlink" \t "_blank" </w:instrText>
      </w:r>
      <w:r>
        <w:fldChar w:fldCharType="separate"/>
      </w:r>
      <w:r>
        <w:t>貂</w:t>
      </w:r>
      <w:r>
        <w:fldChar w:fldCharType="end"/>
      </w:r>
      <w:r>
        <w:t>、狍子、</w:t>
      </w:r>
      <w:r>
        <w:fldChar w:fldCharType="begin"/>
      </w:r>
      <w:r>
        <w:instrText xml:space="preserve"> HYPERLINK "https://baike.baidu.com/item/%E5%A4%A9%E9%B9%85/53209?fromModule=lemma_inlink" \t "_blank" </w:instrText>
      </w:r>
      <w:r>
        <w:fldChar w:fldCharType="separate"/>
      </w:r>
      <w:r>
        <w:t>天鹅</w:t>
      </w:r>
      <w:r>
        <w:fldChar w:fldCharType="end"/>
      </w:r>
      <w:r>
        <w:t>、雉、</w:t>
      </w:r>
      <w:r>
        <w:fldChar w:fldCharType="begin"/>
      </w:r>
      <w:r>
        <w:instrText xml:space="preserve"> HYPERLINK "https://baike.baidu.com/item/%E4%B8%B9%E9%A1%B6%E9%B9%A4/75747?fromModule=lemma_inlink" \t "_blank" </w:instrText>
      </w:r>
      <w:r>
        <w:fldChar w:fldCharType="separate"/>
      </w:r>
      <w:r>
        <w:t>丹顶鹤</w:t>
      </w:r>
      <w:r>
        <w:fldChar w:fldCharType="end"/>
      </w:r>
      <w:r>
        <w:t>、</w:t>
      </w:r>
      <w:r>
        <w:fldChar w:fldCharType="begin"/>
      </w:r>
      <w:r>
        <w:instrText xml:space="preserve"> HYPERLINK "https://baike.baidu.com/item/%E9%87%8E%E9%B8%A1/10519770?fromModule=lemma_inlink" \t "_blank" </w:instrText>
      </w:r>
      <w:r>
        <w:fldChar w:fldCharType="separate"/>
      </w:r>
      <w:r>
        <w:t>野鸡</w:t>
      </w:r>
      <w:r>
        <w:fldChar w:fldCharType="end"/>
      </w:r>
      <w:r>
        <w:t>、</w:t>
      </w:r>
      <w:r>
        <w:fldChar w:fldCharType="begin"/>
      </w:r>
      <w:r>
        <w:instrText xml:space="preserve"> HYPERLINK "https://baike.baidu.com/item/%E5%A4%A7%E9%9B%81/84437?fromModule=lemma_inlink" \t "_blank" </w:instrText>
      </w:r>
      <w:r>
        <w:fldChar w:fldCharType="separate"/>
      </w:r>
      <w:r>
        <w:t>大雁</w:t>
      </w:r>
      <w:r>
        <w:fldChar w:fldCharType="end"/>
      </w:r>
      <w:r>
        <w:t>等</w:t>
      </w:r>
      <w:r>
        <w:rPr>
          <w:rFonts w:hint="eastAsia"/>
        </w:rPr>
        <w:t>。</w:t>
      </w:r>
    </w:p>
    <w:p>
      <w:pPr>
        <w:bidi w:val="0"/>
      </w:pPr>
      <w:r>
        <w:t>桦川县水资源丰富，境内松花江流经102千米，地下水埋深度为2到7米，局部地区达7到10米，地下水储量大</w:t>
      </w:r>
      <w:r>
        <w:rPr>
          <w:rFonts w:hint="eastAsia"/>
        </w:rPr>
        <w:t>。</w:t>
      </w:r>
    </w:p>
    <w:p>
      <w:pPr>
        <w:keepNext w:val="0"/>
        <w:keepLines w:val="0"/>
        <w:pageBreakBefore w:val="0"/>
        <w:kinsoku/>
        <w:wordWrap/>
        <w:overflowPunct/>
        <w:topLinePunct w:val="0"/>
        <w:autoSpaceDE/>
        <w:autoSpaceDN/>
        <w:bidi w:val="0"/>
        <w:adjustRightInd/>
        <w:snapToGrid/>
        <w:spacing w:line="360" w:lineRule="auto"/>
        <w:ind w:firstLine="560" w:firstLineChars="200"/>
        <w:rPr>
          <w:rFonts w:ascii="宋体" w:hAnsi="宋体" w:eastAsia="宋体" w:cs="宋体"/>
          <w:sz w:val="28"/>
          <w:szCs w:val="28"/>
        </w:rPr>
      </w:pPr>
      <w:r>
        <w:rPr>
          <w:rFonts w:hint="eastAsia" w:ascii="Times New Roman" w:hAnsi="Times New Roman" w:eastAsia="宋体" w:cs="Times New Roman"/>
          <w:i w:val="0"/>
          <w:iCs w:val="0"/>
          <w:caps w:val="0"/>
          <w:color w:val="auto"/>
          <w:spacing w:val="0"/>
          <w:sz w:val="28"/>
          <w:szCs w:val="28"/>
          <w:shd w:val="clear" w:color="auto" w:fill="FFFFFF"/>
          <w:lang w:val="en-US" w:eastAsia="zh-CN"/>
        </w:rPr>
        <w:t>2023年，桦川</w:t>
      </w:r>
      <w:r>
        <w:rPr>
          <w:rFonts w:hint="default" w:ascii="Times New Roman" w:hAnsi="Times New Roman" w:eastAsia="宋体" w:cs="Times New Roman"/>
          <w:i w:val="0"/>
          <w:iCs w:val="0"/>
          <w:caps w:val="0"/>
          <w:color w:val="auto"/>
          <w:spacing w:val="0"/>
          <w:sz w:val="28"/>
          <w:szCs w:val="28"/>
          <w:shd w:val="clear" w:color="auto" w:fill="FFFFFF"/>
        </w:rPr>
        <w:t>县实现地区生产总值</w:t>
      </w:r>
      <w:r>
        <w:rPr>
          <w:rFonts w:hint="eastAsia" w:cs="Times New Roman"/>
          <w:i w:val="0"/>
          <w:iCs w:val="0"/>
          <w:caps w:val="0"/>
          <w:color w:val="auto"/>
          <w:spacing w:val="0"/>
          <w:sz w:val="28"/>
          <w:szCs w:val="28"/>
          <w:shd w:val="clear" w:color="auto" w:fill="FFFFFF"/>
          <w:lang w:eastAsia="zh-CN"/>
        </w:rPr>
        <w:t>（</w:t>
      </w:r>
      <w:r>
        <w:rPr>
          <w:rFonts w:hint="default" w:ascii="Times New Roman" w:hAnsi="Times New Roman" w:eastAsia="宋体" w:cs="Times New Roman"/>
          <w:i w:val="0"/>
          <w:iCs w:val="0"/>
          <w:caps w:val="0"/>
          <w:color w:val="auto"/>
          <w:spacing w:val="0"/>
          <w:sz w:val="28"/>
          <w:szCs w:val="28"/>
          <w:shd w:val="clear" w:color="auto" w:fill="FFFFFF"/>
        </w:rPr>
        <w:t>GDP</w:t>
      </w:r>
      <w:r>
        <w:rPr>
          <w:rFonts w:hint="eastAsia" w:cs="Times New Roman"/>
          <w:i w:val="0"/>
          <w:iCs w:val="0"/>
          <w:caps w:val="0"/>
          <w:color w:val="auto"/>
          <w:spacing w:val="0"/>
          <w:sz w:val="28"/>
          <w:szCs w:val="28"/>
          <w:shd w:val="clear" w:color="auto" w:fill="FFFFFF"/>
          <w:lang w:eastAsia="zh-CN"/>
        </w:rPr>
        <w:t>）</w:t>
      </w:r>
      <w:r>
        <w:rPr>
          <w:rFonts w:hint="default" w:ascii="Times New Roman" w:hAnsi="Times New Roman" w:eastAsia="宋体" w:cs="Times New Roman"/>
          <w:i w:val="0"/>
          <w:iCs w:val="0"/>
          <w:caps w:val="0"/>
          <w:color w:val="auto"/>
          <w:spacing w:val="0"/>
          <w:sz w:val="28"/>
          <w:szCs w:val="28"/>
          <w:shd w:val="clear" w:color="auto" w:fill="FFFFFF"/>
        </w:rPr>
        <w:t>69.30亿元，按可比价格计算比上年增长6.9%，其中，第一产业增加值45.18亿元，比上年增长6.4%</w:t>
      </w:r>
      <w:r>
        <w:rPr>
          <w:rFonts w:hint="eastAsia" w:cs="Times New Roman"/>
          <w:i w:val="0"/>
          <w:iCs w:val="0"/>
          <w:caps w:val="0"/>
          <w:color w:val="auto"/>
          <w:spacing w:val="0"/>
          <w:sz w:val="28"/>
          <w:szCs w:val="28"/>
          <w:shd w:val="clear" w:color="auto" w:fill="FFFFFF"/>
          <w:lang w:eastAsia="zh-CN"/>
        </w:rPr>
        <w:t>；</w:t>
      </w:r>
      <w:r>
        <w:rPr>
          <w:rFonts w:hint="default" w:ascii="Times New Roman" w:hAnsi="Times New Roman" w:eastAsia="宋体" w:cs="Times New Roman"/>
          <w:i w:val="0"/>
          <w:iCs w:val="0"/>
          <w:caps w:val="0"/>
          <w:color w:val="auto"/>
          <w:spacing w:val="0"/>
          <w:sz w:val="28"/>
          <w:szCs w:val="28"/>
          <w:shd w:val="clear" w:color="auto" w:fill="FFFFFF"/>
        </w:rPr>
        <w:t>第二产业增加值6.64亿元，比上年增长15.7%，第三产业增加值17.48亿元，比上年增长5.2%。三次产业结构比为65.2:9.6:25.2。</w:t>
      </w:r>
    </w:p>
    <w:p>
      <w:pPr>
        <w:keepNext w:val="0"/>
        <w:keepLines w:val="0"/>
        <w:widowControl/>
        <w:suppressLineNumbers w:val="0"/>
        <w:jc w:val="left"/>
        <w:rPr>
          <w:rFonts w:hint="eastAsia" w:ascii="宋体" w:hAnsi="宋体" w:eastAsia="宋体"/>
          <w:szCs w:val="28"/>
        </w:rPr>
      </w:pPr>
      <w:r>
        <w:rPr>
          <w:rFonts w:hint="eastAsia" w:ascii="宋体" w:hAnsi="宋体" w:eastAsia="宋体" w:cs="宋体"/>
          <w:color w:val="000000"/>
          <w:kern w:val="0"/>
          <w:sz w:val="28"/>
          <w:szCs w:val="28"/>
          <w:lang w:val="en-US" w:eastAsia="zh-CN" w:bidi="ar"/>
        </w:rPr>
        <w:t>2024 年，桦川县实现地区生产总值（GDP）79.0 亿元，按不变价格 计算，比上年上升 3.8%。其中，第一产业增加值 48.70 亿元，比上年上升 3.3%；第二产业增加值 3.45 亿元，比上年上升 2.2%；第三产业增加值26.86亿元，比上年上升 5.2%；三次产业结构比为 61.6</w:t>
      </w:r>
      <w:r>
        <w:rPr>
          <w:rFonts w:hint="eastAsia" w:ascii="宋体" w:hAnsi="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4.4</w:t>
      </w:r>
      <w:r>
        <w:rPr>
          <w:rFonts w:hint="eastAsia" w:ascii="宋体" w:hAnsi="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34.0。</w:t>
      </w:r>
    </w:p>
    <w:p>
      <w:pPr>
        <w:bidi w:val="0"/>
        <w:rPr>
          <w:rFonts w:ascii="宋体" w:hAnsi="宋体" w:eastAsia="宋体"/>
          <w:szCs w:val="28"/>
        </w:rPr>
      </w:pPr>
      <w:r>
        <w:rPr>
          <w:rFonts w:hint="eastAsia" w:ascii="宋体" w:hAnsi="宋体" w:eastAsia="宋体"/>
          <w:szCs w:val="28"/>
        </w:rPr>
        <w:t>2025年，桦川县实现地区生产总值（GDP）81.3亿元，按不变价格计算，比上年增长5.5%。其中，第一产业增加值48.24亿元，比上年增长3.2%；第二产业增加值3.74亿元，比上年增长10.1%；第三产业增加值29.36亿元，比上年增长9.9%；三次产业结构比为59.3:4.6:36.1。</w:t>
      </w:r>
    </w:p>
    <w:p>
      <w:pPr>
        <w:pStyle w:val="3"/>
        <w:bidi w:val="0"/>
      </w:pPr>
      <w:bookmarkStart w:id="34" w:name="_Toc5434"/>
      <w:r>
        <w:t>三、矿区地质环境背景</w:t>
      </w:r>
      <w:bookmarkEnd w:id="34"/>
    </w:p>
    <w:p>
      <w:pPr>
        <w:pStyle w:val="4"/>
        <w:bidi w:val="0"/>
        <w:rPr>
          <w:rFonts w:hint="eastAsia"/>
        </w:rPr>
      </w:pPr>
      <w:bookmarkStart w:id="35" w:name="_Toc7858"/>
      <w:r>
        <w:rPr>
          <w:rFonts w:hint="eastAsia"/>
        </w:rPr>
        <w:t>（一）地层岩性</w:t>
      </w:r>
      <w:bookmarkEnd w:id="35"/>
    </w:p>
    <w:p>
      <w:pPr>
        <w:pStyle w:val="5"/>
        <w:bidi w:val="0"/>
      </w:pPr>
      <w:bookmarkStart w:id="36" w:name="_Toc109036089"/>
      <w:bookmarkStart w:id="37" w:name="_Toc109035928"/>
      <w:bookmarkStart w:id="38" w:name="_Toc109035825"/>
      <w:bookmarkStart w:id="39" w:name="_Toc109035620"/>
      <w:r>
        <w:rPr>
          <w:rFonts w:hint="eastAsia"/>
          <w:lang w:val="en-US" w:eastAsia="zh-CN"/>
        </w:rPr>
        <w:t>1.</w:t>
      </w:r>
      <w:r>
        <w:t>地层</w:t>
      </w:r>
      <w:bookmarkEnd w:id="36"/>
      <w:bookmarkEnd w:id="37"/>
      <w:bookmarkEnd w:id="38"/>
      <w:bookmarkEnd w:id="39"/>
    </w:p>
    <w:p>
      <w:pPr>
        <w:bidi w:val="0"/>
      </w:pPr>
      <w:r>
        <w:t>区域出露地层主要为沿松花江分布的第四系高漫滩堆积层（Q</w:t>
      </w:r>
      <w:r>
        <w:rPr>
          <w:vertAlign w:val="baseline"/>
        </w:rPr>
        <w:t>h</w:t>
      </w:r>
      <w:r>
        <w:rPr>
          <w:vertAlign w:val="superscript"/>
        </w:rPr>
        <w:t>l</w:t>
      </w:r>
      <w:r>
        <w:rPr>
          <w:rFonts w:hint="eastAsia"/>
          <w:vertAlign w:val="superscript"/>
          <w:lang w:val="en-US" w:eastAsia="zh-CN"/>
        </w:rPr>
        <w:t>-2f</w:t>
      </w:r>
      <w:r>
        <w:t>）和沿沟谷分布现代冲洪积层（Q</w:t>
      </w:r>
      <w:r>
        <w:rPr>
          <w:vertAlign w:val="baseline"/>
        </w:rPr>
        <w:t>h</w:t>
      </w:r>
      <w:r>
        <w:rPr>
          <w:vertAlign w:val="superscript"/>
        </w:rPr>
        <w:t>l</w:t>
      </w:r>
      <w:r>
        <w:rPr>
          <w:rFonts w:hint="eastAsia"/>
          <w:vertAlign w:val="superscript"/>
          <w:lang w:val="en-US" w:eastAsia="zh-CN"/>
        </w:rPr>
        <w:t>-2fp</w:t>
      </w:r>
      <w:r>
        <w:t>）。</w:t>
      </w:r>
    </w:p>
    <w:p>
      <w:pPr>
        <w:bidi w:val="0"/>
      </w:pPr>
      <w:r>
        <w:t>第四系高漫滩堆积层（Q</w:t>
      </w:r>
      <w:r>
        <w:rPr>
          <w:vertAlign w:val="baseline"/>
        </w:rPr>
        <w:t>h</w:t>
      </w:r>
      <w:r>
        <w:rPr>
          <w:vertAlign w:val="superscript"/>
        </w:rPr>
        <w:t>l</w:t>
      </w:r>
      <w:r>
        <w:rPr>
          <w:rFonts w:hint="eastAsia"/>
          <w:vertAlign w:val="superscript"/>
          <w:lang w:val="en-US" w:eastAsia="zh-CN"/>
        </w:rPr>
        <w:t>-2f</w:t>
      </w:r>
      <w:r>
        <w:t>）：上部为亚粘土，亚砂土，下部为砂、砂砾石构成二元结构。厚度超过70米。</w:t>
      </w:r>
    </w:p>
    <w:p>
      <w:pPr>
        <w:bidi w:val="0"/>
      </w:pPr>
      <w:r>
        <w:t>第四系（Q</w:t>
      </w:r>
      <w:r>
        <w:rPr>
          <w:vertAlign w:val="baseline"/>
        </w:rPr>
        <w:t>h</w:t>
      </w:r>
      <w:r>
        <w:rPr>
          <w:vertAlign w:val="superscript"/>
        </w:rPr>
        <w:t>l</w:t>
      </w:r>
      <w:r>
        <w:rPr>
          <w:rFonts w:hint="eastAsia"/>
          <w:vertAlign w:val="superscript"/>
          <w:lang w:val="en-US" w:eastAsia="zh-CN"/>
        </w:rPr>
        <w:t>-2fp</w:t>
      </w:r>
      <w:r>
        <w:t>）：主要分布在现代沟谷中，主要由粘土、亚粘土、砂、砂砾等组成。</w:t>
      </w:r>
    </w:p>
    <w:p>
      <w:pPr>
        <w:pStyle w:val="5"/>
        <w:bidi w:val="0"/>
        <w:rPr>
          <w:rFonts w:hint="eastAsia"/>
        </w:rPr>
      </w:pPr>
      <w:r>
        <w:rPr>
          <w:rFonts w:hint="eastAsia"/>
          <w:lang w:val="en-US" w:eastAsia="zh-CN"/>
        </w:rPr>
        <w:t>2.</w:t>
      </w:r>
      <w:r>
        <w:rPr>
          <w:rFonts w:hint="eastAsia"/>
        </w:rPr>
        <w:t>侵入岩</w:t>
      </w:r>
    </w:p>
    <w:p>
      <w:pPr>
        <w:bidi w:val="0"/>
        <w:rPr>
          <w:szCs w:val="28"/>
        </w:rPr>
      </w:pPr>
      <w:r>
        <w:t>该区内</w:t>
      </w:r>
      <w:r>
        <w:rPr>
          <w:rFonts w:hint="eastAsia"/>
        </w:rPr>
        <w:t>侵入岩</w:t>
      </w:r>
      <w:r>
        <w:t>为</w:t>
      </w:r>
      <w:r>
        <w:rPr>
          <w:rFonts w:hint="eastAsia"/>
        </w:rPr>
        <w:t>古远古</w:t>
      </w:r>
      <w:r>
        <w:t>界</w:t>
      </w:r>
      <w:r>
        <w:rPr>
          <w:rFonts w:hint="eastAsia"/>
        </w:rPr>
        <w:t>混合花岗岩</w:t>
      </w:r>
      <w:r>
        <w:t xml:space="preserve"> (γPt</w:t>
      </w:r>
      <w:r>
        <w:rPr>
          <w:vertAlign w:val="subscript"/>
        </w:rPr>
        <w:t>1</w:t>
      </w:r>
      <w:r>
        <w:t>)</w:t>
      </w:r>
      <w:r>
        <w:rPr>
          <w:rFonts w:hint="eastAsia"/>
        </w:rPr>
        <w:t xml:space="preserve"> 中细粒</w:t>
      </w:r>
      <w:r>
        <w:t>二长花岗岩，</w:t>
      </w:r>
      <w:r>
        <w:rPr>
          <w:rFonts w:hint="eastAsia"/>
        </w:rPr>
        <w:t>岩石整体呈灰白色 — 浅肉红色，风化面呈灰黄、浅褐灰色；中细粒花岗结构、混合花岗结构，粒径 0.2～2.4mm，0.5～2mm 颗粒占主体，块状构造，局部受区域变质、混合岩化作用改造，发育弱片麻状、条带状构造，可见长英质脉体顺片理贯入。矿物颗粒肉眼可辨，分布相对均匀；岩石致密坚硬，裂隙较发育，局部充填石英、长石细脉。主要矿物为钾长石、斜长石、石英，暗色矿物以黑云母为主，零星分布。岩体内部多见变质残留体、暗色微晶包体，长石普遍高岭土化、绢云母化，黑云母不同程度绿泥石化，局部见硅化</w:t>
      </w:r>
      <w:r>
        <w:t>。</w:t>
      </w:r>
    </w:p>
    <w:p>
      <w:pPr>
        <w:pStyle w:val="5"/>
        <w:bidi w:val="0"/>
      </w:pPr>
      <w:r>
        <w:t>3.地质构造</w:t>
      </w:r>
    </w:p>
    <w:p>
      <w:pPr>
        <w:ind w:firstLine="560"/>
        <w:rPr>
          <w:rFonts w:hint="eastAsia" w:ascii="宋体" w:hAnsi="宋体" w:cs="宋体"/>
          <w:szCs w:val="28"/>
        </w:rPr>
      </w:pPr>
      <w:r>
        <w:rPr>
          <w:rFonts w:hint="eastAsia" w:ascii="宋体" w:hAnsi="宋体" w:cs="宋体"/>
          <w:bCs/>
          <w:color w:val="000000"/>
          <w:szCs w:val="28"/>
        </w:rPr>
        <w:t>工作区大地构造位于</w:t>
      </w:r>
      <w:r>
        <w:rPr>
          <w:rFonts w:hint="eastAsia" w:ascii="宋体" w:hAnsi="宋体" w:cs="宋体"/>
          <w:szCs w:val="28"/>
        </w:rPr>
        <w:t>兴凯湖—布列亚山地块区佳木斯隆起</w:t>
      </w:r>
      <w:r>
        <w:rPr>
          <w:rFonts w:hint="eastAsia" w:ascii="宋体" w:hAnsi="宋体" w:cs="宋体"/>
          <w:szCs w:val="28"/>
          <w:lang w:eastAsia="zh-CN"/>
        </w:rPr>
        <w:t>（</w:t>
      </w:r>
      <w:r>
        <w:rPr>
          <w:rFonts w:hint="eastAsia" w:ascii="宋体" w:hAnsi="宋体" w:cs="宋体"/>
          <w:szCs w:val="28"/>
        </w:rPr>
        <w:t>V</w:t>
      </w:r>
      <w:r>
        <w:rPr>
          <w:rFonts w:hint="eastAsia" w:ascii="宋体" w:hAnsi="宋体" w:cs="宋体"/>
          <w:szCs w:val="28"/>
          <w:vertAlign w:val="subscript"/>
        </w:rPr>
        <w:t>2</w:t>
      </w:r>
      <w:r>
        <w:rPr>
          <w:rFonts w:hint="eastAsia" w:ascii="宋体" w:hAnsi="宋体" w:cs="宋体"/>
          <w:szCs w:val="28"/>
          <w:vertAlign w:val="subscript"/>
          <w:lang w:eastAsia="zh-CN"/>
        </w:rPr>
        <w:t>）</w:t>
      </w:r>
      <w:r>
        <w:rPr>
          <w:rFonts w:hint="eastAsia" w:ascii="宋体" w:hAnsi="宋体" w:cs="宋体"/>
          <w:szCs w:val="28"/>
        </w:rPr>
        <w:t>桦南隆起</w:t>
      </w:r>
      <w:r>
        <w:rPr>
          <w:rFonts w:hint="eastAsia" w:ascii="宋体" w:hAnsi="宋体" w:cs="宋体"/>
          <w:szCs w:val="28"/>
          <w:lang w:eastAsia="zh-CN"/>
        </w:rPr>
        <w:t>（</w:t>
      </w:r>
      <w:r>
        <w:rPr>
          <w:rFonts w:hint="eastAsia" w:ascii="宋体" w:hAnsi="宋体" w:cs="宋体"/>
          <w:szCs w:val="28"/>
        </w:rPr>
        <w:t>V</w:t>
      </w:r>
      <w:r>
        <w:rPr>
          <w:rFonts w:hint="eastAsia" w:ascii="宋体" w:hAnsi="宋体" w:cs="宋体"/>
          <w:szCs w:val="28"/>
          <w:lang w:eastAsia="zh-CN"/>
        </w:rPr>
        <w:t>）</w:t>
      </w:r>
      <w:r>
        <w:rPr>
          <w:rFonts w:hint="eastAsia" w:ascii="宋体" w:hAnsi="宋体" w:cs="宋体"/>
          <w:szCs w:val="28"/>
        </w:rPr>
        <w:t>西格木凹陷</w:t>
      </w:r>
      <w:r>
        <w:rPr>
          <w:rFonts w:hint="eastAsia" w:ascii="宋体" w:hAnsi="宋体" w:cs="宋体"/>
          <w:szCs w:val="28"/>
          <w:lang w:eastAsia="zh-CN"/>
        </w:rPr>
        <w:t>（</w:t>
      </w:r>
      <w:r>
        <w:rPr>
          <w:rFonts w:hint="eastAsia" w:ascii="宋体" w:hAnsi="宋体" w:cs="宋体"/>
          <w:szCs w:val="28"/>
        </w:rPr>
        <w:t>V</w:t>
      </w:r>
      <w:r>
        <w:rPr>
          <w:rFonts w:hint="eastAsia" w:ascii="宋体" w:hAnsi="宋体" w:cs="宋体"/>
          <w:szCs w:val="28"/>
          <w:lang w:eastAsia="zh-CN"/>
        </w:rPr>
        <w:t>）</w:t>
      </w:r>
      <w:r>
        <w:rPr>
          <w:rFonts w:hint="eastAsia" w:ascii="宋体" w:hAnsi="宋体" w:cs="宋体"/>
          <w:szCs w:val="28"/>
        </w:rPr>
        <w:t>。</w:t>
      </w:r>
    </w:p>
    <w:p>
      <w:pPr>
        <w:ind w:firstLine="560"/>
        <w:rPr>
          <w:rFonts w:eastAsia="宋体"/>
          <w:sz w:val="28"/>
          <w:szCs w:val="28"/>
        </w:rPr>
      </w:pPr>
      <w:r>
        <w:rPr>
          <w:rFonts w:hint="eastAsia" w:ascii="宋体" w:hAnsi="宋体" w:cs="宋体"/>
          <w:szCs w:val="28"/>
        </w:rPr>
        <w:t>区内未见断裂构造。</w:t>
      </w:r>
    </w:p>
    <w:p>
      <w:pPr>
        <w:pStyle w:val="5"/>
        <w:bidi w:val="0"/>
      </w:pPr>
      <w:r>
        <w:t>4.区域地壳稳定性</w:t>
      </w:r>
    </w:p>
    <w:p>
      <w:pPr>
        <w:ind w:firstLine="560"/>
        <w:rPr>
          <w:rFonts w:eastAsia="宋体"/>
          <w:sz w:val="28"/>
          <w:szCs w:val="28"/>
        </w:rPr>
      </w:pPr>
      <w:r>
        <w:rPr>
          <w:rFonts w:eastAsia="宋体"/>
          <w:sz w:val="28"/>
          <w:szCs w:val="28"/>
        </w:rPr>
        <w:t>根据中华人民共和国国家标准《中国地震动参数区划图》（GB-18306-2015）：井田所在地地震动峰值加速度为0.05g，</w:t>
      </w:r>
      <w:r>
        <w:rPr>
          <w:rFonts w:hint="eastAsia" w:eastAsia="宋体"/>
          <w:sz w:val="28"/>
          <w:szCs w:val="28"/>
        </w:rPr>
        <w:t>反应谱特征周期0.35s</w:t>
      </w:r>
      <w:r>
        <w:rPr>
          <w:rFonts w:eastAsia="宋体"/>
          <w:sz w:val="28"/>
          <w:szCs w:val="28"/>
        </w:rPr>
        <w:t>，属弱震区。</w:t>
      </w:r>
    </w:p>
    <w:p>
      <w:pPr>
        <w:pStyle w:val="5"/>
        <w:bidi w:val="0"/>
      </w:pPr>
      <w:r>
        <w:t>5.水文地质</w:t>
      </w:r>
    </w:p>
    <w:p>
      <w:pPr>
        <w:bidi w:val="0"/>
        <w:rPr>
          <w:rFonts w:hint="eastAsia"/>
        </w:rPr>
      </w:pPr>
      <w:r>
        <w:rPr>
          <w:rFonts w:hint="eastAsia"/>
        </w:rPr>
        <w:t>矿区及附近地貌单元为丘陵地形，矿床覆盖土层0.2</w:t>
      </w:r>
      <w:r>
        <w:rPr>
          <w:rFonts w:hint="eastAsia"/>
          <w:lang w:eastAsia="zh-CN"/>
        </w:rPr>
        <w:t>—</w:t>
      </w:r>
      <w:r>
        <w:rPr>
          <w:rFonts w:hint="eastAsia"/>
        </w:rPr>
        <w:t>0.8米，风化层可达0.2-1.8米左右，山坡植被覆盖较好，岩体结构完整，不易产生山洪、泥石流、滑坡等现象。</w:t>
      </w:r>
    </w:p>
    <w:p>
      <w:pPr>
        <w:bidi w:val="0"/>
        <w:rPr>
          <w:rFonts w:hint="eastAsia"/>
        </w:rPr>
      </w:pPr>
      <w:r>
        <w:rPr>
          <w:rFonts w:hint="eastAsia"/>
        </w:rPr>
        <w:t>矿床地下水含水类型为风化裂隙水，富水性较弱。水位埋深较浅，岩石节理裂隙发育，随深度增加裂隙减弱。地下水受大气降水渗入补给，水位、水量随季节性变化明显，径流基本与地形坡向相同，以地下径流、蒸发和泉水的形式排泄。</w:t>
      </w:r>
    </w:p>
    <w:p>
      <w:pPr>
        <w:bidi w:val="0"/>
      </w:pPr>
      <w:r>
        <w:rPr>
          <w:rFonts w:hint="eastAsia"/>
        </w:rPr>
        <w:t>矿区水文地质条件较简单，矿区附近没有河流通过，难以发生洪水灾害矿坑充水主要来源为大气降水和岩石裂隙水，只要及时排放疏干，不会影响生产。根据采场露头揭露情况及周边观察所得，未见其他水文地质灾害现象。矿床水文地质条件属简单类型</w:t>
      </w:r>
    </w:p>
    <w:p>
      <w:pPr>
        <w:bidi w:val="0"/>
      </w:pPr>
      <w:r>
        <w:t>综上所述，根据《矿山地质环境保护与治理恢复方案编制规范》（DZ/T 0223-2011）C2确定，矿区内水文地质条件复杂程度为简单。</w:t>
      </w:r>
    </w:p>
    <w:p>
      <w:pPr>
        <w:pStyle w:val="5"/>
        <w:bidi w:val="0"/>
      </w:pPr>
      <w:r>
        <w:rPr>
          <w:rFonts w:hint="eastAsia"/>
          <w:lang w:val="en-US" w:eastAsia="zh-CN"/>
        </w:rPr>
        <w:t>6</w:t>
      </w:r>
      <w:r>
        <w:t>.工程地质</w:t>
      </w:r>
    </w:p>
    <w:p>
      <w:pPr>
        <w:ind w:firstLine="560"/>
        <w:rPr>
          <w:rFonts w:hint="eastAsia" w:eastAsia="宋体"/>
          <w:sz w:val="28"/>
          <w:szCs w:val="28"/>
        </w:rPr>
      </w:pPr>
      <w:r>
        <w:rPr>
          <w:rFonts w:hint="eastAsia" w:eastAsia="宋体"/>
          <w:sz w:val="28"/>
          <w:szCs w:val="28"/>
        </w:rPr>
        <w:t>矿石为花岗岩，岩石属于坚硬岩石。</w:t>
      </w:r>
    </w:p>
    <w:p>
      <w:pPr>
        <w:ind w:firstLine="560"/>
        <w:rPr>
          <w:rFonts w:hint="eastAsia" w:eastAsia="宋体"/>
          <w:sz w:val="28"/>
          <w:szCs w:val="28"/>
        </w:rPr>
      </w:pPr>
      <w:r>
        <w:rPr>
          <w:rFonts w:hint="eastAsia" w:eastAsia="宋体"/>
          <w:sz w:val="28"/>
          <w:szCs w:val="28"/>
        </w:rPr>
        <w:t>矿床为露天开采，矿体为花岗岩，矿体覆盖层为第四系</w:t>
      </w:r>
      <w:r>
        <w:rPr>
          <w:rFonts w:hint="eastAsia" w:eastAsia="宋体"/>
          <w:sz w:val="28"/>
          <w:szCs w:val="28"/>
          <w:lang w:eastAsia="zh-CN"/>
        </w:rPr>
        <w:t>腐殖土</w:t>
      </w:r>
      <w:r>
        <w:rPr>
          <w:rFonts w:hint="eastAsia" w:eastAsia="宋体"/>
          <w:sz w:val="28"/>
          <w:szCs w:val="28"/>
        </w:rPr>
        <w:t>残坡积层，厚度在0.20-0.80m。在覆盖层下部有0.2～1.8米厚的强风化带。结构较松散，稳固性较差，但因开采时全部剥离，故对矿床开采无影响。顶、底板为花岗岩，结构致密，块状，性硬脆，在强风化带内，岩石较为破碎，表层稳固性略差，下部稳固性较好。</w:t>
      </w:r>
    </w:p>
    <w:p>
      <w:pPr>
        <w:ind w:firstLine="560"/>
        <w:rPr>
          <w:rFonts w:eastAsia="宋体"/>
          <w:sz w:val="28"/>
          <w:szCs w:val="28"/>
        </w:rPr>
      </w:pPr>
      <w:r>
        <w:rPr>
          <w:rFonts w:hint="eastAsia" w:eastAsia="宋体"/>
          <w:sz w:val="28"/>
          <w:szCs w:val="28"/>
        </w:rPr>
        <w:t>综上，本矿区工程地质条件为简单型。</w:t>
      </w:r>
    </w:p>
    <w:p>
      <w:pPr>
        <w:pStyle w:val="5"/>
        <w:bidi w:val="0"/>
      </w:pPr>
      <w:r>
        <w:rPr>
          <w:rFonts w:hint="eastAsia"/>
          <w:lang w:val="en-US" w:eastAsia="zh-CN"/>
        </w:rPr>
        <w:t>7</w:t>
      </w:r>
      <w:r>
        <w:t>.矿体地质特征</w:t>
      </w:r>
    </w:p>
    <w:p>
      <w:pPr>
        <w:ind w:firstLine="560"/>
        <w:rPr>
          <w:rFonts w:hint="eastAsia" w:eastAsia="宋体"/>
          <w:sz w:val="28"/>
          <w:szCs w:val="28"/>
        </w:rPr>
      </w:pPr>
      <w:bookmarkStart w:id="40" w:name="_Toc18316"/>
      <w:bookmarkStart w:id="41" w:name="_Toc346198634"/>
      <w:r>
        <w:rPr>
          <w:rFonts w:hint="eastAsia" w:eastAsia="宋体"/>
          <w:sz w:val="28"/>
          <w:szCs w:val="28"/>
        </w:rPr>
        <w:t>1矿体特征</w:t>
      </w:r>
    </w:p>
    <w:p>
      <w:pPr>
        <w:ind w:firstLine="560"/>
        <w:rPr>
          <w:rFonts w:hint="eastAsia" w:eastAsia="宋体"/>
          <w:sz w:val="28"/>
          <w:szCs w:val="28"/>
        </w:rPr>
      </w:pPr>
      <w:r>
        <w:rPr>
          <w:rFonts w:hint="eastAsia" w:eastAsia="宋体"/>
          <w:sz w:val="28"/>
          <w:szCs w:val="28"/>
        </w:rPr>
        <w:t>矿体为人为圈定，面积*.******km</w:t>
      </w:r>
      <w:r>
        <w:rPr>
          <w:rFonts w:hint="eastAsia" w:eastAsia="宋体"/>
          <w:sz w:val="28"/>
          <w:szCs w:val="28"/>
          <w:vertAlign w:val="superscript"/>
        </w:rPr>
        <w:t>2</w:t>
      </w:r>
      <w:r>
        <w:rPr>
          <w:rFonts w:hint="eastAsia" w:eastAsia="宋体"/>
          <w:sz w:val="28"/>
          <w:szCs w:val="28"/>
        </w:rPr>
        <w:t>，84.65m标高以上圈定的建筑用花岗岩，只占花岗岩的一部分。矿体长约360m，宽170m，厚度平均为20m。</w:t>
      </w:r>
    </w:p>
    <w:p>
      <w:pPr>
        <w:ind w:firstLine="560"/>
        <w:rPr>
          <w:rFonts w:hint="eastAsia" w:eastAsia="宋体"/>
          <w:sz w:val="28"/>
          <w:szCs w:val="28"/>
        </w:rPr>
      </w:pPr>
      <w:r>
        <w:rPr>
          <w:rFonts w:hint="eastAsia" w:eastAsia="宋体"/>
          <w:sz w:val="28"/>
          <w:szCs w:val="28"/>
        </w:rPr>
        <w:t>2矿石质量特征</w:t>
      </w:r>
    </w:p>
    <w:p>
      <w:pPr>
        <w:ind w:firstLine="560"/>
        <w:rPr>
          <w:rFonts w:hint="eastAsia" w:eastAsia="宋体"/>
          <w:sz w:val="28"/>
          <w:szCs w:val="28"/>
        </w:rPr>
      </w:pPr>
      <w:r>
        <w:rPr>
          <w:rFonts w:hint="eastAsia" w:eastAsia="宋体"/>
          <w:sz w:val="28"/>
          <w:szCs w:val="28"/>
        </w:rPr>
        <w:t>矿石为古远古界混合花岗岩 (γPt</w:t>
      </w:r>
      <w:r>
        <w:rPr>
          <w:rFonts w:hint="eastAsia" w:eastAsia="宋体"/>
          <w:sz w:val="28"/>
          <w:szCs w:val="28"/>
          <w:vertAlign w:val="subscript"/>
        </w:rPr>
        <w:t>1</w:t>
      </w:r>
      <w:r>
        <w:rPr>
          <w:rFonts w:hint="eastAsia" w:eastAsia="宋体"/>
          <w:sz w:val="28"/>
          <w:szCs w:val="28"/>
        </w:rPr>
        <w:t>) 中细粒二长花岗岩，花岗结构，块状构造，灰白色，主要矿物作成为石英、长石，岩石完整性较好，硬度在6-7左右。</w:t>
      </w:r>
    </w:p>
    <w:p>
      <w:pPr>
        <w:ind w:firstLine="560"/>
        <w:rPr>
          <w:rFonts w:hint="eastAsia" w:eastAsia="宋体"/>
          <w:sz w:val="28"/>
          <w:szCs w:val="28"/>
        </w:rPr>
      </w:pPr>
      <w:r>
        <w:rPr>
          <w:rFonts w:hint="eastAsia" w:eastAsia="宋体"/>
          <w:sz w:val="28"/>
          <w:szCs w:val="28"/>
        </w:rPr>
        <w:t>岩石主要成分：钾长石：38%、斜长石：35%、石英：25%、黑云母：2%。</w:t>
      </w:r>
    </w:p>
    <w:p>
      <w:pPr>
        <w:ind w:firstLine="560"/>
        <w:rPr>
          <w:rFonts w:hint="eastAsia" w:eastAsia="宋体"/>
          <w:sz w:val="28"/>
          <w:szCs w:val="28"/>
        </w:rPr>
      </w:pPr>
      <w:r>
        <w:rPr>
          <w:rFonts w:hint="eastAsia" w:eastAsia="宋体"/>
          <w:sz w:val="28"/>
          <w:szCs w:val="28"/>
        </w:rPr>
        <w:t>钾长石：无色，半自形板状、负低突起，干涉色一级灰白，格子状双晶、条纹结构，弱粘土化，以微斜长石和条纹长石为主，粒度：1.0</w:t>
      </w:r>
      <w:r>
        <w:rPr>
          <w:rFonts w:hint="eastAsia" w:eastAsia="宋体"/>
          <w:sz w:val="28"/>
          <w:szCs w:val="28"/>
          <w:lang w:eastAsia="zh-CN"/>
        </w:rPr>
        <w:t>—</w:t>
      </w:r>
      <w:r>
        <w:rPr>
          <w:rFonts w:hint="eastAsia" w:eastAsia="宋体"/>
          <w:sz w:val="28"/>
          <w:szCs w:val="28"/>
        </w:rPr>
        <w:t>2.5mm。</w:t>
      </w:r>
    </w:p>
    <w:p>
      <w:pPr>
        <w:ind w:firstLine="560"/>
        <w:rPr>
          <w:rFonts w:hint="eastAsia" w:eastAsia="宋体"/>
          <w:sz w:val="28"/>
          <w:szCs w:val="28"/>
        </w:rPr>
      </w:pPr>
      <w:r>
        <w:rPr>
          <w:rFonts w:hint="eastAsia" w:eastAsia="宋体"/>
          <w:sz w:val="28"/>
          <w:szCs w:val="28"/>
        </w:rPr>
        <w:t>斜长石：无色，半自形板状，正低突起，干涉色一级灰白，聚片双晶发育，部分可见环带构造，绢云母化较强，主要以更</w:t>
      </w:r>
      <w:r>
        <w:rPr>
          <w:rFonts w:hint="eastAsia" w:eastAsia="宋体"/>
          <w:sz w:val="28"/>
          <w:szCs w:val="28"/>
          <w:lang w:eastAsia="zh-CN"/>
        </w:rPr>
        <w:t>－</w:t>
      </w:r>
      <w:r>
        <w:rPr>
          <w:rFonts w:hint="eastAsia" w:eastAsia="宋体"/>
          <w:sz w:val="28"/>
          <w:szCs w:val="28"/>
        </w:rPr>
        <w:t>中长石为主，粒度：0.5</w:t>
      </w:r>
      <w:r>
        <w:rPr>
          <w:rFonts w:hint="eastAsia" w:eastAsia="宋体"/>
          <w:sz w:val="28"/>
          <w:szCs w:val="28"/>
          <w:lang w:eastAsia="zh-CN"/>
        </w:rPr>
        <w:t>—</w:t>
      </w:r>
      <w:r>
        <w:rPr>
          <w:rFonts w:hint="eastAsia" w:eastAsia="宋体"/>
          <w:sz w:val="28"/>
          <w:szCs w:val="28"/>
        </w:rPr>
        <w:t>2.0mm。</w:t>
      </w:r>
    </w:p>
    <w:p>
      <w:pPr>
        <w:ind w:firstLine="560"/>
        <w:rPr>
          <w:rFonts w:hint="eastAsia" w:eastAsia="宋体"/>
          <w:sz w:val="28"/>
          <w:szCs w:val="28"/>
        </w:rPr>
      </w:pPr>
      <w:r>
        <w:rPr>
          <w:rFonts w:hint="eastAsia" w:eastAsia="宋体"/>
          <w:sz w:val="28"/>
          <w:szCs w:val="28"/>
        </w:rPr>
        <w:t>石英：无色，他形粒状，正低突起，干涉色一级灰白-黄白，平行消光，表面干净，粒度：0.5</w:t>
      </w:r>
      <w:r>
        <w:rPr>
          <w:rFonts w:hint="eastAsia" w:eastAsia="宋体"/>
          <w:sz w:val="28"/>
          <w:szCs w:val="28"/>
          <w:lang w:eastAsia="zh-CN"/>
        </w:rPr>
        <w:t>—</w:t>
      </w:r>
      <w:r>
        <w:rPr>
          <w:rFonts w:hint="eastAsia" w:eastAsia="宋体"/>
          <w:sz w:val="28"/>
          <w:szCs w:val="28"/>
        </w:rPr>
        <w:t>1.5mm。</w:t>
      </w:r>
    </w:p>
    <w:p>
      <w:pPr>
        <w:ind w:firstLine="560"/>
        <w:rPr>
          <w:rFonts w:eastAsia="宋体"/>
          <w:sz w:val="28"/>
          <w:szCs w:val="28"/>
        </w:rPr>
      </w:pPr>
      <w:r>
        <w:rPr>
          <w:rFonts w:hint="eastAsia" w:eastAsia="宋体"/>
          <w:sz w:val="28"/>
          <w:szCs w:val="28"/>
        </w:rPr>
        <w:t>黑云母：黄褐色，片状，深褐色</w:t>
      </w:r>
      <w:r>
        <w:rPr>
          <w:rFonts w:hint="eastAsia" w:eastAsia="宋体"/>
          <w:sz w:val="28"/>
          <w:szCs w:val="28"/>
          <w:lang w:eastAsia="zh-CN"/>
        </w:rPr>
        <w:t>－</w:t>
      </w:r>
      <w:r>
        <w:rPr>
          <w:rFonts w:hint="eastAsia" w:eastAsia="宋体"/>
          <w:sz w:val="28"/>
          <w:szCs w:val="28"/>
        </w:rPr>
        <w:t>浅黄褐色多色性，正光吸收性，一组极完全解理，平行消光，片径：0.1</w:t>
      </w:r>
      <w:r>
        <w:rPr>
          <w:rFonts w:hint="eastAsia" w:eastAsia="宋体"/>
          <w:sz w:val="28"/>
          <w:szCs w:val="28"/>
          <w:lang w:eastAsia="zh-CN"/>
        </w:rPr>
        <w:t>—</w:t>
      </w:r>
      <w:r>
        <w:rPr>
          <w:rFonts w:hint="eastAsia" w:eastAsia="宋体"/>
          <w:sz w:val="28"/>
          <w:szCs w:val="28"/>
        </w:rPr>
        <w:t>1.0mm。</w:t>
      </w:r>
    </w:p>
    <w:bookmarkEnd w:id="40"/>
    <w:bookmarkEnd w:id="41"/>
    <w:p>
      <w:pPr>
        <w:pStyle w:val="4"/>
        <w:bidi w:val="0"/>
      </w:pPr>
      <w:r>
        <w:t>（二）地质环境问题</w:t>
      </w:r>
    </w:p>
    <w:p>
      <w:pPr>
        <w:pStyle w:val="5"/>
        <w:bidi w:val="0"/>
      </w:pPr>
      <w:r>
        <w:t>1.矿山地质灾害</w:t>
      </w:r>
    </w:p>
    <w:p>
      <w:pPr>
        <w:ind w:firstLine="560"/>
        <w:rPr>
          <w:sz w:val="28"/>
          <w:szCs w:val="28"/>
        </w:rPr>
      </w:pPr>
      <w:r>
        <w:rPr>
          <w:sz w:val="28"/>
          <w:szCs w:val="28"/>
        </w:rPr>
        <w:t>根据国务院令第394号《地质灾害防治条例》、原国土资源部颁发的《地质灾害危险性评估技术要求（试行）</w:t>
      </w:r>
      <w:r>
        <w:rPr>
          <w:rFonts w:hint="eastAsia"/>
          <w:sz w:val="28"/>
          <w:szCs w:val="28"/>
          <w:lang w:eastAsia="zh-CN"/>
        </w:rPr>
        <w:t>》和《</w:t>
      </w:r>
      <w:r>
        <w:rPr>
          <w:sz w:val="28"/>
          <w:szCs w:val="28"/>
        </w:rPr>
        <w:t>地质灾害危险性评估规范》（GB/T 40112-2021），地质灾害是指包括自然因素或人为活动引发的危害人民生命和财产安全的地质现象，主要包括崩塌﹑滑坡﹑泥石流﹑地面塌陷﹑地裂缝和地面沉降等与地质作用有关的灾害。</w:t>
      </w:r>
      <w:r>
        <w:rPr>
          <w:rFonts w:hint="eastAsia"/>
          <w:sz w:val="28"/>
          <w:szCs w:val="28"/>
        </w:rPr>
        <w:t>结合本区地质灾害发育程度，地质灾害为冻土冻融、崩塌。</w:t>
      </w:r>
    </w:p>
    <w:p>
      <w:pPr>
        <w:ind w:firstLine="560"/>
        <w:rPr>
          <w:sz w:val="28"/>
          <w:szCs w:val="28"/>
        </w:rPr>
      </w:pPr>
      <w:r>
        <w:rPr>
          <w:sz w:val="28"/>
          <w:szCs w:val="28"/>
        </w:rPr>
        <w:t>根据《矿山地质环境保护与恢复治理方案编制规范》（DZ/T 0223-2011）矿山地质环境影响程度分级表（表E），现状项目区地质灾害影响程度分级为“</w:t>
      </w:r>
      <w:r>
        <w:rPr>
          <w:b/>
          <w:bCs/>
          <w:sz w:val="28"/>
          <w:szCs w:val="28"/>
        </w:rPr>
        <w:t>较轻</w:t>
      </w:r>
      <w:r>
        <w:rPr>
          <w:sz w:val="28"/>
          <w:szCs w:val="28"/>
        </w:rPr>
        <w:t>”。</w:t>
      </w:r>
    </w:p>
    <w:p>
      <w:pPr>
        <w:pStyle w:val="8"/>
        <w:rPr>
          <w:rFonts w:hint="default" w:eastAsia="黑体"/>
          <w:lang w:val="en-US" w:eastAsia="zh-CN"/>
        </w:rPr>
      </w:pPr>
      <w:r>
        <w:t xml:space="preserve">表 </w:t>
      </w:r>
      <w:r>
        <w:fldChar w:fldCharType="begin"/>
      </w:r>
      <w:r>
        <w:instrText xml:space="preserve"> SEQ 表 \* ARABIC </w:instrText>
      </w:r>
      <w:r>
        <w:fldChar w:fldCharType="separate"/>
      </w:r>
      <w:r>
        <w:t>2</w:t>
      </w:r>
      <w:r>
        <w:fldChar w:fldCharType="end"/>
      </w:r>
      <w:r>
        <w:rPr>
          <w:rFonts w:hint="eastAsia"/>
          <w:lang w:val="en-US" w:eastAsia="zh-CN"/>
        </w:rPr>
        <w:t>-1 矿山地质环境影响程度分级表（表E）</w:t>
      </w:r>
    </w:p>
    <w:tbl>
      <w:tblPr>
        <w:tblStyle w:val="1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2458"/>
        <w:gridCol w:w="2773"/>
        <w:gridCol w:w="2127"/>
        <w:gridCol w:w="1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67" w:type="dxa"/>
            <w:noWrap w:val="0"/>
            <w:vAlign w:val="center"/>
          </w:tcPr>
          <w:p>
            <w:pPr>
              <w:pStyle w:val="27"/>
              <w:bidi w:val="0"/>
              <w:rPr>
                <w:rFonts w:hint="eastAsia"/>
                <w:sz w:val="24"/>
                <w:szCs w:val="24"/>
              </w:rPr>
            </w:pPr>
            <w:r>
              <w:rPr>
                <w:rFonts w:hint="eastAsia"/>
                <w:sz w:val="24"/>
                <w:szCs w:val="24"/>
                <w:lang w:val="en-US" w:eastAsia="zh-CN"/>
              </w:rPr>
              <w:t>影响程度分级</w:t>
            </w:r>
          </w:p>
        </w:tc>
        <w:tc>
          <w:tcPr>
            <w:tcW w:w="2458" w:type="dxa"/>
            <w:noWrap w:val="0"/>
            <w:vAlign w:val="center"/>
          </w:tcPr>
          <w:p>
            <w:pPr>
              <w:pStyle w:val="27"/>
              <w:bidi w:val="0"/>
              <w:rPr>
                <w:rFonts w:hint="eastAsia"/>
                <w:sz w:val="24"/>
                <w:szCs w:val="24"/>
              </w:rPr>
            </w:pPr>
            <w:r>
              <w:rPr>
                <w:rFonts w:hint="eastAsia"/>
                <w:sz w:val="24"/>
                <w:szCs w:val="24"/>
                <w:lang w:val="en-US" w:eastAsia="zh-CN"/>
              </w:rPr>
              <w:t>地质灾害</w:t>
            </w:r>
          </w:p>
        </w:tc>
        <w:tc>
          <w:tcPr>
            <w:tcW w:w="2773" w:type="dxa"/>
            <w:noWrap w:val="0"/>
            <w:vAlign w:val="center"/>
          </w:tcPr>
          <w:p>
            <w:pPr>
              <w:pStyle w:val="27"/>
              <w:bidi w:val="0"/>
              <w:rPr>
                <w:rFonts w:hint="eastAsia"/>
                <w:sz w:val="24"/>
                <w:szCs w:val="24"/>
              </w:rPr>
            </w:pPr>
            <w:r>
              <w:rPr>
                <w:rFonts w:hint="eastAsia"/>
                <w:sz w:val="24"/>
                <w:szCs w:val="24"/>
                <w:lang w:val="en-US" w:eastAsia="zh-CN"/>
              </w:rPr>
              <w:t>含水层</w:t>
            </w:r>
          </w:p>
        </w:tc>
        <w:tc>
          <w:tcPr>
            <w:tcW w:w="2127" w:type="dxa"/>
            <w:noWrap w:val="0"/>
            <w:vAlign w:val="center"/>
          </w:tcPr>
          <w:p>
            <w:pPr>
              <w:pStyle w:val="27"/>
              <w:bidi w:val="0"/>
              <w:rPr>
                <w:rFonts w:hint="eastAsia"/>
                <w:sz w:val="24"/>
                <w:szCs w:val="24"/>
              </w:rPr>
            </w:pPr>
            <w:r>
              <w:rPr>
                <w:rFonts w:hint="eastAsia"/>
                <w:sz w:val="24"/>
                <w:szCs w:val="24"/>
                <w:lang w:val="en-US" w:eastAsia="zh-CN"/>
              </w:rPr>
              <w:t>地形地貌景观</w:t>
            </w:r>
          </w:p>
        </w:tc>
        <w:tc>
          <w:tcPr>
            <w:tcW w:w="1544" w:type="dxa"/>
            <w:noWrap w:val="0"/>
            <w:vAlign w:val="center"/>
          </w:tcPr>
          <w:p>
            <w:pPr>
              <w:pStyle w:val="27"/>
              <w:bidi w:val="0"/>
              <w:rPr>
                <w:rFonts w:hint="eastAsia"/>
                <w:sz w:val="24"/>
                <w:szCs w:val="24"/>
              </w:rPr>
            </w:pPr>
            <w:r>
              <w:rPr>
                <w:rFonts w:hint="eastAsia"/>
                <w:sz w:val="24"/>
                <w:szCs w:val="24"/>
                <w:lang w:val="en-US" w:eastAsia="zh-CN"/>
              </w:rPr>
              <w:t>土地资源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967" w:type="dxa"/>
            <w:noWrap w:val="0"/>
            <w:vAlign w:val="center"/>
          </w:tcPr>
          <w:p>
            <w:pPr>
              <w:pStyle w:val="27"/>
              <w:bidi w:val="0"/>
              <w:rPr>
                <w:rFonts w:hint="eastAsia"/>
                <w:sz w:val="24"/>
                <w:szCs w:val="24"/>
              </w:rPr>
            </w:pPr>
            <w:r>
              <w:rPr>
                <w:rFonts w:hint="eastAsia"/>
                <w:sz w:val="24"/>
                <w:szCs w:val="24"/>
                <w:lang w:val="en-US" w:eastAsia="zh-CN"/>
              </w:rPr>
              <w:t>严重</w:t>
            </w:r>
          </w:p>
        </w:tc>
        <w:tc>
          <w:tcPr>
            <w:tcW w:w="2458" w:type="dxa"/>
            <w:noWrap w:val="0"/>
            <w:vAlign w:val="center"/>
          </w:tcPr>
          <w:p>
            <w:pPr>
              <w:pStyle w:val="27"/>
              <w:bidi w:val="0"/>
              <w:rPr>
                <w:rFonts w:hint="eastAsia"/>
                <w:sz w:val="24"/>
                <w:szCs w:val="24"/>
              </w:rPr>
            </w:pPr>
            <w:r>
              <w:rPr>
                <w:rFonts w:hint="eastAsia"/>
                <w:sz w:val="24"/>
                <w:szCs w:val="24"/>
                <w:lang w:val="en-US" w:eastAsia="zh-CN"/>
              </w:rPr>
              <w:t>地质灾害规模大，发生的可能性大影响到城市、乡镇、重要行政村、重要交通干线、重要工程设施及各类保护区安全造成或可能造成直接经济损失大于500万元受威胁人数大于100人</w:t>
            </w:r>
          </w:p>
        </w:tc>
        <w:tc>
          <w:tcPr>
            <w:tcW w:w="2773" w:type="dxa"/>
            <w:noWrap w:val="0"/>
            <w:vAlign w:val="center"/>
          </w:tcPr>
          <w:p>
            <w:pPr>
              <w:pStyle w:val="27"/>
              <w:bidi w:val="0"/>
              <w:rPr>
                <w:rFonts w:hint="eastAsia"/>
                <w:sz w:val="24"/>
                <w:szCs w:val="24"/>
              </w:rPr>
            </w:pPr>
            <w:r>
              <w:rPr>
                <w:rFonts w:hint="eastAsia"/>
                <w:sz w:val="24"/>
                <w:szCs w:val="24"/>
                <w:lang w:val="en-US" w:eastAsia="zh-CN"/>
              </w:rPr>
              <w:t>矿坑充水主要含水层结构破坏，产生导水通道矿区正常涌水量大于10 000 m³/d区域地下水位下降矿区周围主要含水层（带）水位大幅下降，或呈疏干状态，地表水体漏失严重不同含水层（组）串通水质恶化影响集中水源地供水，矿区及周围生产、生活供水困难</w:t>
            </w:r>
          </w:p>
        </w:tc>
        <w:tc>
          <w:tcPr>
            <w:tcW w:w="2127" w:type="dxa"/>
            <w:noWrap w:val="0"/>
            <w:vAlign w:val="center"/>
          </w:tcPr>
          <w:p>
            <w:pPr>
              <w:pStyle w:val="27"/>
              <w:bidi w:val="0"/>
              <w:rPr>
                <w:rFonts w:hint="eastAsia"/>
                <w:sz w:val="24"/>
                <w:szCs w:val="24"/>
              </w:rPr>
            </w:pPr>
            <w:r>
              <w:rPr>
                <w:rFonts w:hint="eastAsia"/>
                <w:sz w:val="24"/>
                <w:szCs w:val="24"/>
                <w:lang w:val="en-US" w:eastAsia="zh-CN"/>
              </w:rPr>
              <w:t>对原生的地形地貌景观影响和破坏程度大对各类自然保护区、人文景观、风景旅游区、城市两侧、主要交通干线两侧可视范围内地形地貌景观影响严重</w:t>
            </w:r>
          </w:p>
        </w:tc>
        <w:tc>
          <w:tcPr>
            <w:tcW w:w="1544" w:type="dxa"/>
            <w:noWrap w:val="0"/>
            <w:vAlign w:val="center"/>
          </w:tcPr>
          <w:p>
            <w:pPr>
              <w:pStyle w:val="27"/>
              <w:bidi w:val="0"/>
              <w:rPr>
                <w:rFonts w:hint="eastAsia"/>
                <w:sz w:val="24"/>
                <w:szCs w:val="24"/>
              </w:rPr>
            </w:pPr>
            <w:r>
              <w:rPr>
                <w:rFonts w:hint="eastAsia"/>
                <w:sz w:val="24"/>
                <w:szCs w:val="24"/>
                <w:lang w:val="en-US" w:eastAsia="zh-CN"/>
              </w:rPr>
              <w:t>破坏基本农田</w:t>
            </w:r>
            <w:r>
              <w:rPr>
                <w:rFonts w:hint="eastAsia"/>
                <w:sz w:val="24"/>
                <w:szCs w:val="24"/>
                <w:lang w:val="en-US" w:eastAsia="zh-CN"/>
              </w:rPr>
              <w:br w:type="textWrapping"/>
            </w:r>
            <w:r>
              <w:rPr>
                <w:rFonts w:hint="eastAsia"/>
                <w:sz w:val="24"/>
                <w:szCs w:val="24"/>
                <w:lang w:val="en-US" w:eastAsia="zh-CN"/>
              </w:rPr>
              <w:t>破坏耕地大于2 hm²破坏林地或草地大于4 hm²破坏荒地或未开发利用土地大于20 hm²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967" w:type="dxa"/>
            <w:noWrap w:val="0"/>
            <w:vAlign w:val="center"/>
          </w:tcPr>
          <w:p>
            <w:pPr>
              <w:pStyle w:val="27"/>
              <w:bidi w:val="0"/>
              <w:rPr>
                <w:rFonts w:hint="eastAsia"/>
                <w:sz w:val="24"/>
                <w:szCs w:val="24"/>
              </w:rPr>
            </w:pPr>
            <w:r>
              <w:rPr>
                <w:rFonts w:hint="eastAsia"/>
                <w:sz w:val="24"/>
                <w:szCs w:val="24"/>
                <w:lang w:val="en-US" w:eastAsia="zh-CN"/>
              </w:rPr>
              <w:t>较严重</w:t>
            </w:r>
          </w:p>
        </w:tc>
        <w:tc>
          <w:tcPr>
            <w:tcW w:w="2458" w:type="dxa"/>
            <w:noWrap w:val="0"/>
            <w:vAlign w:val="center"/>
          </w:tcPr>
          <w:p>
            <w:pPr>
              <w:pStyle w:val="27"/>
              <w:bidi w:val="0"/>
              <w:rPr>
                <w:rFonts w:hint="eastAsia"/>
                <w:sz w:val="24"/>
                <w:szCs w:val="24"/>
              </w:rPr>
            </w:pPr>
            <w:r>
              <w:rPr>
                <w:rFonts w:hint="eastAsia"/>
                <w:sz w:val="24"/>
                <w:szCs w:val="24"/>
                <w:lang w:val="en-US" w:eastAsia="zh-CN"/>
              </w:rPr>
              <w:t>地质灾害规模中等，发生的可能性较大影响到村庄、居民聚居区、一般交通线和较重要工程设施安全造成或可能造成直接经济损失100万元～500万元受威胁人数10～100人</w:t>
            </w:r>
          </w:p>
        </w:tc>
        <w:tc>
          <w:tcPr>
            <w:tcW w:w="2773" w:type="dxa"/>
            <w:noWrap w:val="0"/>
            <w:vAlign w:val="center"/>
          </w:tcPr>
          <w:p>
            <w:pPr>
              <w:pStyle w:val="27"/>
              <w:bidi w:val="0"/>
              <w:rPr>
                <w:rFonts w:hint="eastAsia"/>
                <w:sz w:val="24"/>
                <w:szCs w:val="24"/>
              </w:rPr>
            </w:pPr>
            <w:r>
              <w:rPr>
                <w:rFonts w:hint="eastAsia"/>
                <w:sz w:val="24"/>
                <w:szCs w:val="24"/>
                <w:lang w:val="en-US" w:eastAsia="zh-CN"/>
              </w:rPr>
              <w:t>矿井正常涌水量3 000 m³/d~10 000 m³/d矿区及周围主要含水层（带）水位下降幅度较大，地下水位半疏干状态矿区及周围地表水体漏失较严重影响矿区及周围部分生产生活供水</w:t>
            </w:r>
          </w:p>
        </w:tc>
        <w:tc>
          <w:tcPr>
            <w:tcW w:w="2127" w:type="dxa"/>
            <w:noWrap w:val="0"/>
            <w:vAlign w:val="center"/>
          </w:tcPr>
          <w:p>
            <w:pPr>
              <w:pStyle w:val="27"/>
              <w:bidi w:val="0"/>
              <w:rPr>
                <w:rFonts w:hint="eastAsia"/>
                <w:sz w:val="24"/>
                <w:szCs w:val="24"/>
              </w:rPr>
            </w:pPr>
            <w:r>
              <w:rPr>
                <w:rFonts w:hint="eastAsia"/>
                <w:sz w:val="24"/>
                <w:szCs w:val="24"/>
                <w:lang w:val="en-US" w:eastAsia="zh-CN"/>
              </w:rPr>
              <w:t>对原生的地形地貌景观影响和破坏程度较大对各类自然保护区、人文景观、风景旅游区、城市两侧、主要交通干线两侧可视范围内地形地貌景观影响较重</w:t>
            </w:r>
          </w:p>
        </w:tc>
        <w:tc>
          <w:tcPr>
            <w:tcW w:w="1544" w:type="dxa"/>
            <w:noWrap w:val="0"/>
            <w:vAlign w:val="center"/>
          </w:tcPr>
          <w:p>
            <w:pPr>
              <w:pStyle w:val="27"/>
              <w:bidi w:val="0"/>
              <w:rPr>
                <w:rFonts w:hint="eastAsia"/>
                <w:sz w:val="24"/>
                <w:szCs w:val="24"/>
              </w:rPr>
            </w:pPr>
            <w:r>
              <w:rPr>
                <w:rFonts w:hint="eastAsia"/>
                <w:sz w:val="24"/>
                <w:szCs w:val="24"/>
                <w:lang w:val="en-US" w:eastAsia="zh-CN"/>
              </w:rPr>
              <w:t>破坏耕地小于等于2 hm²破坏林地或草地2 hm²~4 hm²破坏荒山或未开发利用土地10 hm²~20 hm²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967" w:type="dxa"/>
            <w:noWrap w:val="0"/>
            <w:vAlign w:val="center"/>
          </w:tcPr>
          <w:p>
            <w:pPr>
              <w:pStyle w:val="27"/>
              <w:bidi w:val="0"/>
              <w:rPr>
                <w:rFonts w:hint="eastAsia"/>
                <w:sz w:val="24"/>
                <w:szCs w:val="24"/>
              </w:rPr>
            </w:pPr>
            <w:r>
              <w:rPr>
                <w:rFonts w:hint="eastAsia"/>
                <w:b/>
                <w:bCs/>
                <w:sz w:val="24"/>
                <w:szCs w:val="24"/>
                <w:lang w:val="en-US" w:eastAsia="zh-CN"/>
              </w:rPr>
              <w:t>较轻</w:t>
            </w:r>
          </w:p>
        </w:tc>
        <w:tc>
          <w:tcPr>
            <w:tcW w:w="2458" w:type="dxa"/>
            <w:noWrap w:val="0"/>
            <w:vAlign w:val="center"/>
          </w:tcPr>
          <w:p>
            <w:pPr>
              <w:pStyle w:val="27"/>
              <w:bidi w:val="0"/>
              <w:rPr>
                <w:rFonts w:hint="eastAsia"/>
                <w:sz w:val="24"/>
                <w:szCs w:val="24"/>
              </w:rPr>
            </w:pPr>
            <w:r>
              <w:rPr>
                <w:rFonts w:hint="eastAsia"/>
                <w:sz w:val="24"/>
                <w:szCs w:val="24"/>
                <w:lang w:val="en-US" w:eastAsia="zh-CN"/>
              </w:rPr>
              <w:t>地质灾害规模小，发生的可能性小影响到分散性居民、一般小规模建筑及设施造成或可能造成直接经济损失小于100万元受威胁人数小于10人</w:t>
            </w:r>
          </w:p>
        </w:tc>
        <w:tc>
          <w:tcPr>
            <w:tcW w:w="2773" w:type="dxa"/>
            <w:noWrap w:val="0"/>
            <w:vAlign w:val="center"/>
          </w:tcPr>
          <w:p>
            <w:pPr>
              <w:pStyle w:val="27"/>
              <w:bidi w:val="0"/>
              <w:rPr>
                <w:rFonts w:hint="eastAsia"/>
                <w:sz w:val="24"/>
                <w:szCs w:val="24"/>
              </w:rPr>
            </w:pPr>
            <w:r>
              <w:rPr>
                <w:rFonts w:hint="eastAsia"/>
                <w:sz w:val="24"/>
                <w:szCs w:val="24"/>
                <w:lang w:val="en-US" w:eastAsia="zh-CN"/>
              </w:rPr>
              <w:t>矿井正常涌水量小于3 000 m³/d矿区及周围主要含水层水位下降幅度小矿区及周围地表水体未漏失未影响到矿区及周围生产生活供水</w:t>
            </w:r>
          </w:p>
        </w:tc>
        <w:tc>
          <w:tcPr>
            <w:tcW w:w="2127" w:type="dxa"/>
            <w:noWrap w:val="0"/>
            <w:vAlign w:val="center"/>
          </w:tcPr>
          <w:p>
            <w:pPr>
              <w:pStyle w:val="27"/>
              <w:bidi w:val="0"/>
              <w:rPr>
                <w:rFonts w:hint="eastAsia"/>
                <w:sz w:val="24"/>
                <w:szCs w:val="24"/>
              </w:rPr>
            </w:pPr>
            <w:r>
              <w:rPr>
                <w:rFonts w:hint="eastAsia"/>
                <w:sz w:val="24"/>
                <w:szCs w:val="24"/>
                <w:lang w:val="en-US" w:eastAsia="zh-CN"/>
              </w:rPr>
              <w:t>对原生的地形地貌景观影响和破坏程度小对各类自然保护区、人文景观、风景旅游区、城市两侧、主要交通干线两侧可视范围内地形地貌景观影响较轻</w:t>
            </w:r>
          </w:p>
        </w:tc>
        <w:tc>
          <w:tcPr>
            <w:tcW w:w="1544" w:type="dxa"/>
            <w:noWrap w:val="0"/>
            <w:vAlign w:val="center"/>
          </w:tcPr>
          <w:p>
            <w:pPr>
              <w:pStyle w:val="27"/>
              <w:bidi w:val="0"/>
              <w:rPr>
                <w:rFonts w:hint="eastAsia"/>
                <w:sz w:val="24"/>
                <w:szCs w:val="24"/>
              </w:rPr>
            </w:pPr>
            <w:r>
              <w:rPr>
                <w:rFonts w:hint="eastAsia"/>
                <w:sz w:val="24"/>
                <w:szCs w:val="24"/>
                <w:lang w:val="en-US" w:eastAsia="zh-CN"/>
              </w:rPr>
              <w:t>破坏林地或草地小于等于2 hm²破坏荒山或未开发利用土地小于等于10 hm²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0" w:type="auto"/>
            <w:gridSpan w:val="5"/>
            <w:noWrap w:val="0"/>
            <w:vAlign w:val="center"/>
          </w:tcPr>
          <w:p>
            <w:pPr>
              <w:pStyle w:val="27"/>
              <w:bidi w:val="0"/>
              <w:rPr>
                <w:rFonts w:hint="eastAsia"/>
                <w:sz w:val="24"/>
                <w:szCs w:val="24"/>
              </w:rPr>
            </w:pPr>
            <w:r>
              <w:rPr>
                <w:rFonts w:hint="eastAsia"/>
                <w:sz w:val="24"/>
                <w:szCs w:val="24"/>
                <w:lang w:val="en-US" w:eastAsia="zh-CN"/>
              </w:rPr>
              <w:t>注：分级确定采取上一级别优先原则，只要有一项要素符合某一级别，就定为该级别。</w:t>
            </w:r>
          </w:p>
        </w:tc>
      </w:tr>
    </w:tbl>
    <w:p>
      <w:pPr>
        <w:ind w:firstLine="560"/>
        <w:rPr>
          <w:sz w:val="28"/>
          <w:szCs w:val="28"/>
        </w:rPr>
      </w:pPr>
    </w:p>
    <w:p>
      <w:pPr>
        <w:pStyle w:val="5"/>
        <w:bidi w:val="0"/>
      </w:pPr>
      <w:r>
        <w:t>2.含水层损毁</w:t>
      </w:r>
    </w:p>
    <w:p>
      <w:pPr>
        <w:bidi w:val="0"/>
      </w:pPr>
      <w:r>
        <w:rPr>
          <w:rFonts w:hint="eastAsia"/>
        </w:rPr>
        <w:t>矿山属于露天开采，未揭露地下含水层</w:t>
      </w:r>
      <w:r>
        <w:t>，矿山生产活动对地下水影响轻微，矿山建设及生产活动对地表水体影响不大，影响较轻。</w:t>
      </w:r>
    </w:p>
    <w:p>
      <w:pPr>
        <w:bidi w:val="0"/>
      </w:pPr>
      <w:r>
        <w:t>综上所述，根据《矿山地质环境保护与治理恢复方案编制规范》（DZ/T 0223-2011）矿山地质环境影响程度分级表（表E），确定该矿山采矿活动对地下含水层影响和损毁程度为“较轻”。</w:t>
      </w:r>
    </w:p>
    <w:p>
      <w:pPr>
        <w:pStyle w:val="5"/>
        <w:bidi w:val="0"/>
      </w:pPr>
      <w:r>
        <w:t>3.地形地貌景观损毁</w:t>
      </w:r>
    </w:p>
    <w:p>
      <w:pPr>
        <w:ind w:firstLine="560"/>
        <w:rPr>
          <w:sz w:val="28"/>
          <w:szCs w:val="28"/>
        </w:rPr>
      </w:pPr>
      <w:r>
        <w:rPr>
          <w:rFonts w:eastAsia="宋体"/>
          <w:bCs/>
          <w:sz w:val="28"/>
          <w:szCs w:val="28"/>
        </w:rPr>
        <w:t>矿区及周围无自然保护区、人文景观和风景旅游区，矿山所属地貌单元为低山</w:t>
      </w:r>
      <w:r>
        <w:rPr>
          <w:rFonts w:hint="eastAsia" w:eastAsia="宋体"/>
          <w:bCs/>
          <w:sz w:val="28"/>
          <w:szCs w:val="28"/>
          <w:lang w:val="en-US" w:eastAsia="zh-CN"/>
        </w:rPr>
        <w:t>丘陵区</w:t>
      </w:r>
      <w:r>
        <w:rPr>
          <w:rFonts w:eastAsia="宋体"/>
          <w:bCs/>
          <w:sz w:val="28"/>
          <w:szCs w:val="28"/>
        </w:rPr>
        <w:t>，占地</w:t>
      </w:r>
      <w:r>
        <w:rPr>
          <w:rFonts w:hint="eastAsia" w:eastAsia="宋体"/>
          <w:bCs/>
          <w:sz w:val="28"/>
          <w:szCs w:val="28"/>
          <w:lang w:eastAsia="zh-CN"/>
        </w:rPr>
        <w:t>类型</w:t>
      </w:r>
      <w:r>
        <w:rPr>
          <w:rFonts w:eastAsia="宋体"/>
          <w:bCs/>
          <w:sz w:val="28"/>
          <w:szCs w:val="28"/>
        </w:rPr>
        <w:t>主要为</w:t>
      </w:r>
      <w:r>
        <w:rPr>
          <w:rFonts w:hint="eastAsia" w:eastAsia="宋体"/>
          <w:bCs/>
          <w:sz w:val="28"/>
          <w:szCs w:val="28"/>
          <w:lang w:val="en-US" w:eastAsia="zh-CN"/>
        </w:rPr>
        <w:t>采矿用地</w:t>
      </w:r>
      <w:r>
        <w:rPr>
          <w:rFonts w:eastAsia="宋体"/>
          <w:bCs/>
          <w:sz w:val="28"/>
          <w:szCs w:val="28"/>
        </w:rPr>
        <w:t>。矿山所处地势起伏较大，矿山属</w:t>
      </w:r>
      <w:r>
        <w:rPr>
          <w:rFonts w:hint="eastAsia" w:eastAsia="宋体"/>
          <w:bCs/>
          <w:sz w:val="28"/>
          <w:szCs w:val="28"/>
        </w:rPr>
        <w:t>露天</w:t>
      </w:r>
      <w:r>
        <w:rPr>
          <w:rFonts w:eastAsia="宋体"/>
          <w:bCs/>
          <w:sz w:val="28"/>
          <w:szCs w:val="28"/>
        </w:rPr>
        <w:t>开采，矿山</w:t>
      </w:r>
      <w:r>
        <w:rPr>
          <w:rFonts w:hint="eastAsia" w:eastAsia="宋体"/>
          <w:bCs/>
          <w:sz w:val="28"/>
          <w:szCs w:val="28"/>
          <w:lang w:val="en-US" w:eastAsia="zh-CN"/>
        </w:rPr>
        <w:t>在生产过程中</w:t>
      </w:r>
      <w:r>
        <w:rPr>
          <w:rFonts w:eastAsia="宋体"/>
          <w:bCs/>
          <w:sz w:val="28"/>
          <w:szCs w:val="28"/>
        </w:rPr>
        <w:t>对原生的地形地貌景观影响和破坏程度</w:t>
      </w:r>
      <w:r>
        <w:rPr>
          <w:rFonts w:hint="eastAsia" w:eastAsia="宋体"/>
          <w:bCs/>
          <w:sz w:val="28"/>
          <w:szCs w:val="28"/>
        </w:rPr>
        <w:t>严重</w:t>
      </w:r>
      <w:r>
        <w:rPr>
          <w:rFonts w:eastAsia="宋体"/>
          <w:bCs/>
          <w:sz w:val="28"/>
          <w:szCs w:val="28"/>
        </w:rPr>
        <w:t>。工业广场面积</w:t>
      </w:r>
      <w:r>
        <w:rPr>
          <w:rFonts w:hint="eastAsia"/>
          <w:sz w:val="28"/>
          <w:szCs w:val="28"/>
        </w:rPr>
        <w:t>*.****</w:t>
      </w:r>
      <w:r>
        <w:rPr>
          <w:rFonts w:eastAsia="宋体"/>
          <w:bCs/>
          <w:sz w:val="28"/>
          <w:szCs w:val="28"/>
        </w:rPr>
        <w:t>hm</w:t>
      </w:r>
      <w:r>
        <w:rPr>
          <w:rFonts w:eastAsia="宋体"/>
          <w:bCs/>
          <w:sz w:val="28"/>
          <w:szCs w:val="28"/>
          <w:vertAlign w:val="superscript"/>
        </w:rPr>
        <w:t>2</w:t>
      </w:r>
      <w:r>
        <w:rPr>
          <w:rFonts w:hint="eastAsia"/>
          <w:sz w:val="28"/>
          <w:szCs w:val="28"/>
        </w:rPr>
        <w:t>，</w:t>
      </w:r>
      <w:r>
        <w:rPr>
          <w:rFonts w:eastAsia="宋体"/>
          <w:bCs/>
          <w:sz w:val="28"/>
          <w:szCs w:val="28"/>
        </w:rPr>
        <w:t>对原地表形态、植被</w:t>
      </w:r>
      <w:r>
        <w:rPr>
          <w:rFonts w:hint="eastAsia" w:eastAsia="宋体"/>
          <w:bCs/>
          <w:sz w:val="28"/>
          <w:szCs w:val="28"/>
          <w:lang w:val="en-US" w:eastAsia="zh-CN"/>
        </w:rPr>
        <w:t>已</w:t>
      </w:r>
      <w:r>
        <w:rPr>
          <w:rFonts w:eastAsia="宋体"/>
          <w:bCs/>
          <w:sz w:val="28"/>
          <w:szCs w:val="28"/>
        </w:rPr>
        <w:t>产生破坏</w:t>
      </w:r>
      <w:r>
        <w:rPr>
          <w:rFonts w:hint="eastAsia" w:eastAsia="宋体"/>
          <w:bCs/>
          <w:sz w:val="28"/>
          <w:szCs w:val="28"/>
          <w:lang w:eastAsia="zh-CN"/>
        </w:rPr>
        <w:t>。</w:t>
      </w:r>
      <w:r>
        <w:rPr>
          <w:rFonts w:hint="eastAsia" w:eastAsia="宋体"/>
          <w:bCs/>
          <w:sz w:val="28"/>
          <w:szCs w:val="28"/>
        </w:rPr>
        <w:t>排土场位于</w:t>
      </w:r>
      <w:r>
        <w:rPr>
          <w:rFonts w:hint="eastAsia" w:eastAsia="宋体"/>
          <w:bCs/>
          <w:sz w:val="28"/>
          <w:szCs w:val="28"/>
          <w:lang w:val="en-US" w:eastAsia="zh-CN"/>
        </w:rPr>
        <w:t>矿区南侧</w:t>
      </w:r>
      <w:r>
        <w:rPr>
          <w:rFonts w:hint="eastAsia" w:eastAsia="宋体"/>
          <w:bCs/>
          <w:sz w:val="28"/>
          <w:szCs w:val="28"/>
        </w:rPr>
        <w:t>，</w:t>
      </w:r>
      <w:r>
        <w:rPr>
          <w:rFonts w:eastAsia="宋体"/>
          <w:bCs/>
          <w:sz w:val="28"/>
          <w:szCs w:val="28"/>
        </w:rPr>
        <w:t>临时堆放</w:t>
      </w:r>
      <w:r>
        <w:rPr>
          <w:rFonts w:hint="eastAsia" w:eastAsia="宋体"/>
          <w:bCs/>
          <w:sz w:val="28"/>
          <w:szCs w:val="28"/>
        </w:rPr>
        <w:t>土体</w:t>
      </w:r>
      <w:r>
        <w:rPr>
          <w:rFonts w:eastAsia="宋体"/>
          <w:bCs/>
          <w:sz w:val="28"/>
          <w:szCs w:val="28"/>
        </w:rPr>
        <w:t>改变了原生的地形地貌，工业广场对自然环境的影响较</w:t>
      </w:r>
      <w:r>
        <w:rPr>
          <w:rFonts w:hint="eastAsia" w:eastAsia="宋体"/>
          <w:bCs/>
          <w:sz w:val="28"/>
          <w:szCs w:val="28"/>
        </w:rPr>
        <w:t>轻</w:t>
      </w:r>
      <w:r>
        <w:rPr>
          <w:rFonts w:eastAsia="宋体"/>
          <w:bCs/>
          <w:sz w:val="28"/>
          <w:szCs w:val="28"/>
        </w:rPr>
        <w:t>。现状评估矿山对地形地貌景观影响程度为</w:t>
      </w:r>
      <w:r>
        <w:rPr>
          <w:sz w:val="28"/>
          <w:szCs w:val="28"/>
        </w:rPr>
        <w:t>“较轻”。</w:t>
      </w:r>
    </w:p>
    <w:p>
      <w:pPr>
        <w:pStyle w:val="5"/>
        <w:bidi w:val="0"/>
      </w:pPr>
      <w:r>
        <w:t>4.水土环境污染</w:t>
      </w:r>
    </w:p>
    <w:p>
      <w:pPr>
        <w:bidi w:val="0"/>
      </w:pPr>
      <w:r>
        <w:t>评估区现状条件下水环境污染源主要为</w:t>
      </w:r>
      <w:r>
        <w:rPr>
          <w:rFonts w:hint="eastAsia"/>
        </w:rPr>
        <w:t>生产用</w:t>
      </w:r>
      <w:r>
        <w:t>水和生活污水。</w:t>
      </w:r>
    </w:p>
    <w:p>
      <w:pPr>
        <w:ind w:firstLine="560"/>
        <w:rPr>
          <w:rFonts w:eastAsia="宋体"/>
          <w:bCs/>
          <w:sz w:val="28"/>
          <w:szCs w:val="28"/>
        </w:rPr>
      </w:pPr>
      <w:r>
        <w:rPr>
          <w:rFonts w:eastAsia="宋体"/>
          <w:bCs/>
          <w:sz w:val="28"/>
          <w:szCs w:val="28"/>
        </w:rPr>
        <w:t>因矿山排水量较小，已产生的矿坑排水多用于矿山生产及降尘，而生活污水主要来自食堂、洗浴室、宿舍等，用水量很少，本次调查过程中，没有影响到地下水及地表水的水质。矿区水土环境污染现状</w:t>
      </w:r>
      <w:r>
        <w:rPr>
          <w:sz w:val="28"/>
          <w:szCs w:val="28"/>
        </w:rPr>
        <w:t>“较轻”</w:t>
      </w:r>
      <w:r>
        <w:rPr>
          <w:rFonts w:eastAsia="宋体"/>
          <w:bCs/>
          <w:sz w:val="28"/>
          <w:szCs w:val="28"/>
        </w:rPr>
        <w:t>。</w:t>
      </w:r>
    </w:p>
    <w:p>
      <w:pPr>
        <w:pStyle w:val="3"/>
        <w:bidi w:val="0"/>
      </w:pPr>
      <w:bookmarkStart w:id="42" w:name="_Toc4179"/>
      <w:r>
        <w:t>四、矿区土地利用现状及采矿用地审批情况</w:t>
      </w:r>
      <w:bookmarkEnd w:id="42"/>
    </w:p>
    <w:p>
      <w:pPr>
        <w:pStyle w:val="4"/>
        <w:bidi w:val="0"/>
      </w:pPr>
      <w:bookmarkStart w:id="43" w:name="_Toc401734600"/>
      <w:bookmarkStart w:id="44" w:name="_Toc448821258"/>
      <w:r>
        <w:t>（一）</w:t>
      </w:r>
      <w:r>
        <w:rPr>
          <w:rFonts w:hint="eastAsia"/>
        </w:rPr>
        <w:t>矿</w:t>
      </w:r>
      <w:r>
        <w:t>区土地类型</w:t>
      </w:r>
    </w:p>
    <w:p>
      <w:pPr>
        <w:ind w:firstLine="560"/>
        <w:rPr>
          <w:rFonts w:hint="default" w:eastAsia="宋体"/>
          <w:sz w:val="28"/>
          <w:szCs w:val="28"/>
          <w:lang w:val="en-US" w:eastAsia="zh-CN"/>
        </w:rPr>
      </w:pPr>
      <w:r>
        <w:rPr>
          <w:rFonts w:hint="eastAsia"/>
          <w:sz w:val="28"/>
          <w:szCs w:val="28"/>
        </w:rPr>
        <w:t>矿</w:t>
      </w:r>
      <w:r>
        <w:rPr>
          <w:sz w:val="28"/>
          <w:szCs w:val="28"/>
        </w:rPr>
        <w:t>区总</w:t>
      </w:r>
      <w:r>
        <w:rPr>
          <w:rFonts w:hint="eastAsia"/>
          <w:sz w:val="28"/>
          <w:szCs w:val="28"/>
          <w:lang w:val="en-US" w:eastAsia="zh-CN"/>
        </w:rPr>
        <w:t>占地面积为</w:t>
      </w:r>
      <w:r>
        <w:rPr>
          <w:rFonts w:hint="eastAsia"/>
          <w:lang w:val="en-US" w:eastAsia="zh-CN"/>
        </w:rPr>
        <w:t>**.****</w:t>
      </w:r>
      <w:r>
        <w:rPr>
          <w:sz w:val="28"/>
          <w:szCs w:val="28"/>
        </w:rPr>
        <w:t>hm</w:t>
      </w:r>
      <w:r>
        <w:rPr>
          <w:sz w:val="28"/>
          <w:szCs w:val="28"/>
          <w:vertAlign w:val="superscript"/>
        </w:rPr>
        <w:t>2</w:t>
      </w:r>
      <w:r>
        <w:rPr>
          <w:rFonts w:hint="eastAsia"/>
          <w:sz w:val="28"/>
          <w:szCs w:val="28"/>
          <w:vertAlign w:val="baseline"/>
          <w:lang w:eastAsia="zh-CN"/>
        </w:rPr>
        <w:t>，</w:t>
      </w:r>
      <w:r>
        <w:rPr>
          <w:rFonts w:hint="eastAsia"/>
          <w:sz w:val="28"/>
          <w:szCs w:val="28"/>
          <w:vertAlign w:val="baseline"/>
          <w:lang w:val="en-US" w:eastAsia="zh-CN"/>
        </w:rPr>
        <w:t>其中采场占地面积为*.****</w:t>
      </w:r>
      <w:r>
        <w:rPr>
          <w:sz w:val="28"/>
          <w:szCs w:val="28"/>
        </w:rPr>
        <w:t>hm</w:t>
      </w:r>
      <w:r>
        <w:rPr>
          <w:sz w:val="28"/>
          <w:szCs w:val="28"/>
          <w:vertAlign w:val="superscript"/>
        </w:rPr>
        <w:t>2</w:t>
      </w:r>
      <w:r>
        <w:rPr>
          <w:rFonts w:hint="eastAsia"/>
          <w:sz w:val="28"/>
          <w:szCs w:val="28"/>
          <w:vertAlign w:val="baseline"/>
          <w:lang w:eastAsia="zh-CN"/>
        </w:rPr>
        <w:t>，</w:t>
      </w:r>
      <w:r>
        <w:rPr>
          <w:rFonts w:hint="eastAsia"/>
          <w:color w:val="auto"/>
        </w:rPr>
        <w:t>办公</w:t>
      </w:r>
      <w:r>
        <w:rPr>
          <w:rFonts w:hint="eastAsia"/>
          <w:color w:val="auto"/>
          <w:lang w:val="en-US" w:eastAsia="zh-CN"/>
        </w:rPr>
        <w:t>区1面积为*.****</w:t>
      </w:r>
      <w:r>
        <w:rPr>
          <w:sz w:val="28"/>
          <w:szCs w:val="28"/>
        </w:rPr>
        <w:t>hm</w:t>
      </w:r>
      <w:r>
        <w:rPr>
          <w:sz w:val="28"/>
          <w:szCs w:val="28"/>
          <w:vertAlign w:val="superscript"/>
        </w:rPr>
        <w:t>2</w:t>
      </w:r>
      <w:r>
        <w:rPr>
          <w:rFonts w:hint="eastAsia"/>
          <w:color w:val="auto"/>
          <w:vertAlign w:val="baseline"/>
          <w:lang w:val="en-US" w:eastAsia="zh-CN"/>
        </w:rPr>
        <w:t>、办公区2面积为*.****</w:t>
      </w:r>
      <w:r>
        <w:rPr>
          <w:sz w:val="28"/>
          <w:szCs w:val="28"/>
        </w:rPr>
        <w:t>hm</w:t>
      </w:r>
      <w:r>
        <w:rPr>
          <w:sz w:val="28"/>
          <w:szCs w:val="28"/>
          <w:vertAlign w:val="superscript"/>
        </w:rPr>
        <w:t>2</w:t>
      </w:r>
      <w:r>
        <w:rPr>
          <w:rFonts w:hint="eastAsia"/>
          <w:color w:val="auto"/>
          <w:vertAlign w:val="baseline"/>
          <w:lang w:val="en-US" w:eastAsia="zh-CN"/>
        </w:rPr>
        <w:t>、</w:t>
      </w:r>
      <w:r>
        <w:rPr>
          <w:rFonts w:hint="eastAsia"/>
          <w:color w:val="auto"/>
          <w:lang w:val="en-US" w:eastAsia="zh-CN"/>
        </w:rPr>
        <w:t>排土场面积为*.****</w:t>
      </w:r>
      <w:r>
        <w:rPr>
          <w:sz w:val="28"/>
          <w:szCs w:val="28"/>
        </w:rPr>
        <w:t>hm</w:t>
      </w:r>
      <w:r>
        <w:rPr>
          <w:sz w:val="28"/>
          <w:szCs w:val="28"/>
          <w:vertAlign w:val="superscript"/>
        </w:rPr>
        <w:t>2</w:t>
      </w:r>
      <w:r>
        <w:rPr>
          <w:rFonts w:hint="eastAsia"/>
          <w:color w:val="auto"/>
          <w:vertAlign w:val="baseline"/>
          <w:lang w:val="en-US" w:eastAsia="zh-CN"/>
        </w:rPr>
        <w:t>、</w:t>
      </w:r>
      <w:r>
        <w:rPr>
          <w:rFonts w:hint="eastAsia"/>
          <w:color w:val="auto"/>
          <w:lang w:val="en-US" w:eastAsia="zh-CN"/>
        </w:rPr>
        <w:t>工业广场面积为*.****</w:t>
      </w:r>
      <w:r>
        <w:rPr>
          <w:sz w:val="28"/>
          <w:szCs w:val="28"/>
        </w:rPr>
        <w:t>hm</w:t>
      </w:r>
      <w:r>
        <w:rPr>
          <w:sz w:val="28"/>
          <w:szCs w:val="28"/>
          <w:vertAlign w:val="superscript"/>
        </w:rPr>
        <w:t>2</w:t>
      </w:r>
      <w:r>
        <w:rPr>
          <w:rFonts w:hint="eastAsia"/>
          <w:color w:val="auto"/>
          <w:vertAlign w:val="baseline"/>
          <w:lang w:val="en-US" w:eastAsia="zh-CN"/>
        </w:rPr>
        <w:t>，影响区面积为*.****</w:t>
      </w:r>
      <w:r>
        <w:rPr>
          <w:sz w:val="28"/>
          <w:szCs w:val="28"/>
        </w:rPr>
        <w:t>hm</w:t>
      </w:r>
      <w:r>
        <w:rPr>
          <w:sz w:val="28"/>
          <w:szCs w:val="28"/>
          <w:vertAlign w:val="superscript"/>
        </w:rPr>
        <w:t>2</w:t>
      </w:r>
      <w:r>
        <w:rPr>
          <w:rFonts w:hint="eastAsia"/>
          <w:sz w:val="28"/>
          <w:szCs w:val="28"/>
        </w:rPr>
        <w:t>。</w:t>
      </w:r>
      <w:r>
        <w:rPr>
          <w:sz w:val="28"/>
          <w:szCs w:val="28"/>
        </w:rPr>
        <w:t>土地类型包括有</w:t>
      </w:r>
      <w:r>
        <w:rPr>
          <w:rFonts w:hint="eastAsia"/>
          <w:sz w:val="28"/>
          <w:szCs w:val="28"/>
          <w:lang w:val="en-US" w:eastAsia="zh-CN"/>
        </w:rPr>
        <w:t>耕地、</w:t>
      </w:r>
      <w:r>
        <w:rPr>
          <w:sz w:val="28"/>
          <w:szCs w:val="28"/>
        </w:rPr>
        <w:t>林地、</w:t>
      </w:r>
      <w:r>
        <w:rPr>
          <w:rFonts w:hint="eastAsia"/>
          <w:sz w:val="28"/>
          <w:szCs w:val="28"/>
          <w:lang w:val="en-US" w:eastAsia="zh-CN"/>
        </w:rPr>
        <w:t>草地、</w:t>
      </w:r>
      <w:r>
        <w:rPr>
          <w:sz w:val="28"/>
          <w:szCs w:val="28"/>
        </w:rPr>
        <w:t>工矿仓储用地、</w:t>
      </w:r>
      <w:r>
        <w:rPr>
          <w:rFonts w:hint="eastAsia"/>
          <w:lang w:val="en-US" w:eastAsia="zh-CN"/>
        </w:rPr>
        <w:t>水域及水利设施用地</w:t>
      </w:r>
      <w:r>
        <w:rPr>
          <w:sz w:val="28"/>
          <w:szCs w:val="28"/>
        </w:rPr>
        <w:t>。</w:t>
      </w:r>
      <w:r>
        <w:rPr>
          <w:rFonts w:hint="eastAsia"/>
          <w:sz w:val="28"/>
          <w:szCs w:val="28"/>
          <w:lang w:val="en-US" w:eastAsia="zh-CN"/>
        </w:rPr>
        <w:t>所占耕地不占用基本农田，采矿用地等已取得租赁合同。</w:t>
      </w:r>
      <w:r>
        <w:rPr>
          <w:sz w:val="28"/>
          <w:szCs w:val="28"/>
        </w:rPr>
        <w:t>土地权属人为</w:t>
      </w:r>
      <w:r>
        <w:rPr>
          <w:rFonts w:hint="eastAsia"/>
          <w:sz w:val="28"/>
          <w:szCs w:val="28"/>
        </w:rPr>
        <w:t>江川农场</w:t>
      </w:r>
      <w:r>
        <w:rPr>
          <w:rFonts w:hint="eastAsia"/>
          <w:sz w:val="28"/>
          <w:szCs w:val="28"/>
          <w:lang w:val="en-US" w:eastAsia="zh-CN"/>
        </w:rPr>
        <w:t>和</w:t>
      </w:r>
      <w:r>
        <w:rPr>
          <w:rFonts w:hint="eastAsia"/>
          <w:sz w:val="28"/>
          <w:szCs w:val="28"/>
        </w:rPr>
        <w:t>马库力村</w:t>
      </w:r>
      <w:r>
        <w:rPr>
          <w:sz w:val="28"/>
          <w:szCs w:val="28"/>
        </w:rPr>
        <w:t>，权属界限清楚无任何纠纷。项目区土地利用现状详见表</w:t>
      </w:r>
      <w:r>
        <w:rPr>
          <w:rFonts w:eastAsia="Times New Roman"/>
          <w:sz w:val="28"/>
          <w:szCs w:val="28"/>
        </w:rPr>
        <w:t>2-</w:t>
      </w:r>
      <w:r>
        <w:rPr>
          <w:rFonts w:hint="eastAsia" w:eastAsia="宋体"/>
          <w:sz w:val="28"/>
          <w:szCs w:val="28"/>
          <w:lang w:val="en-US" w:eastAsia="zh-CN"/>
        </w:rPr>
        <w:t>1</w:t>
      </w:r>
      <w:r>
        <w:rPr>
          <w:sz w:val="28"/>
          <w:szCs w:val="28"/>
        </w:rPr>
        <w:t>。</w:t>
      </w:r>
      <w:r>
        <w:rPr>
          <w:rFonts w:hint="eastAsia"/>
          <w:sz w:val="28"/>
          <w:szCs w:val="28"/>
          <w:shd w:val="clear" w:color="auto" w:fill="FFFFFF"/>
        </w:rPr>
        <w:t>矿区土地利用权属统计表</w:t>
      </w:r>
      <w:r>
        <w:rPr>
          <w:sz w:val="28"/>
          <w:szCs w:val="28"/>
          <w:shd w:val="clear" w:color="auto" w:fill="FFFFFF"/>
        </w:rPr>
        <w:t>见表</w:t>
      </w:r>
      <w:r>
        <w:rPr>
          <w:rFonts w:eastAsia="Times New Roman"/>
          <w:sz w:val="28"/>
          <w:szCs w:val="28"/>
          <w:shd w:val="clear" w:color="auto" w:fill="FFFFFF"/>
        </w:rPr>
        <w:t>2-</w:t>
      </w:r>
      <w:r>
        <w:rPr>
          <w:rFonts w:hint="eastAsia"/>
          <w:sz w:val="28"/>
          <w:szCs w:val="28"/>
          <w:shd w:val="clear" w:color="auto" w:fill="FFFFFF"/>
          <w:lang w:val="en-US" w:eastAsia="zh-CN"/>
        </w:rPr>
        <w:t>2</w:t>
      </w:r>
      <w:r>
        <w:rPr>
          <w:sz w:val="28"/>
          <w:szCs w:val="28"/>
        </w:rPr>
        <w:t>。</w:t>
      </w:r>
    </w:p>
    <w:p>
      <w:pPr>
        <w:pStyle w:val="8"/>
        <w:bidi w:val="0"/>
      </w:pPr>
      <w:r>
        <w:t>表2-</w:t>
      </w:r>
      <w:r>
        <w:rPr>
          <w:rFonts w:hint="eastAsia"/>
          <w:lang w:val="en-US" w:eastAsia="zh-CN"/>
        </w:rPr>
        <w:t>2</w:t>
      </w:r>
      <w:r>
        <w:rPr>
          <w:rFonts w:hint="eastAsia"/>
        </w:rPr>
        <w:t>矿</w:t>
      </w:r>
      <w:r>
        <w:t>区土地利用现状表</w:t>
      </w:r>
    </w:p>
    <w:tbl>
      <w:tblPr>
        <w:tblStyle w:val="16"/>
        <w:tblW w:w="497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0"/>
        <w:gridCol w:w="1656"/>
        <w:gridCol w:w="1290"/>
        <w:gridCol w:w="1722"/>
        <w:gridCol w:w="1441"/>
        <w:gridCol w:w="1233"/>
        <w:gridCol w:w="15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348" w:type="pct"/>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一级地类</w:t>
            </w:r>
          </w:p>
        </w:tc>
        <w:tc>
          <w:tcPr>
            <w:tcW w:w="1559" w:type="pct"/>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二级地类</w:t>
            </w:r>
          </w:p>
        </w:tc>
        <w:tc>
          <w:tcPr>
            <w:tcW w:w="64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面积（hm</w:t>
            </w:r>
            <w:r>
              <w:rPr>
                <w:rFonts w:hint="eastAsia"/>
                <w:vertAlign w:val="superscript"/>
                <w:lang w:val="en-US" w:eastAsia="zh-CN"/>
              </w:rPr>
              <w:t>2）</w:t>
            </w:r>
          </w:p>
        </w:tc>
        <w:tc>
          <w:tcPr>
            <w:tcW w:w="144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占面积比例（%）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编码</w:t>
            </w:r>
          </w:p>
        </w:tc>
        <w:tc>
          <w:tcPr>
            <w:tcW w:w="83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名称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编码</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名称</w:t>
            </w:r>
          </w:p>
        </w:tc>
        <w:tc>
          <w:tcPr>
            <w:tcW w:w="64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144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w:t>
            </w: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耕地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0103</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旱地</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w:t>
            </w: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林地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0301</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乔木林地</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w:t>
            </w: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0404</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其他草地</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w:t>
            </w: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工矿仓储用地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0602</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采矿用地</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w:t>
            </w: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交通运输用地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1006</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农村道路</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w:t>
            </w:r>
          </w:p>
        </w:tc>
        <w:tc>
          <w:tcPr>
            <w:tcW w:w="83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水域及水利设施用地</w:t>
            </w: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1104</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坑塘水面</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8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88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908" w:type="pct"/>
            <w:gridSpan w:val="4"/>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6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6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100.00 </w:t>
            </w:r>
          </w:p>
        </w:tc>
        <w:tc>
          <w:tcPr>
            <w:tcW w:w="81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100.00 </w:t>
            </w:r>
          </w:p>
        </w:tc>
      </w:tr>
    </w:tbl>
    <w:p>
      <w:pPr>
        <w:ind w:left="0" w:leftChars="0" w:firstLine="0" w:firstLineChars="0"/>
      </w:pPr>
    </w:p>
    <w:p>
      <w:pPr>
        <w:pStyle w:val="8"/>
        <w:rPr>
          <w:rFonts w:hint="default" w:eastAsia="黑体"/>
          <w:lang w:val="en-US" w:eastAsia="zh-CN"/>
        </w:rPr>
      </w:pPr>
      <w:r>
        <w:t xml:space="preserve">表 </w:t>
      </w:r>
      <w:r>
        <w:rPr>
          <w:rFonts w:hint="eastAsia"/>
          <w:lang w:val="en-US" w:eastAsia="zh-CN"/>
        </w:rPr>
        <w:t>2-3 矿区土地利用权属统计表</w:t>
      </w:r>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2"/>
        <w:gridCol w:w="851"/>
        <w:gridCol w:w="1122"/>
        <w:gridCol w:w="1110"/>
        <w:gridCol w:w="1102"/>
        <w:gridCol w:w="1423"/>
        <w:gridCol w:w="1050"/>
        <w:gridCol w:w="1253"/>
        <w:gridCol w:w="9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权属</w:t>
            </w:r>
          </w:p>
        </w:tc>
        <w:tc>
          <w:tcPr>
            <w:tcW w:w="4038" w:type="pct"/>
            <w:gridSpan w:val="7"/>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96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 耕地</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03 林地</w:t>
            </w:r>
          </w:p>
        </w:tc>
        <w:tc>
          <w:tcPr>
            <w:tcW w:w="55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04 草地</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04 工矿仓储用地</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10 交通运输用地</w:t>
            </w:r>
          </w:p>
        </w:tc>
        <w:tc>
          <w:tcPr>
            <w:tcW w:w="63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11 水域及水利设施用地</w:t>
            </w: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lang w:val="en-US" w:eastAsia="zh-CN"/>
              </w:rPr>
            </w:pPr>
            <w:r>
              <w:rPr>
                <w:rFonts w:hint="eastAsia"/>
                <w:lang w:val="en-US" w:eastAsia="zh-CN"/>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0103</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0301</w:t>
            </w:r>
          </w:p>
        </w:tc>
        <w:tc>
          <w:tcPr>
            <w:tcW w:w="55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0404</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0602</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1006</w:t>
            </w:r>
          </w:p>
        </w:tc>
        <w:tc>
          <w:tcPr>
            <w:tcW w:w="63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1104</w:t>
            </w: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96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55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其他草地</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农村道路</w:t>
            </w:r>
          </w:p>
        </w:tc>
        <w:tc>
          <w:tcPr>
            <w:tcW w:w="63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坑塘水面</w:t>
            </w: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53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黑龙江桦川县</w:t>
            </w:r>
          </w:p>
        </w:tc>
        <w:tc>
          <w:tcPr>
            <w:tcW w:w="4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江川农场</w:t>
            </w: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5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63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53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黑龙江桦川县</w:t>
            </w:r>
          </w:p>
        </w:tc>
        <w:tc>
          <w:tcPr>
            <w:tcW w:w="4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马库力村</w:t>
            </w: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56"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717"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63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961" w:type="pct"/>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566"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6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56"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717"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53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632"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47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 xml:space="preserve">**.**** </w:t>
            </w:r>
          </w:p>
        </w:tc>
      </w:tr>
    </w:tbl>
    <w:p>
      <w:pPr>
        <w:pStyle w:val="4"/>
        <w:spacing w:beforeLines="50"/>
      </w:pPr>
      <w:r>
        <w:t>（二）</w:t>
      </w:r>
      <w:r>
        <w:rPr>
          <w:rFonts w:hint="eastAsia"/>
        </w:rPr>
        <w:t>矿</w:t>
      </w:r>
      <w:r>
        <w:t>区土地特征</w:t>
      </w:r>
    </w:p>
    <w:p>
      <w:pPr>
        <w:pStyle w:val="5"/>
        <w:bidi w:val="0"/>
        <w:rPr>
          <w:rFonts w:hint="eastAsia" w:eastAsia="黑体"/>
          <w:lang w:eastAsia="zh-CN"/>
        </w:rPr>
      </w:pPr>
      <w:r>
        <w:rPr>
          <w:rFonts w:hint="eastAsia"/>
          <w:lang w:val="en-US" w:eastAsia="zh-CN"/>
        </w:rPr>
        <w:t>1</w:t>
      </w:r>
      <w:r>
        <w:t>.</w:t>
      </w:r>
      <w:r>
        <w:rPr>
          <w:rFonts w:hint="eastAsia"/>
          <w:lang w:val="en-US" w:eastAsia="zh-CN"/>
        </w:rPr>
        <w:t>耕地</w:t>
      </w:r>
    </w:p>
    <w:p>
      <w:pPr>
        <w:bidi w:val="0"/>
        <w:rPr>
          <w:rFonts w:hint="eastAsia" w:eastAsia="宋体"/>
          <w:lang w:val="en-US" w:eastAsia="zh-CN"/>
        </w:rPr>
      </w:pPr>
      <w:r>
        <w:t>项目区内</w:t>
      </w:r>
      <w:r>
        <w:rPr>
          <w:rFonts w:hint="eastAsia"/>
          <w:lang w:val="en-US" w:eastAsia="zh-CN"/>
        </w:rPr>
        <w:t>耕地</w:t>
      </w:r>
      <w:r>
        <w:t>面积</w:t>
      </w:r>
      <w:r>
        <w:rPr>
          <w:rFonts w:hint="eastAsia"/>
          <w:lang w:val="en-US" w:eastAsia="zh-CN"/>
        </w:rPr>
        <w:t>*.****</w:t>
      </w:r>
      <w:r>
        <w:t>hm</w:t>
      </w:r>
      <w:r>
        <w:rPr>
          <w:vertAlign w:val="superscript"/>
        </w:rPr>
        <w:t>2</w:t>
      </w:r>
      <w:r>
        <w:t>，占项目区面积</w:t>
      </w:r>
      <w:r>
        <w:rPr>
          <w:rFonts w:hint="eastAsia"/>
          <w:lang w:val="en-US" w:eastAsia="zh-CN"/>
        </w:rPr>
        <w:t>0.55</w:t>
      </w:r>
      <w:r>
        <w:t>%，</w:t>
      </w:r>
      <w:r>
        <w:rPr>
          <w:rFonts w:hint="eastAsia"/>
        </w:rPr>
        <w:t>为</w:t>
      </w:r>
      <w:r>
        <w:rPr>
          <w:rFonts w:hint="eastAsia"/>
          <w:lang w:val="en-US" w:eastAsia="zh-CN"/>
        </w:rPr>
        <w:t>旱地</w:t>
      </w:r>
      <w:r>
        <w:rPr>
          <w:rFonts w:hint="eastAsia"/>
        </w:rPr>
        <w:t>，</w:t>
      </w:r>
      <w:r>
        <w:t>权属为</w:t>
      </w:r>
      <w:r>
        <w:rPr>
          <w:rFonts w:hint="eastAsia"/>
          <w:lang w:val="en-US" w:eastAsia="zh-CN"/>
        </w:rPr>
        <w:t>江川农场及马库力村</w:t>
      </w:r>
      <w:r>
        <w:t>。</w:t>
      </w:r>
    </w:p>
    <w:p>
      <w:pPr>
        <w:pStyle w:val="5"/>
        <w:bidi w:val="0"/>
      </w:pPr>
      <w:r>
        <w:rPr>
          <w:rFonts w:hint="eastAsia"/>
          <w:lang w:val="en-US" w:eastAsia="zh-CN"/>
        </w:rPr>
        <w:t>2</w:t>
      </w:r>
      <w:r>
        <w:t>.林地</w:t>
      </w:r>
    </w:p>
    <w:p>
      <w:pPr>
        <w:bidi w:val="0"/>
      </w:pPr>
      <w:r>
        <w:t>项目区内林地面积</w:t>
      </w:r>
      <w:r>
        <w:rPr>
          <w:rFonts w:hint="eastAsia"/>
          <w:lang w:val="en-US" w:eastAsia="zh-CN"/>
        </w:rPr>
        <w:t>*.****</w:t>
      </w:r>
      <w:r>
        <w:t>hm</w:t>
      </w:r>
      <w:r>
        <w:rPr>
          <w:vertAlign w:val="superscript"/>
        </w:rPr>
        <w:t>2</w:t>
      </w:r>
      <w:r>
        <w:t>，占项目区面积</w:t>
      </w:r>
      <w:r>
        <w:rPr>
          <w:rFonts w:hint="eastAsia"/>
        </w:rPr>
        <w:t>2.99</w:t>
      </w:r>
      <w:r>
        <w:t>%，</w:t>
      </w:r>
      <w:r>
        <w:rPr>
          <w:rFonts w:hint="eastAsia"/>
        </w:rPr>
        <w:t>为</w:t>
      </w:r>
      <w:r>
        <w:rPr>
          <w:rFonts w:hint="eastAsia"/>
          <w:lang w:val="en-US" w:eastAsia="zh-CN"/>
        </w:rPr>
        <w:t>乔木林地</w:t>
      </w:r>
      <w:r>
        <w:rPr>
          <w:rFonts w:hint="eastAsia"/>
        </w:rPr>
        <w:t>，</w:t>
      </w:r>
      <w:r>
        <w:t>权属为</w:t>
      </w:r>
      <w:r>
        <w:rPr>
          <w:rFonts w:hint="eastAsia"/>
          <w:lang w:val="en-US" w:eastAsia="zh-CN"/>
        </w:rPr>
        <w:t>江川农场及马库力村</w:t>
      </w:r>
      <w:r>
        <w:t>。</w:t>
      </w:r>
    </w:p>
    <w:p>
      <w:pPr>
        <w:pStyle w:val="5"/>
        <w:bidi w:val="0"/>
        <w:rPr>
          <w:rFonts w:hint="eastAsia" w:eastAsia="黑体"/>
          <w:lang w:eastAsia="zh-CN"/>
        </w:rPr>
      </w:pPr>
      <w:r>
        <w:rPr>
          <w:rFonts w:hint="eastAsia"/>
          <w:lang w:val="en-US" w:eastAsia="zh-CN"/>
        </w:rPr>
        <w:t>3</w:t>
      </w:r>
      <w:r>
        <w:t>.</w:t>
      </w:r>
      <w:r>
        <w:rPr>
          <w:rFonts w:hint="eastAsia"/>
          <w:lang w:val="en-US" w:eastAsia="zh-CN"/>
        </w:rPr>
        <w:t>草地</w:t>
      </w:r>
    </w:p>
    <w:p>
      <w:pPr>
        <w:bidi w:val="0"/>
      </w:pPr>
      <w:r>
        <w:t>项目区内</w:t>
      </w:r>
      <w:r>
        <w:rPr>
          <w:rFonts w:hint="eastAsia"/>
          <w:lang w:val="en-US" w:eastAsia="zh-CN"/>
        </w:rPr>
        <w:t>草地</w:t>
      </w:r>
      <w:r>
        <w:t>面积</w:t>
      </w:r>
      <w:r>
        <w:rPr>
          <w:rFonts w:hint="eastAsia"/>
          <w:lang w:val="en-US" w:eastAsia="zh-CN"/>
        </w:rPr>
        <w:t>*.****</w:t>
      </w:r>
      <w:r>
        <w:t>hm</w:t>
      </w:r>
      <w:r>
        <w:rPr>
          <w:vertAlign w:val="superscript"/>
        </w:rPr>
        <w:t>2</w:t>
      </w:r>
      <w:r>
        <w:t>，占项目区面积</w:t>
      </w:r>
      <w:r>
        <w:rPr>
          <w:rFonts w:hint="eastAsia"/>
          <w:lang w:val="en-US" w:eastAsia="zh-CN"/>
        </w:rPr>
        <w:t>0.85</w:t>
      </w:r>
      <w:r>
        <w:t>%，</w:t>
      </w:r>
      <w:r>
        <w:rPr>
          <w:rFonts w:hint="eastAsia"/>
        </w:rPr>
        <w:t>为</w:t>
      </w:r>
      <w:r>
        <w:rPr>
          <w:rFonts w:hint="eastAsia"/>
          <w:lang w:val="en-US" w:eastAsia="zh-CN"/>
        </w:rPr>
        <w:t>其他草地</w:t>
      </w:r>
      <w:r>
        <w:rPr>
          <w:rFonts w:hint="eastAsia"/>
        </w:rPr>
        <w:t>，</w:t>
      </w:r>
      <w:r>
        <w:t>权属为</w:t>
      </w:r>
      <w:r>
        <w:rPr>
          <w:rFonts w:hint="eastAsia"/>
          <w:lang w:val="en-US" w:eastAsia="zh-CN"/>
        </w:rPr>
        <w:t>江川农场</w:t>
      </w:r>
      <w:r>
        <w:t>。</w:t>
      </w:r>
    </w:p>
    <w:p>
      <w:pPr>
        <w:pStyle w:val="5"/>
        <w:bidi w:val="0"/>
        <w:rPr>
          <w:rFonts w:hint="eastAsia" w:eastAsia="黑体"/>
          <w:lang w:val="en-US" w:eastAsia="zh-CN"/>
        </w:rPr>
      </w:pPr>
      <w:r>
        <w:rPr>
          <w:rFonts w:hint="eastAsia"/>
          <w:lang w:val="en-US" w:eastAsia="zh-CN"/>
        </w:rPr>
        <w:t>4</w:t>
      </w:r>
      <w:r>
        <w:t>.</w:t>
      </w:r>
      <w:r>
        <w:rPr>
          <w:rFonts w:hint="eastAsia"/>
          <w:lang w:val="en-US" w:eastAsia="zh-CN"/>
        </w:rPr>
        <w:t xml:space="preserve">工矿仓储用地 </w:t>
      </w:r>
    </w:p>
    <w:p>
      <w:pPr>
        <w:ind w:firstLine="560"/>
        <w:rPr>
          <w:sz w:val="28"/>
          <w:szCs w:val="28"/>
        </w:rPr>
      </w:pPr>
      <w:r>
        <w:rPr>
          <w:sz w:val="28"/>
          <w:szCs w:val="28"/>
        </w:rPr>
        <w:t>项目区内</w:t>
      </w:r>
      <w:r>
        <w:rPr>
          <w:rFonts w:hint="eastAsia"/>
          <w:sz w:val="28"/>
        </w:rPr>
        <w:t>工矿用地</w:t>
      </w:r>
      <w:r>
        <w:rPr>
          <w:sz w:val="28"/>
          <w:szCs w:val="28"/>
        </w:rPr>
        <w:t>面积</w:t>
      </w:r>
      <w:r>
        <w:rPr>
          <w:rFonts w:hint="eastAsia"/>
          <w:sz w:val="28"/>
          <w:szCs w:val="28"/>
        </w:rPr>
        <w:t>**.****</w:t>
      </w:r>
      <w:r>
        <w:rPr>
          <w:sz w:val="28"/>
          <w:szCs w:val="28"/>
        </w:rPr>
        <w:t>hm</w:t>
      </w:r>
      <w:r>
        <w:rPr>
          <w:sz w:val="28"/>
          <w:szCs w:val="28"/>
          <w:vertAlign w:val="superscript"/>
        </w:rPr>
        <w:t>2</w:t>
      </w:r>
      <w:r>
        <w:rPr>
          <w:sz w:val="28"/>
          <w:szCs w:val="28"/>
        </w:rPr>
        <w:t>，占项目区面积</w:t>
      </w:r>
      <w:r>
        <w:rPr>
          <w:rFonts w:hint="eastAsia"/>
          <w:lang w:val="en-US" w:eastAsia="zh-CN"/>
        </w:rPr>
        <w:t>92.68</w:t>
      </w:r>
      <w:r>
        <w:rPr>
          <w:sz w:val="28"/>
          <w:szCs w:val="28"/>
        </w:rPr>
        <w:t>%，全部为</w:t>
      </w:r>
      <w:r>
        <w:rPr>
          <w:rFonts w:hint="eastAsia"/>
          <w:sz w:val="28"/>
          <w:szCs w:val="28"/>
        </w:rPr>
        <w:t>采矿用地，</w:t>
      </w:r>
      <w:r>
        <w:rPr>
          <w:sz w:val="28"/>
          <w:szCs w:val="28"/>
        </w:rPr>
        <w:t>权属为</w:t>
      </w:r>
      <w:r>
        <w:rPr>
          <w:rFonts w:hint="eastAsia"/>
          <w:lang w:val="en-US" w:eastAsia="zh-CN"/>
        </w:rPr>
        <w:t>江川农场及马库力村</w:t>
      </w:r>
      <w:r>
        <w:rPr>
          <w:sz w:val="28"/>
          <w:szCs w:val="28"/>
        </w:rPr>
        <w:t>。</w:t>
      </w:r>
    </w:p>
    <w:p>
      <w:pPr>
        <w:pStyle w:val="5"/>
        <w:bidi w:val="0"/>
      </w:pPr>
      <w:r>
        <w:rPr>
          <w:rFonts w:hint="eastAsia"/>
          <w:lang w:val="en-US" w:eastAsia="zh-CN"/>
        </w:rPr>
        <w:t>5</w:t>
      </w:r>
      <w:r>
        <w:t>.</w:t>
      </w:r>
      <w:r>
        <w:rPr>
          <w:rFonts w:hint="eastAsia"/>
          <w:lang w:val="en-US" w:eastAsia="zh-CN"/>
        </w:rPr>
        <w:t>交通运输用地</w:t>
      </w:r>
    </w:p>
    <w:p>
      <w:pPr>
        <w:bidi w:val="0"/>
      </w:pPr>
      <w:r>
        <w:t>项目区内</w:t>
      </w:r>
      <w:r>
        <w:rPr>
          <w:rFonts w:hint="eastAsia"/>
          <w:lang w:val="en-US" w:eastAsia="zh-CN"/>
        </w:rPr>
        <w:t>交通运输用地</w:t>
      </w:r>
      <w:r>
        <w:t>面积</w:t>
      </w:r>
      <w:r>
        <w:rPr>
          <w:rFonts w:hint="eastAsia"/>
        </w:rPr>
        <w:t>*.****</w:t>
      </w:r>
      <w:r>
        <w:t>hm</w:t>
      </w:r>
      <w:r>
        <w:rPr>
          <w:vertAlign w:val="superscript"/>
        </w:rPr>
        <w:t>2</w:t>
      </w:r>
      <w:r>
        <w:t>，占项目区面积</w:t>
      </w:r>
      <w:r>
        <w:rPr>
          <w:rFonts w:hint="eastAsia"/>
          <w:lang w:val="en-US" w:eastAsia="zh-CN"/>
        </w:rPr>
        <w:t>2.05</w:t>
      </w:r>
      <w:r>
        <w:t>%，全部为</w:t>
      </w:r>
      <w:r>
        <w:rPr>
          <w:rFonts w:hint="eastAsia"/>
          <w:lang w:val="en-US" w:eastAsia="zh-CN"/>
        </w:rPr>
        <w:t>农村道路</w:t>
      </w:r>
      <w:r>
        <w:rPr>
          <w:rFonts w:hint="eastAsia"/>
        </w:rPr>
        <w:t>用地，</w:t>
      </w:r>
      <w:r>
        <w:t>权属为</w:t>
      </w:r>
      <w:r>
        <w:rPr>
          <w:rFonts w:hint="eastAsia"/>
          <w:lang w:val="en-US" w:eastAsia="zh-CN"/>
        </w:rPr>
        <w:t>江川农场及马库力村</w:t>
      </w:r>
      <w:r>
        <w:t>。</w:t>
      </w:r>
    </w:p>
    <w:p>
      <w:pPr>
        <w:pStyle w:val="5"/>
        <w:bidi w:val="0"/>
      </w:pPr>
      <w:r>
        <w:rPr>
          <w:rFonts w:hint="eastAsia"/>
          <w:lang w:val="en-US" w:eastAsia="zh-CN"/>
        </w:rPr>
        <w:t>6</w:t>
      </w:r>
      <w:r>
        <w:t>.</w:t>
      </w:r>
      <w:r>
        <w:rPr>
          <w:rFonts w:hint="eastAsia"/>
          <w:lang w:val="en-US" w:eastAsia="zh-CN"/>
        </w:rPr>
        <w:t>水域及水利设施用地</w:t>
      </w:r>
    </w:p>
    <w:p>
      <w:pPr>
        <w:bidi w:val="0"/>
      </w:pPr>
      <w:r>
        <w:t>项目区内</w:t>
      </w:r>
      <w:r>
        <w:rPr>
          <w:rFonts w:hint="eastAsia"/>
          <w:lang w:val="en-US" w:eastAsia="zh-CN"/>
        </w:rPr>
        <w:t>水域及水利设施用地</w:t>
      </w:r>
      <w:r>
        <w:t>面积</w:t>
      </w:r>
      <w:r>
        <w:rPr>
          <w:rFonts w:hint="eastAsia"/>
          <w:lang w:val="en-US" w:eastAsia="zh-CN"/>
        </w:rPr>
        <w:t>*.****</w:t>
      </w:r>
      <w:r>
        <w:t>hm</w:t>
      </w:r>
      <w:r>
        <w:rPr>
          <w:vertAlign w:val="superscript"/>
        </w:rPr>
        <w:t>2</w:t>
      </w:r>
      <w:r>
        <w:t>，占项目区面积</w:t>
      </w:r>
      <w:r>
        <w:rPr>
          <w:rFonts w:hint="eastAsia"/>
          <w:lang w:val="en-US" w:eastAsia="zh-CN"/>
        </w:rPr>
        <w:t>0.87</w:t>
      </w:r>
      <w:r>
        <w:t>%，全部为</w:t>
      </w:r>
      <w:r>
        <w:rPr>
          <w:rFonts w:hint="eastAsia"/>
          <w:lang w:val="en-US" w:eastAsia="zh-CN"/>
        </w:rPr>
        <w:t>坑塘水面</w:t>
      </w:r>
      <w:r>
        <w:rPr>
          <w:rFonts w:hint="eastAsia"/>
        </w:rPr>
        <w:t>，</w:t>
      </w:r>
      <w:r>
        <w:t>权属为</w:t>
      </w:r>
      <w:r>
        <w:rPr>
          <w:rFonts w:hint="eastAsia"/>
          <w:lang w:val="en-US" w:eastAsia="zh-CN"/>
        </w:rPr>
        <w:t>江川农场</w:t>
      </w:r>
      <w:r>
        <w:t>。</w:t>
      </w:r>
    </w:p>
    <w:p>
      <w:pPr>
        <w:pStyle w:val="3"/>
        <w:bidi w:val="0"/>
      </w:pPr>
      <w:bookmarkStart w:id="45" w:name="_Toc28172"/>
      <w:r>
        <w:t>五、矿区生态状况</w:t>
      </w:r>
      <w:bookmarkEnd w:id="45"/>
    </w:p>
    <w:p>
      <w:pPr>
        <w:pStyle w:val="4"/>
        <w:bidi w:val="0"/>
      </w:pPr>
      <w:r>
        <w:t>（一）生态本底状况</w:t>
      </w:r>
    </w:p>
    <w:p>
      <w:pPr>
        <w:pStyle w:val="5"/>
        <w:bidi w:val="0"/>
      </w:pPr>
      <w:r>
        <w:t>1.自然地理特征</w:t>
      </w:r>
    </w:p>
    <w:p>
      <w:pPr>
        <w:ind w:firstLine="560"/>
        <w:rPr>
          <w:sz w:val="28"/>
          <w:szCs w:val="28"/>
        </w:rPr>
      </w:pPr>
      <w:r>
        <w:rPr>
          <w:rFonts w:hint="eastAsia"/>
          <w:sz w:val="28"/>
          <w:szCs w:val="28"/>
        </w:rPr>
        <w:t>区域大地构造位置属兴凯湖—布列亚山地块区佳木斯隆起西格木凹陷盆地</w:t>
      </w:r>
      <w:r>
        <w:rPr>
          <w:sz w:val="28"/>
          <w:szCs w:val="28"/>
        </w:rPr>
        <w:t>，</w:t>
      </w:r>
      <w:r>
        <w:rPr>
          <w:bCs/>
          <w:sz w:val="28"/>
          <w:szCs w:val="28"/>
        </w:rPr>
        <w:t>属中温带大陆性季风气候</w:t>
      </w:r>
      <w:r>
        <w:rPr>
          <w:sz w:val="28"/>
          <w:szCs w:val="28"/>
        </w:rPr>
        <w:t>。</w:t>
      </w:r>
      <w:r>
        <w:rPr>
          <w:sz w:val="28"/>
          <w:szCs w:val="28"/>
          <w:shd w:val="clear" w:color="auto" w:fill="FFFFFF"/>
        </w:rPr>
        <w:t>年平均气温为3.2℃。最冷为1月，平均气温为零下19.8℃；最低气温为零下39.7℃；最热为7月，月平均气温为22.3℃；最高气温为零上36.8℃；年均降水量为</w:t>
      </w:r>
      <w:r>
        <w:rPr>
          <w:rFonts w:hint="eastAsia"/>
        </w:rPr>
        <w:t>541.9</w:t>
      </w:r>
      <w:r>
        <w:rPr>
          <w:rFonts w:hint="default"/>
        </w:rPr>
        <w:t>mm</w:t>
      </w:r>
      <w:r>
        <w:rPr>
          <w:sz w:val="28"/>
          <w:szCs w:val="28"/>
          <w:shd w:val="clear" w:color="auto" w:fill="FFFFFF"/>
        </w:rPr>
        <w:t>。全年以西南风和西风为主</w:t>
      </w:r>
      <w:r>
        <w:rPr>
          <w:bCs/>
          <w:sz w:val="28"/>
          <w:szCs w:val="28"/>
        </w:rPr>
        <w:t>。矿区地貌主要为低山</w:t>
      </w:r>
      <w:r>
        <w:rPr>
          <w:rFonts w:hint="eastAsia"/>
          <w:bCs/>
          <w:sz w:val="28"/>
          <w:szCs w:val="28"/>
          <w:lang w:val="en-US" w:eastAsia="zh-CN"/>
        </w:rPr>
        <w:t>丘陵区</w:t>
      </w:r>
      <w:r>
        <w:rPr>
          <w:sz w:val="28"/>
          <w:szCs w:val="28"/>
        </w:rPr>
        <w:t>。</w:t>
      </w:r>
    </w:p>
    <w:p>
      <w:pPr>
        <w:pStyle w:val="5"/>
        <w:bidi w:val="0"/>
      </w:pPr>
      <w:r>
        <w:t>2.生态系统类型与结构</w:t>
      </w:r>
    </w:p>
    <w:p>
      <w:pPr>
        <w:bidi w:val="0"/>
      </w:pPr>
      <w:r>
        <w:rPr>
          <w:rFonts w:hint="eastAsia"/>
          <w:lang w:eastAsia="zh-CN"/>
        </w:rPr>
        <w:t>（1）</w:t>
      </w:r>
      <w:r>
        <w:t>植被覆盖</w:t>
      </w:r>
    </w:p>
    <w:p>
      <w:pPr>
        <w:ind w:firstLine="560"/>
        <w:rPr>
          <w:bCs/>
          <w:sz w:val="28"/>
          <w:szCs w:val="28"/>
        </w:rPr>
      </w:pPr>
      <w:r>
        <w:rPr>
          <w:bCs/>
          <w:sz w:val="28"/>
          <w:szCs w:val="28"/>
        </w:rPr>
        <w:t xml:space="preserve">根据《中国植被区划》，本项目位于 </w:t>
      </w:r>
      <w:r>
        <w:rPr>
          <w:rFonts w:hint="eastAsia"/>
          <w:bCs/>
          <w:sz w:val="28"/>
          <w:szCs w:val="28"/>
          <w:lang w:eastAsia="zh-CN"/>
        </w:rPr>
        <w:t>Ⅱ</w:t>
      </w:r>
      <w:r>
        <w:rPr>
          <w:bCs/>
          <w:sz w:val="28"/>
          <w:szCs w:val="28"/>
        </w:rPr>
        <w:t xml:space="preserve"> 温带针叶阔叶混交林区域—A.温带北部针阔叶混交林地带—小兴安岭、完达山地红松针阔叶混交林区，评价区植被群落涵盖针阔混合林、灌丛、草地，此外间杂大量农田等。从实地调查情况看，由于</w:t>
      </w:r>
      <w:r>
        <w:rPr>
          <w:rFonts w:hint="eastAsia"/>
          <w:bCs/>
          <w:sz w:val="28"/>
          <w:szCs w:val="28"/>
          <w:lang w:eastAsia="zh-CN"/>
        </w:rPr>
        <w:t>受</w:t>
      </w:r>
      <w:r>
        <w:rPr>
          <w:bCs/>
          <w:sz w:val="28"/>
          <w:szCs w:val="28"/>
        </w:rPr>
        <w:t>人为活动的长期影响，主要是矿区开采及农业生产、生活的影响，评价区植被类型已经发生许多变化，原生植被已大量遭受破坏，次生植被大量增加。从整体上看，评价区内的自然植被均带有次生性质。</w:t>
      </w:r>
    </w:p>
    <w:p>
      <w:pPr>
        <w:widowControl/>
        <w:ind w:firstLine="560"/>
        <w:jc w:val="left"/>
        <w:rPr>
          <w:kern w:val="0"/>
          <w:sz w:val="28"/>
          <w:szCs w:val="28"/>
        </w:rPr>
      </w:pPr>
      <w:r>
        <w:rPr>
          <w:kern w:val="0"/>
          <w:sz w:val="28"/>
          <w:szCs w:val="28"/>
        </w:rPr>
        <w:t>经过实地调查和资料收集，本项目评价区主要生态系统类型包括森林生态系统、草原生态系统和农业生态系统，以农业生态系统为主，森林生态系统主要分布于</w:t>
      </w:r>
      <w:r>
        <w:rPr>
          <w:rFonts w:hint="eastAsia"/>
          <w:kern w:val="0"/>
          <w:sz w:val="28"/>
          <w:szCs w:val="28"/>
          <w:lang w:val="en-US" w:eastAsia="zh-CN"/>
        </w:rPr>
        <w:t>矿区西侧</w:t>
      </w:r>
      <w:r>
        <w:rPr>
          <w:kern w:val="0"/>
          <w:sz w:val="28"/>
          <w:szCs w:val="28"/>
        </w:rPr>
        <w:t>山区附近，未发现国家和省级重点保护的植物种类。</w:t>
      </w:r>
    </w:p>
    <w:p>
      <w:pPr>
        <w:bidi w:val="0"/>
      </w:pPr>
      <w:r>
        <w:rPr>
          <w:rFonts w:hint="eastAsia"/>
          <w:lang w:eastAsia="zh-CN"/>
        </w:rPr>
        <w:t>（2）</w:t>
      </w:r>
      <w:r>
        <w:t>水系网络</w:t>
      </w:r>
    </w:p>
    <w:p>
      <w:pPr>
        <w:bidi w:val="0"/>
      </w:pPr>
      <w:r>
        <w:rPr>
          <w:lang w:val="zh-CN"/>
        </w:rPr>
        <w:t>矿区内水系不发育，沟谷雨季可成小溪，流量小，</w:t>
      </w:r>
      <w:r>
        <w:rPr>
          <w:rFonts w:hint="eastAsia"/>
          <w:lang w:val="en-US" w:eastAsia="zh-CN"/>
        </w:rPr>
        <w:t>通过水泵排出厂区</w:t>
      </w:r>
      <w:r>
        <w:t>。</w:t>
      </w:r>
    </w:p>
    <w:p>
      <w:pPr>
        <w:pStyle w:val="4"/>
        <w:bidi w:val="0"/>
      </w:pPr>
      <w:r>
        <w:t>（二）生态功能定位</w:t>
      </w:r>
    </w:p>
    <w:p>
      <w:pPr>
        <w:bidi w:val="0"/>
      </w:pPr>
      <w:r>
        <w:t>依据《</w:t>
      </w:r>
      <w:r>
        <w:rPr>
          <w:rFonts w:hint="eastAsia"/>
          <w:lang w:val="en-US" w:eastAsia="zh-CN"/>
        </w:rPr>
        <w:t>桦川县国土空间规划2021-2035</w:t>
      </w:r>
      <w:r>
        <w:t>》，矿区所处区域不在各项生态环境管控单元范围之内。</w:t>
      </w:r>
    </w:p>
    <w:p>
      <w:pPr>
        <w:pStyle w:val="4"/>
        <w:bidi w:val="0"/>
      </w:pPr>
      <w:r>
        <w:t>（三）生态功能定位生物多样性状况</w:t>
      </w:r>
    </w:p>
    <w:p>
      <w:pPr>
        <w:pStyle w:val="5"/>
        <w:bidi w:val="0"/>
      </w:pPr>
      <w:r>
        <w:t>1.物种名录</w:t>
      </w:r>
    </w:p>
    <w:p>
      <w:pPr>
        <w:bidi w:val="0"/>
      </w:pPr>
      <w:r>
        <w:rPr>
          <w:rFonts w:hint="eastAsia"/>
          <w:lang w:eastAsia="zh-CN"/>
        </w:rPr>
        <w:t>（1）</w:t>
      </w:r>
      <w:r>
        <w:t>植物多样性</w:t>
      </w:r>
    </w:p>
    <w:p>
      <w:pPr>
        <w:bidi w:val="0"/>
      </w:pPr>
      <w:r>
        <w:rPr>
          <w:rFonts w:hint="eastAsia"/>
          <w:lang w:val="en-US" w:eastAsia="zh-CN"/>
        </w:rPr>
        <w:t>主要林地</w:t>
      </w:r>
      <w:r>
        <w:t>有松、椴、柞、桦、杨等20多个树种。</w:t>
      </w:r>
    </w:p>
    <w:p>
      <w:pPr>
        <w:bidi w:val="0"/>
      </w:pPr>
      <w:r>
        <w:t>山野菜资源主要有蕨菜、刺嫩芽等300多种山野菜。</w:t>
      </w:r>
    </w:p>
    <w:p>
      <w:pPr>
        <w:bidi w:val="0"/>
      </w:pPr>
      <w:r>
        <w:t>药用植物</w:t>
      </w:r>
      <w:r>
        <w:rPr>
          <w:rFonts w:hint="eastAsia"/>
          <w:lang w:eastAsia="zh-CN"/>
        </w:rPr>
        <w:t>主</w:t>
      </w:r>
      <w:r>
        <w:t>要有菊科药用植物有34种，包括紫菀、苍耳、关苍术等。此外，还有人参、水飞蓟、五味子等20多个中草药品种 。</w:t>
      </w:r>
    </w:p>
    <w:p>
      <w:pPr>
        <w:bidi w:val="0"/>
      </w:pPr>
      <w:r>
        <w:t>藤本植物主要有山葡萄、五味子、猕猴桃等10余种。</w:t>
      </w:r>
    </w:p>
    <w:p>
      <w:pPr>
        <w:bidi w:val="0"/>
      </w:pPr>
      <w:r>
        <w:t>农业种植以大豆、玉米、水稻等粮食作物为主，还有红小豆、白瓜籽等经济作物。</w:t>
      </w:r>
    </w:p>
    <w:p>
      <w:pPr>
        <w:bidi w:val="0"/>
      </w:pPr>
      <w:r>
        <w:rPr>
          <w:rFonts w:hint="eastAsia"/>
          <w:lang w:eastAsia="zh-CN"/>
        </w:rPr>
        <w:t>（2）</w:t>
      </w:r>
      <w:r>
        <w:t>动物多样性</w:t>
      </w:r>
    </w:p>
    <w:p>
      <w:pPr>
        <w:bidi w:val="0"/>
      </w:pPr>
      <w:r>
        <w:t>兽类：有狍子、野猪、狐狸、獾、松鼠等常见兽类，偶见貉、麝等小型珍稀物种。</w:t>
      </w:r>
    </w:p>
    <w:p>
      <w:pPr>
        <w:bidi w:val="0"/>
      </w:pPr>
      <w:r>
        <w:t>鸟类：以林鸟和水鸟为主，包括啄木鸟、山雀、杜鹃、野鸡、野鸭等，湿地周边可见白鹭、苍鹭等涉禽，部分区域是候鸟迁徙中途停歇地。</w:t>
      </w:r>
    </w:p>
    <w:p>
      <w:pPr>
        <w:bidi w:val="0"/>
      </w:pPr>
      <w:r>
        <w:t>两栖爬行类：有林蛙、蟾蜍、蛇类（如乌梢蛇）、蜥蜴等，适应山地湿润环境。</w:t>
      </w:r>
    </w:p>
    <w:p>
      <w:pPr>
        <w:bidi w:val="0"/>
      </w:pPr>
      <w:r>
        <w:t>昆虫类：种类丰富，涵盖蝶类、甲虫、蜂类等，是生态系统的重要组成部分。</w:t>
      </w:r>
    </w:p>
    <w:p>
      <w:pPr>
        <w:bidi w:val="0"/>
      </w:pPr>
      <w:r>
        <w:t>鱼类：河流、池塘中分布有鲫鱼、</w:t>
      </w:r>
      <w:r>
        <w:rPr>
          <w:rFonts w:hint="eastAsia"/>
        </w:rPr>
        <w:t>鲢鱼、</w:t>
      </w:r>
      <w:r>
        <w:t>鲤鱼、草鱼、柳根鱼等常见淡水鱼。</w:t>
      </w:r>
    </w:p>
    <w:p>
      <w:pPr>
        <w:pStyle w:val="5"/>
        <w:bidi w:val="0"/>
      </w:pPr>
      <w:r>
        <w:t>2.敏感生态目标</w:t>
      </w:r>
    </w:p>
    <w:p>
      <w:pPr>
        <w:bidi w:val="0"/>
      </w:pPr>
      <w:r>
        <w:t>矿区周边无关键栖息地。</w:t>
      </w:r>
    </w:p>
    <w:p>
      <w:pPr>
        <w:pStyle w:val="5"/>
        <w:bidi w:val="0"/>
      </w:pPr>
      <w:r>
        <w:t>3.受威胁状况</w:t>
      </w:r>
    </w:p>
    <w:p>
      <w:pPr>
        <w:bidi w:val="0"/>
      </w:pPr>
      <w:r>
        <w:rPr>
          <w:rFonts w:hint="eastAsia"/>
          <w:lang w:eastAsia="zh-CN"/>
        </w:rPr>
        <w:t>矿山露天开采、工业广场及排土场压占挖损原生林地、草地与耕地，局部原生植被清除、地表岩土裸露，改变动植物原有栖息生境，造成局部植物群落消失、小型动物迁徙，对矿区原生生物多样性存在一定负面影响；但矿区无珍稀保护动植物、无重要生物栖息地，周边原生植被连片分布可形成生态缓冲，开采扰动范围有限，通过后期闭坑植被重建可逐步修复生境，综合判定矿山建设对矿区及周边生物多样性存在局部轻度负面影响，整体影响程度中等。</w:t>
      </w:r>
    </w:p>
    <w:p>
      <w:pPr>
        <w:pStyle w:val="3"/>
        <w:bidi w:val="0"/>
      </w:pPr>
      <w:bookmarkStart w:id="46" w:name="_Toc4612"/>
      <w:r>
        <w:t>六、矿</w:t>
      </w:r>
      <w:r>
        <w:rPr>
          <w:rFonts w:hint="eastAsia"/>
        </w:rPr>
        <w:t>区</w:t>
      </w:r>
      <w:r>
        <w:t>及周边人类重大工程活动</w:t>
      </w:r>
      <w:bookmarkEnd w:id="46"/>
    </w:p>
    <w:p>
      <w:pPr>
        <w:bidi w:val="0"/>
        <w:rPr>
          <w:rFonts w:hint="eastAsia"/>
        </w:rPr>
      </w:pPr>
      <w:r>
        <w:rPr>
          <w:rFonts w:hint="eastAsia"/>
        </w:rPr>
        <w:t>经调查，对本矿区生态修复目标方向、复垦修复标准、治理措施存在影响的人类工程活动主要为周边乡村田间道路、农田灌排沟渠等涉农基础设施。修复地块边界、重建道路、坡面排水工程布局均与现有路网、渠系统筹衔接，满足周边农业生产使用需求。</w:t>
      </w:r>
    </w:p>
    <w:p>
      <w:pPr>
        <w:bidi w:val="0"/>
      </w:pPr>
      <w:r>
        <w:rPr>
          <w:rFonts w:hint="eastAsia"/>
        </w:rPr>
        <w:t>矿区范围内及周边不存在干线交通、大型水利、能源枢纽等重大基础设施，无城镇开发建设项目；</w:t>
      </w:r>
      <w:r>
        <w:rPr>
          <w:rFonts w:hint="eastAsia"/>
          <w:lang w:val="en-US" w:eastAsia="zh-CN"/>
        </w:rPr>
        <w:t>矿山300米范围</w:t>
      </w:r>
      <w:r>
        <w:rPr>
          <w:rFonts w:hint="eastAsia"/>
        </w:rPr>
        <w:t>内仅本矿山一处采矿项目，无其他矿产开发活动；矿区不涉及各类自然保护地，不受相关管控政策约束。</w:t>
      </w:r>
    </w:p>
    <w:p>
      <w:pPr>
        <w:pStyle w:val="3"/>
      </w:pPr>
      <w:bookmarkStart w:id="47" w:name="_Toc12325"/>
      <w:r>
        <w:t>七、矿区生态修复工作情况</w:t>
      </w:r>
      <w:bookmarkEnd w:id="47"/>
    </w:p>
    <w:p>
      <w:pPr>
        <w:bidi w:val="0"/>
      </w:pPr>
      <w:r>
        <w:rPr>
          <w:rFonts w:hint="eastAsia"/>
          <w:lang w:eastAsia="zh-CN"/>
        </w:rPr>
        <w:t>桦川县马库力山采石场</w:t>
      </w:r>
      <w:r>
        <w:rPr>
          <w:rFonts w:hint="eastAsia"/>
        </w:rPr>
        <w:t>属于</w:t>
      </w:r>
      <w:r>
        <w:rPr>
          <w:rFonts w:hint="eastAsia"/>
          <w:lang w:val="en-US" w:eastAsia="zh-CN"/>
        </w:rPr>
        <w:t>生产</w:t>
      </w:r>
      <w:r>
        <w:rPr>
          <w:rFonts w:hint="eastAsia"/>
        </w:rPr>
        <w:t>矿山，</w:t>
      </w:r>
      <w:r>
        <w:rPr>
          <w:rFonts w:hint="eastAsia"/>
          <w:lang w:val="en-US" w:eastAsia="zh-CN"/>
        </w:rPr>
        <w:t>已办理</w:t>
      </w:r>
      <w:r>
        <w:rPr>
          <w:rFonts w:hint="eastAsia"/>
        </w:rPr>
        <w:t>采矿许可证</w:t>
      </w:r>
      <w:r>
        <w:rPr>
          <w:rFonts w:hint="eastAsia"/>
          <w:lang w:eastAsia="zh-CN"/>
        </w:rPr>
        <w:t>。</w:t>
      </w:r>
      <w:r>
        <w:t>矿山企业</w:t>
      </w:r>
      <w:r>
        <w:rPr>
          <w:rFonts w:hint="eastAsia"/>
          <w:lang w:val="en-US" w:eastAsia="zh-CN"/>
        </w:rPr>
        <w:t>每年进行不稳定边坡监测以及土地损毁监测。其余</w:t>
      </w:r>
      <w:r>
        <w:t>矿区生态修复工作</w:t>
      </w:r>
      <w:r>
        <w:rPr>
          <w:rFonts w:hint="eastAsia"/>
          <w:lang w:eastAsia="zh-CN"/>
        </w:rPr>
        <w:t>，</w:t>
      </w:r>
      <w:r>
        <w:rPr>
          <w:rFonts w:hint="eastAsia"/>
          <w:lang w:val="en-US" w:eastAsia="zh-CN"/>
        </w:rPr>
        <w:t>准备在开采结束后统一进行</w:t>
      </w:r>
      <w:r>
        <w:t>生态修复工作。</w:t>
      </w:r>
    </w:p>
    <w:p>
      <w:pPr>
        <w:pStyle w:val="3"/>
      </w:pPr>
      <w:bookmarkStart w:id="48" w:name="_Toc13137"/>
      <w:r>
        <w:t>八、矿区基本情况调查监测指标</w:t>
      </w:r>
      <w:bookmarkEnd w:id="48"/>
    </w:p>
    <w:p>
      <w:pPr>
        <w:ind w:firstLine="560"/>
        <w:rPr>
          <w:sz w:val="28"/>
          <w:szCs w:val="28"/>
        </w:rPr>
      </w:pPr>
      <w:r>
        <w:rPr>
          <w:sz w:val="28"/>
          <w:szCs w:val="28"/>
        </w:rPr>
        <w:t>该矿山为</w:t>
      </w:r>
      <w:r>
        <w:rPr>
          <w:rFonts w:hint="eastAsia"/>
          <w:sz w:val="28"/>
          <w:szCs w:val="28"/>
          <w:lang w:val="en-US" w:eastAsia="zh-CN"/>
        </w:rPr>
        <w:t>生产</w:t>
      </w:r>
      <w:r>
        <w:rPr>
          <w:sz w:val="28"/>
          <w:szCs w:val="28"/>
        </w:rPr>
        <w:t>矿山，根据基础调查结果，矿区开采中生态修复监测内容与监测指标表，见表2-8。</w:t>
      </w:r>
    </w:p>
    <w:p>
      <w:pPr>
        <w:pStyle w:val="8"/>
        <w:bidi w:val="0"/>
      </w:pPr>
      <w:r>
        <w:t>表</w:t>
      </w:r>
      <w:r>
        <w:rPr>
          <w:rFonts w:hint="eastAsia"/>
          <w:lang w:val="en-US" w:eastAsia="zh-CN"/>
        </w:rPr>
        <w:t xml:space="preserve"> </w:t>
      </w:r>
      <w:r>
        <w:t>2-</w:t>
      </w:r>
      <w:r>
        <w:rPr>
          <w:rFonts w:hint="eastAsia"/>
          <w:lang w:val="en-US" w:eastAsia="zh-CN"/>
        </w:rPr>
        <w:t>4</w:t>
      </w:r>
      <w:r>
        <w:t xml:space="preserve"> 矿区开采中生态修复监测内容与监测指标表</w:t>
      </w:r>
    </w:p>
    <w:tbl>
      <w:tblPr>
        <w:tblStyle w:val="16"/>
        <w:tblW w:w="495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88"/>
        <w:gridCol w:w="1103"/>
        <w:gridCol w:w="2143"/>
        <w:gridCol w:w="2352"/>
        <w:gridCol w:w="1885"/>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311" w:type="pct"/>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监测对象</w:t>
            </w:r>
          </w:p>
        </w:tc>
        <w:tc>
          <w:tcPr>
            <w:tcW w:w="108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监测内容</w:t>
            </w:r>
          </w:p>
        </w:tc>
        <w:tc>
          <w:tcPr>
            <w:tcW w:w="119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监测指标</w:t>
            </w:r>
          </w:p>
        </w:tc>
        <w:tc>
          <w:tcPr>
            <w:tcW w:w="95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监测方法</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53"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损毁现状与拟损毁现状</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地质环境损毁</w:t>
            </w:r>
          </w:p>
        </w:tc>
        <w:tc>
          <w:tcPr>
            <w:tcW w:w="108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不稳定边坡</w:t>
            </w:r>
          </w:p>
        </w:tc>
        <w:tc>
          <w:tcPr>
            <w:tcW w:w="119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地表形变</w:t>
            </w:r>
          </w:p>
        </w:tc>
        <w:tc>
          <w:tcPr>
            <w:tcW w:w="95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DZ/T 0287-2015</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5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5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土地资源损毁</w:t>
            </w:r>
          </w:p>
        </w:tc>
        <w:tc>
          <w:tcPr>
            <w:tcW w:w="108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挖损土地面积</w:t>
            </w:r>
          </w:p>
        </w:tc>
        <w:tc>
          <w:tcPr>
            <w:tcW w:w="119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土地利用类型及面积</w:t>
            </w:r>
          </w:p>
        </w:tc>
        <w:tc>
          <w:tcPr>
            <w:tcW w:w="954"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TD/T 1049-2016</w:t>
            </w:r>
            <w:r>
              <w:rPr>
                <w:rFonts w:hint="eastAsia"/>
                <w:lang w:val="en-US" w:eastAsia="zh-CN"/>
              </w:rPr>
              <w:br w:type="textWrapping"/>
            </w:r>
            <w:r>
              <w:rPr>
                <w:rFonts w:hint="eastAsia"/>
                <w:lang w:val="en-US" w:eastAsia="zh-CN"/>
              </w:rPr>
              <w:t>TD/T 1055-2019</w:t>
            </w:r>
            <w:r>
              <w:rPr>
                <w:rFonts w:hint="eastAsia"/>
                <w:lang w:val="en-US" w:eastAsia="zh-CN"/>
              </w:rPr>
              <w:br w:type="textWrapping"/>
            </w:r>
            <w:r>
              <w:rPr>
                <w:rFonts w:hint="eastAsia"/>
                <w:lang w:val="en-US" w:eastAsia="zh-CN"/>
              </w:rPr>
              <w:t>TD/T 1031</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75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8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压占土地面积</w:t>
            </w:r>
          </w:p>
        </w:tc>
        <w:tc>
          <w:tcPr>
            <w:tcW w:w="119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土地利用面积</w:t>
            </w:r>
          </w:p>
        </w:tc>
        <w:tc>
          <w:tcPr>
            <w:tcW w:w="954"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45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75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8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永久基本农田损毁</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基本农田及面积</w:t>
            </w:r>
          </w:p>
        </w:tc>
        <w:tc>
          <w:tcPr>
            <w:tcW w:w="954"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45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75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生态修复效果监测</w:t>
            </w:r>
          </w:p>
        </w:tc>
        <w:tc>
          <w:tcPr>
            <w:tcW w:w="558" w:type="pct"/>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地质环境治理</w:t>
            </w:r>
          </w:p>
        </w:tc>
        <w:tc>
          <w:tcPr>
            <w:tcW w:w="108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不稳定边坡</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恢复治理率</w:t>
            </w:r>
          </w:p>
        </w:tc>
        <w:tc>
          <w:tcPr>
            <w:tcW w:w="954"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TD/T 1010-2015</w:t>
            </w:r>
            <w:r>
              <w:rPr>
                <w:rFonts w:hint="eastAsia"/>
                <w:lang w:val="en-US" w:eastAsia="zh-CN"/>
              </w:rPr>
              <w:br w:type="textWrapping"/>
            </w:r>
            <w:r>
              <w:rPr>
                <w:rFonts w:hint="eastAsia"/>
                <w:lang w:val="en-US" w:eastAsia="zh-CN"/>
              </w:rPr>
              <w:t>TD/T 1049-2016</w:t>
            </w:r>
          </w:p>
        </w:tc>
        <w:tc>
          <w:tcPr>
            <w:tcW w:w="45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75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558"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108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复垦修复土地</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土地复垦率</w:t>
            </w:r>
          </w:p>
        </w:tc>
        <w:tc>
          <w:tcPr>
            <w:tcW w:w="954"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45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bl>
    <w:p>
      <w:pPr>
        <w:pStyle w:val="8"/>
        <w:bidi w:val="0"/>
      </w:pPr>
    </w:p>
    <w:p>
      <w:pPr>
        <w:pStyle w:val="2"/>
        <w:spacing w:before="0" w:after="0" w:line="360" w:lineRule="auto"/>
        <w:ind w:firstLine="0" w:firstLineChars="0"/>
        <w:jc w:val="center"/>
        <w:rPr>
          <w:sz w:val="28"/>
          <w:szCs w:val="28"/>
        </w:rPr>
        <w:sectPr>
          <w:footerReference r:id="rId16" w:type="default"/>
          <w:pgSz w:w="11906" w:h="16839"/>
          <w:pgMar w:top="1440" w:right="1080" w:bottom="1440" w:left="1080" w:header="863" w:footer="994" w:gutter="0"/>
          <w:cols w:space="720" w:num="1"/>
        </w:sectPr>
      </w:pPr>
    </w:p>
    <w:p>
      <w:pPr>
        <w:pStyle w:val="2"/>
        <w:bidi w:val="0"/>
      </w:pPr>
      <w:bookmarkStart w:id="49" w:name="_Toc24081"/>
      <w:r>
        <w:t>第三章 问题识别诊断及修复可行性分析</w:t>
      </w:r>
      <w:bookmarkEnd w:id="49"/>
    </w:p>
    <w:p>
      <w:pPr>
        <w:pStyle w:val="3"/>
        <w:bidi w:val="0"/>
      </w:pPr>
      <w:bookmarkStart w:id="50" w:name="_Toc12681"/>
      <w:bookmarkStart w:id="51" w:name="_Toc6709"/>
      <w:r>
        <w:t>一、问题识别与受损预测</w:t>
      </w:r>
      <w:bookmarkEnd w:id="50"/>
      <w:bookmarkEnd w:id="51"/>
    </w:p>
    <w:p>
      <w:pPr>
        <w:bidi w:val="0"/>
      </w:pPr>
      <w:r>
        <w:t>1.评估范围</w:t>
      </w:r>
    </w:p>
    <w:p>
      <w:pPr>
        <w:bidi w:val="0"/>
        <w:rPr>
          <w:rFonts w:hint="eastAsia"/>
        </w:rPr>
      </w:pPr>
      <w:bookmarkStart w:id="52" w:name="_Toc226711745"/>
      <w:r>
        <w:rPr>
          <w:rFonts w:hint="eastAsia"/>
        </w:rPr>
        <w:t>根据矿山地质环境条件和矿山开采方式及工程布局，结合矿山采矿活动对地质环境影响，在矿山地质环境调查结果基础上，依据《矿山地质环境保护与恢复治理方案编制规范》（DZ/T0223-2011）、《国土资源部关于加强地质灾害危险性评估工作的通知》（国土资发〔2004〕69 号）及附件《地质灾害危险性评估技术要求》确定评估范围，最终确定评估区面积为</w:t>
      </w:r>
      <w:r>
        <w:rPr>
          <w:rFonts w:hint="eastAsia"/>
          <w:lang w:val="en-US" w:eastAsia="zh-CN"/>
        </w:rPr>
        <w:t>*.</w:t>
      </w:r>
      <w:r>
        <w:rPr>
          <w:rFonts w:hint="eastAsia"/>
        </w:rPr>
        <w:t>******</w:t>
      </w:r>
      <w:r>
        <w:rPr>
          <w:rFonts w:hint="eastAsia"/>
          <w:lang w:val="en-US" w:eastAsia="zh-CN"/>
        </w:rPr>
        <w:t>km</w:t>
      </w:r>
      <w:r>
        <w:rPr>
          <w:rFonts w:hint="eastAsia"/>
          <w:vertAlign w:val="superscript"/>
        </w:rPr>
        <w:t>2</w:t>
      </w:r>
      <w:r>
        <w:rPr>
          <w:rFonts w:hint="eastAsia"/>
        </w:rPr>
        <w:t>，评估区示意图及评估区拐点坐标见图3-1、表3-1。</w:t>
      </w:r>
    </w:p>
    <w:bookmarkEnd w:id="52"/>
    <w:p>
      <w:pPr>
        <w:ind w:left="0" w:leftChars="0" w:firstLine="0" w:firstLineChars="0"/>
        <w:jc w:val="center"/>
        <w:rPr>
          <w:rFonts w:hint="eastAsia" w:eastAsia="宋体"/>
          <w:lang w:eastAsia="zh-CN"/>
        </w:rPr>
      </w:pPr>
      <w:r>
        <w:pict>
          <v:shape id="_x0000_i1034" o:spt="75" type="#_x0000_t75" style="height:0pt;width:0.05pt;" filled="f" o:preferrelative="t" stroked="f" coordsize="21600,21600">
            <v:path/>
            <v:fill on="f" focussize="0,0"/>
            <v:stroke on="f"/>
            <v:imagedata o:title=""/>
            <o:lock v:ext="edit" aspectratio="t"/>
            <w10:wrap type="none"/>
            <w10:anchorlock/>
          </v:shape>
        </w:pict>
      </w:r>
      <w:r>
        <w:pict>
          <v:shape id="_x0000_i1035" o:spt="75" type="#_x0000_t75" style="height:0pt;width:0.05pt;" filled="f" o:preferrelative="t" stroked="f" coordsize="21600,21600">
            <v:path/>
            <v:fill on="f" focussize="0,0"/>
            <v:stroke on="f"/>
            <v:imagedata o:title=""/>
            <o:lock v:ext="edit" aspectratio="t"/>
            <w10:wrap type="none"/>
            <w10:anchorlock/>
          </v:shape>
        </w:pict>
      </w:r>
      <w:r>
        <w:rPr>
          <w:rFonts w:hint="eastAsia" w:eastAsia="宋体"/>
          <w:lang w:eastAsia="zh-CN"/>
        </w:rPr>
        <w:pict>
          <v:shape id="_x0000_i1036" o:spt="75" alt="马库力评估区1" type="#_x0000_t75" style="height:408.15pt;width:324.85pt;" filled="f" o:preferrelative="t" stroked="f" coordsize="21600,21600">
            <v:path/>
            <v:fill on="f" focussize="0,0"/>
            <v:stroke on="f"/>
            <v:imagedata r:id="rId33" croptop="3506f" cropbottom="3808f" o:title="马库力评估区1"/>
            <o:lock v:ext="edit" aspectratio="t"/>
            <w10:wrap type="none"/>
            <w10:anchorlock/>
          </v:shape>
        </w:pict>
      </w:r>
    </w:p>
    <w:p>
      <w:pPr>
        <w:pStyle w:val="8"/>
        <w:bidi w:val="0"/>
      </w:pPr>
      <w:r>
        <w:t>图3-</w:t>
      </w:r>
      <w:r>
        <w:rPr>
          <w:rFonts w:hint="eastAsia"/>
          <w:lang w:val="en-US" w:eastAsia="zh-CN"/>
        </w:rPr>
        <w:t>1</w:t>
      </w:r>
      <w:r>
        <w:t xml:space="preserve"> 评估</w:t>
      </w:r>
      <w:r>
        <w:rPr>
          <w:rFonts w:hint="eastAsia"/>
          <w:lang w:eastAsia="zh-CN"/>
        </w:rPr>
        <w:t>示意</w:t>
      </w:r>
      <w:r>
        <w:t>图</w:t>
      </w:r>
    </w:p>
    <w:p>
      <w:pPr>
        <w:pStyle w:val="8"/>
        <w:bidi w:val="0"/>
        <w:rPr>
          <w:rFonts w:hint="default"/>
          <w:lang w:val="en-US" w:eastAsia="zh-CN"/>
        </w:rPr>
      </w:pPr>
      <w:r>
        <w:t xml:space="preserve">表 </w:t>
      </w:r>
      <w:r>
        <w:rPr>
          <w:rFonts w:hint="eastAsia"/>
          <w:lang w:val="en-US" w:eastAsia="zh-CN"/>
        </w:rPr>
        <w:t>3-1 评估区拐点编号及坐标表</w:t>
      </w:r>
    </w:p>
    <w:tbl>
      <w:tblPr>
        <w:tblStyle w:val="16"/>
        <w:tblW w:w="971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852"/>
        <w:gridCol w:w="1687"/>
        <w:gridCol w:w="1320"/>
        <w:gridCol w:w="1852"/>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320" w:type="dxa"/>
            <w:noWrap/>
            <w:vAlign w:val="center"/>
          </w:tcPr>
          <w:p>
            <w:pPr>
              <w:pStyle w:val="27"/>
              <w:bidi w:val="0"/>
              <w:rPr>
                <w:rFonts w:hint="eastAsia"/>
              </w:rPr>
            </w:pPr>
            <w:r>
              <w:rPr>
                <w:rFonts w:hint="eastAsia"/>
                <w:lang w:val="en-US" w:eastAsia="zh-CN"/>
              </w:rPr>
              <w:t>序号</w:t>
            </w:r>
          </w:p>
        </w:tc>
        <w:tc>
          <w:tcPr>
            <w:tcW w:w="1852" w:type="dxa"/>
            <w:noWrap/>
            <w:vAlign w:val="center"/>
          </w:tcPr>
          <w:p>
            <w:pPr>
              <w:pStyle w:val="27"/>
              <w:bidi w:val="0"/>
              <w:rPr>
                <w:rFonts w:hint="eastAsia"/>
              </w:rPr>
            </w:pPr>
            <w:r>
              <w:rPr>
                <w:rFonts w:hint="eastAsia"/>
                <w:lang w:val="en-US" w:eastAsia="zh-CN"/>
              </w:rPr>
              <w:t>X</w:t>
            </w:r>
          </w:p>
        </w:tc>
        <w:tc>
          <w:tcPr>
            <w:tcW w:w="1687" w:type="dxa"/>
            <w:noWrap/>
            <w:vAlign w:val="center"/>
          </w:tcPr>
          <w:p>
            <w:pPr>
              <w:pStyle w:val="27"/>
              <w:bidi w:val="0"/>
              <w:rPr>
                <w:rFonts w:hint="eastAsia"/>
              </w:rPr>
            </w:pPr>
            <w:r>
              <w:rPr>
                <w:rFonts w:hint="eastAsia"/>
                <w:lang w:val="en-US" w:eastAsia="zh-CN"/>
              </w:rPr>
              <w:t>Y</w:t>
            </w:r>
          </w:p>
        </w:tc>
        <w:tc>
          <w:tcPr>
            <w:tcW w:w="1320" w:type="dxa"/>
            <w:noWrap/>
            <w:vAlign w:val="center"/>
          </w:tcPr>
          <w:p>
            <w:pPr>
              <w:pStyle w:val="27"/>
              <w:bidi w:val="0"/>
              <w:rPr>
                <w:rFonts w:hint="eastAsia"/>
              </w:rPr>
            </w:pPr>
            <w:r>
              <w:rPr>
                <w:rFonts w:hint="eastAsia"/>
                <w:lang w:val="en-US" w:eastAsia="zh-CN"/>
              </w:rPr>
              <w:t>序号</w:t>
            </w:r>
          </w:p>
        </w:tc>
        <w:tc>
          <w:tcPr>
            <w:tcW w:w="1852" w:type="dxa"/>
            <w:noWrap/>
            <w:vAlign w:val="center"/>
          </w:tcPr>
          <w:p>
            <w:pPr>
              <w:pStyle w:val="27"/>
              <w:bidi w:val="0"/>
              <w:rPr>
                <w:rFonts w:hint="eastAsia"/>
              </w:rPr>
            </w:pPr>
            <w:r>
              <w:rPr>
                <w:rFonts w:hint="eastAsia"/>
                <w:lang w:val="en-US" w:eastAsia="zh-CN"/>
              </w:rPr>
              <w:t>X</w:t>
            </w:r>
          </w:p>
        </w:tc>
        <w:tc>
          <w:tcPr>
            <w:tcW w:w="1687" w:type="dxa"/>
            <w:noWrap/>
            <w:vAlign w:val="center"/>
          </w:tcPr>
          <w:p>
            <w:pPr>
              <w:pStyle w:val="27"/>
              <w:bidi w:val="0"/>
              <w:rPr>
                <w:rFonts w:hint="eastAsia"/>
              </w:rPr>
            </w:pPr>
            <w:r>
              <w:rPr>
                <w:rFonts w:hint="eastAsia"/>
                <w:lang w:val="en-US" w:eastAsia="zh-CN"/>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0" w:type="auto"/>
            <w:noWrap/>
            <w:vAlign w:val="center"/>
          </w:tcPr>
          <w:p>
            <w:pPr>
              <w:pStyle w:val="27"/>
              <w:bidi w:val="0"/>
              <w:rPr>
                <w:rFonts w:hint="eastAsia"/>
              </w:rPr>
            </w:pPr>
            <w:r>
              <w:rPr>
                <w:rFonts w:hint="eastAsia"/>
                <w:lang w:val="en-US" w:eastAsia="zh-CN"/>
              </w:rPr>
              <w:t>P1</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P5</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0" w:type="auto"/>
            <w:noWrap/>
            <w:vAlign w:val="center"/>
          </w:tcPr>
          <w:p>
            <w:pPr>
              <w:pStyle w:val="27"/>
              <w:bidi w:val="0"/>
              <w:rPr>
                <w:rFonts w:hint="eastAsia"/>
              </w:rPr>
            </w:pPr>
            <w:r>
              <w:rPr>
                <w:rFonts w:hint="eastAsia"/>
                <w:lang w:val="en-US" w:eastAsia="zh-CN"/>
              </w:rPr>
              <w:t>P2</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P6</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0" w:type="auto"/>
            <w:noWrap/>
            <w:vAlign w:val="center"/>
          </w:tcPr>
          <w:p>
            <w:pPr>
              <w:pStyle w:val="27"/>
              <w:bidi w:val="0"/>
              <w:rPr>
                <w:rFonts w:hint="eastAsia"/>
              </w:rPr>
            </w:pPr>
            <w:r>
              <w:rPr>
                <w:rFonts w:hint="eastAsia"/>
                <w:lang w:val="en-US" w:eastAsia="zh-CN"/>
              </w:rPr>
              <w:t>P3</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P7</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0" w:type="auto"/>
            <w:noWrap/>
            <w:vAlign w:val="center"/>
          </w:tcPr>
          <w:p>
            <w:pPr>
              <w:pStyle w:val="27"/>
              <w:bidi w:val="0"/>
              <w:rPr>
                <w:rFonts w:hint="eastAsia"/>
              </w:rPr>
            </w:pPr>
            <w:r>
              <w:rPr>
                <w:rFonts w:hint="eastAsia"/>
                <w:lang w:val="en-US" w:eastAsia="zh-CN"/>
              </w:rPr>
              <w:t>P4</w:t>
            </w:r>
          </w:p>
        </w:tc>
        <w:tc>
          <w:tcPr>
            <w:tcW w:w="0" w:type="auto"/>
            <w:noWrap/>
            <w:vAlign w:val="center"/>
          </w:tcPr>
          <w:p>
            <w:pPr>
              <w:pStyle w:val="27"/>
              <w:bidi w:val="0"/>
              <w:rPr>
                <w:rFonts w:hint="eastAsia"/>
              </w:rPr>
            </w:pPr>
            <w:r>
              <w:rPr>
                <w:rFonts w:hint="eastAsia"/>
                <w:lang w:val="en-US" w:eastAsia="zh-CN"/>
              </w:rPr>
              <w:t xml:space="preserve">*******.** </w:t>
            </w:r>
          </w:p>
        </w:tc>
        <w:tc>
          <w:tcPr>
            <w:tcW w:w="0" w:type="auto"/>
            <w:noWrap/>
            <w:vAlign w:val="center"/>
          </w:tcPr>
          <w:p>
            <w:pPr>
              <w:pStyle w:val="27"/>
              <w:bidi w:val="0"/>
              <w:rPr>
                <w:rFonts w:hint="eastAsia"/>
              </w:rPr>
            </w:pPr>
            <w:r>
              <w:rPr>
                <w:rFonts w:hint="eastAsia"/>
                <w:lang w:val="en-US" w:eastAsia="zh-CN"/>
              </w:rPr>
              <w:t xml:space="preserve">******.** </w:t>
            </w:r>
          </w:p>
        </w:tc>
        <w:tc>
          <w:tcPr>
            <w:tcW w:w="0" w:type="auto"/>
            <w:gridSpan w:val="3"/>
            <w:noWrap/>
            <w:vAlign w:val="center"/>
          </w:tcPr>
          <w:p>
            <w:pPr>
              <w:pStyle w:val="27"/>
              <w:bidi w:val="0"/>
              <w:rPr>
                <w:rFonts w:hint="eastAsia"/>
              </w:rPr>
            </w:pPr>
            <w:r>
              <w:rPr>
                <w:rFonts w:hint="eastAsia"/>
                <w:lang w:val="en-US" w:eastAsia="zh-CN"/>
              </w:rPr>
              <w:t>S=**.****hm2</w:t>
            </w:r>
          </w:p>
        </w:tc>
      </w:tr>
    </w:tbl>
    <w:p>
      <w:pPr>
        <w:pStyle w:val="27"/>
        <w:bidi w:val="0"/>
      </w:pPr>
    </w:p>
    <w:p>
      <w:pPr>
        <w:bidi w:val="0"/>
      </w:pPr>
      <w:r>
        <w:t>2.评估级别</w:t>
      </w:r>
    </w:p>
    <w:p>
      <w:pPr>
        <w:bidi w:val="0"/>
      </w:pPr>
      <w:r>
        <w:rPr>
          <w:rFonts w:hint="eastAsia"/>
          <w:lang w:eastAsia="zh-CN"/>
        </w:rPr>
        <w:t>（1）</w:t>
      </w:r>
      <w:r>
        <w:t>项目区重要程度分级</w:t>
      </w:r>
    </w:p>
    <w:p>
      <w:pPr>
        <w:ind w:firstLine="560"/>
        <w:rPr>
          <w:sz w:val="28"/>
          <w:szCs w:val="28"/>
        </w:rPr>
      </w:pPr>
      <w:r>
        <w:rPr>
          <w:sz w:val="28"/>
          <w:szCs w:val="28"/>
        </w:rPr>
        <w:t>评估区内无常住人口，无重要交通要道和建筑设施，附近无自然保护区和旅游景点，无重要水源地，矿山的开采破坏采矿用地、</w:t>
      </w:r>
      <w:r>
        <w:rPr>
          <w:rFonts w:hint="eastAsia"/>
          <w:sz w:val="28"/>
          <w:szCs w:val="28"/>
        </w:rPr>
        <w:t>城镇住宅用地</w:t>
      </w:r>
      <w:r>
        <w:rPr>
          <w:sz w:val="28"/>
          <w:szCs w:val="28"/>
        </w:rPr>
        <w:t>。依据《矿山地质环境保护与恢复治理方案编制规范》（DZ/T 0223-2011）附录B评估区重要程度分级表（表B.1），确定项目区重要程度为“</w:t>
      </w:r>
      <w:r>
        <w:rPr>
          <w:rFonts w:hint="eastAsia"/>
          <w:b/>
          <w:bCs/>
          <w:sz w:val="28"/>
          <w:szCs w:val="28"/>
        </w:rPr>
        <w:t>重要区</w:t>
      </w:r>
      <w:r>
        <w:rPr>
          <w:sz w:val="28"/>
          <w:szCs w:val="28"/>
        </w:rPr>
        <w:t>”。</w:t>
      </w:r>
    </w:p>
    <w:p>
      <w:pPr>
        <w:pStyle w:val="8"/>
        <w:bidi w:val="0"/>
      </w:pPr>
      <w:r>
        <w:t>表3-</w:t>
      </w:r>
      <w:r>
        <w:rPr>
          <w:rFonts w:hint="eastAsia"/>
          <w:lang w:val="en-US" w:eastAsia="zh-CN"/>
        </w:rPr>
        <w:t>2</w:t>
      </w:r>
      <w:r>
        <w:t>评估区重要程度分级表</w:t>
      </w:r>
    </w:p>
    <w:tbl>
      <w:tblPr>
        <w:tblStyle w:val="16"/>
        <w:tblW w:w="9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3"/>
        <w:gridCol w:w="3093"/>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rPr>
                <w:b/>
                <w:bCs/>
              </w:rPr>
              <w:t>重要区</w:t>
            </w:r>
            <w:r>
              <w:rPr>
                <w:rFonts w:hint="eastAsia"/>
                <w:b/>
                <w:bCs/>
                <w:lang w:val="en-US" w:eastAsia="zh-CN"/>
              </w:rPr>
              <w:t>*</w:t>
            </w:r>
          </w:p>
        </w:tc>
        <w:tc>
          <w:tcPr>
            <w:tcW w:w="3093" w:type="dxa"/>
            <w:noWrap w:val="0"/>
            <w:vAlign w:val="center"/>
          </w:tcPr>
          <w:p>
            <w:pPr>
              <w:pStyle w:val="27"/>
              <w:bidi w:val="0"/>
            </w:pPr>
            <w:r>
              <w:rPr>
                <w:b w:val="0"/>
                <w:bCs w:val="0"/>
              </w:rPr>
              <w:t>较重要区</w:t>
            </w:r>
          </w:p>
        </w:tc>
        <w:tc>
          <w:tcPr>
            <w:tcW w:w="3096" w:type="dxa"/>
            <w:noWrap w:val="0"/>
            <w:vAlign w:val="center"/>
          </w:tcPr>
          <w:p>
            <w:pPr>
              <w:pStyle w:val="27"/>
              <w:bidi w:val="0"/>
              <w:rPr>
                <w:rFonts w:hint="eastAsia" w:eastAsia="宋体"/>
                <w:lang w:val="en-US" w:eastAsia="zh-CN"/>
              </w:rPr>
            </w:pPr>
            <w:r>
              <w:rPr>
                <w:b w:val="0"/>
                <w:bCs w:val="0"/>
              </w:rPr>
              <w:t>一般区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t>分布有500人以上的居民集中居住区</w:t>
            </w:r>
          </w:p>
        </w:tc>
        <w:tc>
          <w:tcPr>
            <w:tcW w:w="3093" w:type="dxa"/>
            <w:noWrap w:val="0"/>
            <w:vAlign w:val="center"/>
          </w:tcPr>
          <w:p>
            <w:pPr>
              <w:pStyle w:val="27"/>
              <w:bidi w:val="0"/>
            </w:pPr>
            <w:r>
              <w:t>分布有200～500人的居民集中居住区</w:t>
            </w:r>
          </w:p>
        </w:tc>
        <w:tc>
          <w:tcPr>
            <w:tcW w:w="3096" w:type="dxa"/>
            <w:noWrap w:val="0"/>
            <w:vAlign w:val="center"/>
          </w:tcPr>
          <w:p>
            <w:pPr>
              <w:pStyle w:val="27"/>
              <w:bidi w:val="0"/>
              <w:rPr>
                <w:b/>
                <w:bCs/>
              </w:rPr>
            </w:pPr>
            <w:r>
              <w:rPr>
                <w:b/>
                <w:bCs/>
              </w:rPr>
              <w:t>居民居住分散，居民集中居住区人口在200人以下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t>分布有高速公路、一级公路、铁路、中型以上水利、电力工程或其他重要建筑设施</w:t>
            </w:r>
          </w:p>
        </w:tc>
        <w:tc>
          <w:tcPr>
            <w:tcW w:w="3093" w:type="dxa"/>
            <w:noWrap w:val="0"/>
            <w:vAlign w:val="center"/>
          </w:tcPr>
          <w:p>
            <w:pPr>
              <w:pStyle w:val="27"/>
              <w:bidi w:val="0"/>
            </w:pPr>
            <w:r>
              <w:t>分布有二级公路、小型水利、电力工程或其他较重要建筑设施</w:t>
            </w:r>
          </w:p>
        </w:tc>
        <w:tc>
          <w:tcPr>
            <w:tcW w:w="3096" w:type="dxa"/>
            <w:noWrap w:val="0"/>
            <w:vAlign w:val="center"/>
          </w:tcPr>
          <w:p>
            <w:pPr>
              <w:pStyle w:val="27"/>
              <w:bidi w:val="0"/>
            </w:pPr>
            <w:r>
              <w:rPr>
                <w:b/>
                <w:bCs/>
              </w:rPr>
              <w:t>无重要交通要道或建筑设施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t>矿区紧邻国家级自然保护区（含地质公园、风景名胜区等）或重要旅游景区（点）</w:t>
            </w:r>
          </w:p>
        </w:tc>
        <w:tc>
          <w:tcPr>
            <w:tcW w:w="3093" w:type="dxa"/>
            <w:noWrap w:val="0"/>
            <w:vAlign w:val="center"/>
          </w:tcPr>
          <w:p>
            <w:pPr>
              <w:pStyle w:val="27"/>
              <w:bidi w:val="0"/>
            </w:pPr>
            <w:r>
              <w:t>紧邻省级、县级自然保护区或较重要旅游景区（点）</w:t>
            </w:r>
          </w:p>
        </w:tc>
        <w:tc>
          <w:tcPr>
            <w:tcW w:w="3096" w:type="dxa"/>
            <w:noWrap w:val="0"/>
            <w:vAlign w:val="center"/>
          </w:tcPr>
          <w:p>
            <w:pPr>
              <w:pStyle w:val="27"/>
              <w:bidi w:val="0"/>
            </w:pPr>
            <w:r>
              <w:rPr>
                <w:b/>
                <w:bCs/>
              </w:rPr>
              <w:t>远离各级自然保护区及旅游景区（点）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t>有重要水源地</w:t>
            </w:r>
          </w:p>
        </w:tc>
        <w:tc>
          <w:tcPr>
            <w:tcW w:w="3093" w:type="dxa"/>
            <w:noWrap w:val="0"/>
            <w:vAlign w:val="center"/>
          </w:tcPr>
          <w:p>
            <w:pPr>
              <w:pStyle w:val="27"/>
              <w:bidi w:val="0"/>
            </w:pPr>
            <w:r>
              <w:t>有较重要水源地</w:t>
            </w:r>
          </w:p>
        </w:tc>
        <w:tc>
          <w:tcPr>
            <w:tcW w:w="3096" w:type="dxa"/>
            <w:noWrap w:val="0"/>
            <w:vAlign w:val="center"/>
          </w:tcPr>
          <w:p>
            <w:pPr>
              <w:pStyle w:val="27"/>
              <w:bidi w:val="0"/>
            </w:pPr>
            <w:r>
              <w:rPr>
                <w:b/>
                <w:bCs/>
              </w:rPr>
              <w:t>无较重要水源地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93" w:type="dxa"/>
            <w:noWrap w:val="0"/>
            <w:vAlign w:val="center"/>
          </w:tcPr>
          <w:p>
            <w:pPr>
              <w:pStyle w:val="27"/>
              <w:bidi w:val="0"/>
            </w:pPr>
            <w:r>
              <w:rPr>
                <w:b/>
                <w:bCs/>
              </w:rPr>
              <w:t>破坏耕地、园地</w:t>
            </w:r>
          </w:p>
        </w:tc>
        <w:tc>
          <w:tcPr>
            <w:tcW w:w="3093" w:type="dxa"/>
            <w:noWrap w:val="0"/>
            <w:vAlign w:val="center"/>
          </w:tcPr>
          <w:p>
            <w:pPr>
              <w:pStyle w:val="27"/>
              <w:bidi w:val="0"/>
            </w:pPr>
            <w:r>
              <w:rPr>
                <w:b w:val="0"/>
                <w:bCs w:val="0"/>
                <w:color w:val="auto"/>
              </w:rPr>
              <w:t>破坏林地、草地</w:t>
            </w:r>
          </w:p>
        </w:tc>
        <w:tc>
          <w:tcPr>
            <w:tcW w:w="3096" w:type="dxa"/>
            <w:noWrap w:val="0"/>
            <w:vAlign w:val="center"/>
          </w:tcPr>
          <w:p>
            <w:pPr>
              <w:pStyle w:val="27"/>
              <w:bidi w:val="0"/>
            </w:pPr>
            <w:r>
              <w:rPr>
                <w:b w:val="0"/>
                <w:bCs w:val="0"/>
              </w:rPr>
              <w:t>破坏其他类型土地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82" w:type="dxa"/>
            <w:gridSpan w:val="3"/>
            <w:noWrap w:val="0"/>
            <w:vAlign w:val="center"/>
          </w:tcPr>
          <w:p>
            <w:pPr>
              <w:pStyle w:val="27"/>
              <w:bidi w:val="0"/>
            </w:pPr>
            <w:r>
              <w:t>注：评估区重要程度分级确定采取上一级别优先原则，只要有一条符合者即为该级别。</w:t>
            </w:r>
          </w:p>
        </w:tc>
      </w:tr>
    </w:tbl>
    <w:p>
      <w:pPr>
        <w:spacing w:beforeLines="50"/>
        <w:ind w:firstLine="560"/>
        <w:rPr>
          <w:sz w:val="28"/>
          <w:szCs w:val="28"/>
        </w:rPr>
      </w:pPr>
      <w:r>
        <w:rPr>
          <w:rFonts w:hint="eastAsia"/>
          <w:sz w:val="28"/>
          <w:szCs w:val="28"/>
          <w:lang w:eastAsia="zh-CN"/>
        </w:rPr>
        <w:t>（2）</w:t>
      </w:r>
      <w:r>
        <w:rPr>
          <w:sz w:val="28"/>
          <w:szCs w:val="28"/>
        </w:rPr>
        <w:t>矿山地质环境条件复杂程度分级</w:t>
      </w:r>
    </w:p>
    <w:p>
      <w:pPr>
        <w:ind w:firstLine="560"/>
        <w:rPr>
          <w:sz w:val="28"/>
          <w:szCs w:val="28"/>
        </w:rPr>
      </w:pPr>
      <w:r>
        <w:rPr>
          <w:sz w:val="28"/>
          <w:szCs w:val="28"/>
        </w:rPr>
        <w:t>项目区</w:t>
      </w:r>
      <w:r>
        <w:rPr>
          <w:rFonts w:hint="eastAsia"/>
          <w:sz w:val="28"/>
          <w:szCs w:val="28"/>
        </w:rPr>
        <w:t>地貌类型单一，地形起伏大，局部大于35°</w:t>
      </w:r>
      <w:r>
        <w:rPr>
          <w:rFonts w:hint="eastAsia"/>
          <w:sz w:val="28"/>
          <w:szCs w:val="28"/>
          <w:lang w:eastAsia="zh-CN"/>
        </w:rPr>
        <w:t>，</w:t>
      </w:r>
      <w:r>
        <w:rPr>
          <w:rFonts w:hint="eastAsia"/>
          <w:sz w:val="28"/>
          <w:szCs w:val="28"/>
          <w:lang w:val="en-US" w:eastAsia="zh-CN"/>
        </w:rPr>
        <w:t>不利于排水，相对高差较大</w:t>
      </w:r>
      <w:r>
        <w:rPr>
          <w:sz w:val="28"/>
          <w:szCs w:val="28"/>
        </w:rPr>
        <w:t>；地质构造条件复杂程度简单；水文地质条件复杂程度简单；岩土体工程地质条件复杂程度简单；矿山地质环境现状条件冻土冻融</w:t>
      </w:r>
      <w:r>
        <w:rPr>
          <w:rFonts w:hint="eastAsia"/>
          <w:sz w:val="28"/>
          <w:szCs w:val="28"/>
          <w:lang w:eastAsia="zh-CN"/>
        </w:rPr>
        <w:t>、</w:t>
      </w:r>
      <w:r>
        <w:rPr>
          <w:rFonts w:hint="eastAsia"/>
          <w:sz w:val="28"/>
          <w:szCs w:val="28"/>
          <w:lang w:val="en-US" w:eastAsia="zh-CN"/>
        </w:rPr>
        <w:t>崩塌</w:t>
      </w:r>
      <w:r>
        <w:rPr>
          <w:sz w:val="28"/>
          <w:szCs w:val="28"/>
        </w:rPr>
        <w:t>地质灾害发育</w:t>
      </w:r>
      <w:r>
        <w:rPr>
          <w:rFonts w:hint="eastAsia"/>
          <w:sz w:val="28"/>
          <w:szCs w:val="28"/>
        </w:rPr>
        <w:t>弱</w:t>
      </w:r>
      <w:r>
        <w:rPr>
          <w:sz w:val="28"/>
          <w:szCs w:val="28"/>
        </w:rPr>
        <w:t>，危害性小；工业广场人类工程活动对地质环境的损毁程度较严重。根据以上条件，对照《矿山地质环境保护与治理恢复方案编制规范》（DZ/T 0223-2011）露天开采矿山地质环境条件复杂程度分级表（表C2），确定矿区地质环境条件复杂程度为</w:t>
      </w:r>
      <w:r>
        <w:rPr>
          <w:rFonts w:hint="eastAsia"/>
          <w:sz w:val="28"/>
          <w:szCs w:val="28"/>
          <w:lang w:eastAsia="zh-CN"/>
        </w:rPr>
        <w:t>“</w:t>
      </w:r>
      <w:r>
        <w:rPr>
          <w:rFonts w:hint="eastAsia"/>
          <w:b/>
          <w:bCs/>
          <w:sz w:val="28"/>
          <w:szCs w:val="28"/>
        </w:rPr>
        <w:t>复杂</w:t>
      </w:r>
      <w:r>
        <w:rPr>
          <w:rFonts w:hint="eastAsia"/>
          <w:sz w:val="28"/>
          <w:szCs w:val="28"/>
          <w:lang w:eastAsia="zh-CN"/>
        </w:rPr>
        <w:t>”</w:t>
      </w:r>
      <w:r>
        <w:rPr>
          <w:sz w:val="28"/>
          <w:szCs w:val="28"/>
        </w:rPr>
        <w:t>。</w:t>
      </w:r>
    </w:p>
    <w:p>
      <w:pPr>
        <w:ind w:firstLine="560"/>
        <w:rPr>
          <w:sz w:val="28"/>
          <w:szCs w:val="28"/>
        </w:rPr>
      </w:pPr>
    </w:p>
    <w:p>
      <w:pPr>
        <w:pStyle w:val="8"/>
        <w:rPr>
          <w:rFonts w:hint="default" w:eastAsia="黑体"/>
          <w:lang w:val="en-US" w:eastAsia="zh-CN"/>
        </w:rPr>
      </w:pPr>
      <w:r>
        <w:t xml:space="preserve">表 </w:t>
      </w:r>
      <w:r>
        <w:rPr>
          <w:rFonts w:hint="eastAsia"/>
          <w:lang w:val="en-US" w:eastAsia="zh-CN"/>
        </w:rPr>
        <w:t>3-3 露天开采矿山地质环境条件复杂程度分级表</w:t>
      </w:r>
    </w:p>
    <w:tbl>
      <w:tblPr>
        <w:tblStyle w:val="16"/>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1"/>
        <w:gridCol w:w="333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3311" w:type="dxa"/>
            <w:noWrap w:val="0"/>
            <w:vAlign w:val="center"/>
          </w:tcPr>
          <w:p>
            <w:pPr>
              <w:pStyle w:val="27"/>
              <w:bidi w:val="0"/>
              <w:rPr>
                <w:sz w:val="24"/>
                <w:szCs w:val="24"/>
              </w:rPr>
            </w:pPr>
            <w:r>
              <w:rPr>
                <w:b/>
                <w:bCs/>
                <w:sz w:val="24"/>
                <w:szCs w:val="24"/>
              </w:rPr>
              <w:t>复  杂</w:t>
            </w:r>
          </w:p>
        </w:tc>
        <w:tc>
          <w:tcPr>
            <w:tcW w:w="3334" w:type="dxa"/>
            <w:noWrap w:val="0"/>
            <w:vAlign w:val="center"/>
          </w:tcPr>
          <w:p>
            <w:pPr>
              <w:pStyle w:val="27"/>
              <w:bidi w:val="0"/>
              <w:rPr>
                <w:sz w:val="24"/>
                <w:szCs w:val="24"/>
              </w:rPr>
            </w:pPr>
            <w:r>
              <w:rPr>
                <w:sz w:val="24"/>
                <w:szCs w:val="24"/>
              </w:rPr>
              <w:t>中  等</w:t>
            </w:r>
          </w:p>
        </w:tc>
        <w:tc>
          <w:tcPr>
            <w:tcW w:w="2914" w:type="dxa"/>
            <w:noWrap w:val="0"/>
            <w:vAlign w:val="center"/>
          </w:tcPr>
          <w:p>
            <w:pPr>
              <w:pStyle w:val="27"/>
              <w:bidi w:val="0"/>
              <w:rPr>
                <w:sz w:val="24"/>
                <w:szCs w:val="24"/>
              </w:rPr>
            </w:pPr>
            <w:r>
              <w:rPr>
                <w:sz w:val="24"/>
                <w:szCs w:val="24"/>
              </w:rPr>
              <w:t>简  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位于地下水位以下，采场汇水面积大，采场进水边界条件复杂，与区域含水层或地表水联系密切，地下水补给、径流条件好，采场正常涌水量大于10 000 m³/d；采矿活动和疏排水容易导致矿区主要含水层破坏</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局部位于地下水位以下，采场汇水面积较大，与区域含水层或地表水联系较密切，采场正常涌水量3 000 m³/d~10 000 m³/d；采矿和疏排水比较容易导致矿区周围主要含水层影响或破坏</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位于地下水位以上，采场汇水面积小，与区域含水层、地表水联系不密切，采场正常涌水量小于3 000 m³/d；采矿和疏排水不易导致矿区周围主要含水层的影响或破坏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0"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矿床围岩岩体结构以碎裂结构、散体结构为主，软弱结构面、不良工程地质层发育，存在饱水软弱岩层或松散软弱岩层，含砂层多，分布广，残坡积层、基岩风化破碎带厚度大于10 m，稳固性差，采场岩石边坡风化或泥土层发育，边坡外倾软弱结构面或危岩发育，易导致边坡失稳</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矿床围岩岩体结构以薄到厚层状结构为主，软弱结构面、不良工程地质层发育中等，存在饱水软弱岩层和含水砂层，残坡积层、基岩风化破碎带厚度5 m~10 m，稳固性较差，采场边坡岩石风化较普遍，边坡存在外倾软弱结构面或危岩，局部可能产生边坡失稳</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矿床围岩岩体结构以巨厚层状</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块体状结构为主，软弱结构面、不良工程地质层不发育，残坡积层、基岩风化破碎带厚度小于5 m，稳固性较好，采场边坡岩石较完整，外倾软弱结构面或危岩基本不存在，边坡较稳定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地质构造复杂。矿床围岩产状变化大，断裂构造发育或有新活动断裂，导水断裂切割矿层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围岩、覆岩和主要含水层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带</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或沟通地表水体，导水性强，对采场充水影响大</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地质构造较复杂。矿床围岩产状变化较大，断裂构造较发育，切割矿层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围岩、覆岩和含水层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带</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，导水性差，对采场充水影响较大</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地质构造较简单。矿床围岩产状变化小，断裂构造不发育，断裂未切割矿层</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围岩、覆岩，对采矿影响小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现状条件下原生地质灾害发育，或矿山地质环境问题的类型多、危害大</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现状条件下，矿山地质环境问题的类型较多、危害较大</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现状条件下，矿山地质环境问题的类型少、危害小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采场面积及采坑深度大，边坡不稳定，易产生地质灾害</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采场面积及采坑深度较大，边坡较稳定，较易产生地质灾害</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采场面积及采坑深度小，边坡较稳定，不易产生地质灾害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3311"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地貌单元类型多，微地貌形态复杂，地形起伏变化大，不利于自然排水，</w:t>
            </w:r>
            <w:r>
              <w:rPr>
                <w:rFonts w:hint="eastAsia" w:ascii="宋体" w:hAnsi="宋体" w:eastAsia="宋体" w:cs="宋体"/>
                <w:b/>
                <w:bCs/>
                <w:i w:val="0"/>
                <w:iCs w:val="0"/>
                <w:color w:val="000000"/>
                <w:kern w:val="0"/>
                <w:sz w:val="24"/>
                <w:szCs w:val="24"/>
                <w:u w:val="none"/>
                <w:lang w:val="en-US" w:eastAsia="zh-CN" w:bidi="ar"/>
              </w:rPr>
              <w:t>地形坡度一般大于35°</w:t>
            </w:r>
            <w:r>
              <w:rPr>
                <w:rFonts w:hint="eastAsia" w:ascii="宋体" w:hAnsi="宋体" w:eastAsia="宋体" w:cs="宋体"/>
                <w:i w:val="0"/>
                <w:iCs w:val="0"/>
                <w:color w:val="000000"/>
                <w:kern w:val="0"/>
                <w:sz w:val="24"/>
                <w:szCs w:val="24"/>
                <w:u w:val="none"/>
                <w:lang w:val="en-US" w:eastAsia="zh-CN" w:bidi="ar"/>
              </w:rPr>
              <w:t>，相对高差大，高坡方向岩层与采坑斜坡多为同向</w:t>
            </w:r>
          </w:p>
        </w:tc>
        <w:tc>
          <w:tcPr>
            <w:tcW w:w="333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地貌单元类型较多，微地貌形态较复杂，地形起伏变化中等，自然排水条件一般，地形坡度一般20°~35°，相对高差较大，高坡方向岩层倾向与采坑斜坡多为斜交</w:t>
            </w:r>
          </w:p>
        </w:tc>
        <w:tc>
          <w:tcPr>
            <w:tcW w:w="2914" w:type="dxa"/>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000000"/>
                <w:kern w:val="0"/>
                <w:sz w:val="24"/>
                <w:szCs w:val="24"/>
                <w:u w:val="none"/>
                <w:lang w:val="en-US" w:eastAsia="zh-CN" w:bidi="ar"/>
              </w:rPr>
              <w:t>地貌单元单一，微地貌形态简单，地形较平缓，有利于自然排水，地形坡度一般小于20°，相对高差较小，高坡方向岩层倾向与采坑斜坡多为反向坡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559" w:type="dxa"/>
            <w:gridSpan w:val="3"/>
            <w:noWrap w:val="0"/>
            <w:vAlign w:val="center"/>
          </w:tcPr>
          <w:p>
            <w:pPr>
              <w:keepNext w:val="0"/>
              <w:keepLines w:val="0"/>
              <w:widowControl/>
              <w:suppressLineNumbers w:val="0"/>
              <w:ind w:firstLine="480" w:firstLineChars="200"/>
              <w:jc w:val="left"/>
              <w:textAlignment w:val="center"/>
              <w:rPr>
                <w:sz w:val="24"/>
                <w:szCs w:val="24"/>
              </w:rPr>
            </w:pPr>
            <w:r>
              <w:rPr>
                <w:rFonts w:hint="eastAsia" w:ascii="宋体" w:hAnsi="宋体" w:eastAsia="宋体" w:cs="宋体"/>
                <w:i w:val="0"/>
                <w:iCs w:val="0"/>
                <w:color w:val="666666"/>
                <w:kern w:val="0"/>
                <w:sz w:val="24"/>
                <w:szCs w:val="24"/>
                <w:u w:val="none"/>
                <w:lang w:val="en-US" w:eastAsia="zh-CN" w:bidi="ar"/>
              </w:rPr>
              <w:t>采取就上原则，只要有一条满足某一级别，应定为该级别。</w:t>
            </w:r>
          </w:p>
        </w:tc>
      </w:tr>
    </w:tbl>
    <w:p>
      <w:pPr>
        <w:pStyle w:val="13"/>
      </w:pPr>
    </w:p>
    <w:p>
      <w:pPr>
        <w:ind w:firstLine="560"/>
        <w:rPr>
          <w:sz w:val="28"/>
          <w:szCs w:val="28"/>
        </w:rPr>
      </w:pPr>
      <w:r>
        <w:rPr>
          <w:rFonts w:hint="eastAsia"/>
          <w:sz w:val="28"/>
          <w:szCs w:val="28"/>
          <w:lang w:eastAsia="zh-CN"/>
        </w:rPr>
        <w:t>（3）</w:t>
      </w:r>
      <w:r>
        <w:rPr>
          <w:sz w:val="28"/>
          <w:szCs w:val="28"/>
        </w:rPr>
        <w:t>矿山生产建设规模分级</w:t>
      </w:r>
    </w:p>
    <w:p>
      <w:pPr>
        <w:ind w:firstLine="560"/>
        <w:rPr>
          <w:sz w:val="28"/>
          <w:szCs w:val="28"/>
        </w:rPr>
      </w:pPr>
      <w:r>
        <w:rPr>
          <w:sz w:val="28"/>
          <w:szCs w:val="28"/>
        </w:rPr>
        <w:t>矿山开采矿种为</w:t>
      </w:r>
      <w:r>
        <w:rPr>
          <w:rFonts w:hint="eastAsia"/>
        </w:rPr>
        <w:t>建筑用石</w:t>
      </w:r>
      <w:r>
        <w:rPr>
          <w:sz w:val="28"/>
          <w:szCs w:val="28"/>
        </w:rPr>
        <w:t>，设计生产能力</w:t>
      </w:r>
      <w:r>
        <w:rPr>
          <w:rFonts w:hint="eastAsia"/>
          <w:sz w:val="28"/>
          <w:szCs w:val="28"/>
          <w:lang w:val="en-US" w:eastAsia="zh-CN"/>
        </w:rPr>
        <w:t>18</w:t>
      </w:r>
      <w:r>
        <w:rPr>
          <w:rFonts w:hint="eastAsia"/>
          <w:sz w:val="28"/>
          <w:szCs w:val="28"/>
          <w:lang w:eastAsia="zh-CN"/>
        </w:rPr>
        <w:t>万立方米</w:t>
      </w:r>
      <w:r>
        <w:rPr>
          <w:sz w:val="28"/>
          <w:szCs w:val="28"/>
        </w:rPr>
        <w:t>/年，开采方式为</w:t>
      </w:r>
      <w:r>
        <w:rPr>
          <w:rFonts w:hint="eastAsia"/>
          <w:sz w:val="28"/>
          <w:szCs w:val="28"/>
        </w:rPr>
        <w:t>露天开采</w:t>
      </w:r>
      <w:r>
        <w:rPr>
          <w:sz w:val="28"/>
          <w:szCs w:val="28"/>
        </w:rPr>
        <w:t>，对照《矿山地质环境保护与恢复治理方案编制规范》（DZ/T 0223-2011）附录表D矿山生产建设规模分类一览表，确定矿山生产建设规模级别为</w:t>
      </w:r>
      <w:r>
        <w:rPr>
          <w:rFonts w:hint="eastAsia"/>
          <w:sz w:val="28"/>
          <w:szCs w:val="28"/>
          <w:lang w:eastAsia="zh-CN"/>
        </w:rPr>
        <w:t>“</w:t>
      </w:r>
      <w:r>
        <w:rPr>
          <w:rFonts w:hint="eastAsia"/>
          <w:b/>
          <w:bCs/>
          <w:lang w:val="en-US" w:eastAsia="zh-CN"/>
        </w:rPr>
        <w:t>大</w:t>
      </w:r>
      <w:r>
        <w:rPr>
          <w:rFonts w:hint="eastAsia"/>
          <w:b/>
          <w:bCs/>
        </w:rPr>
        <w:t>型</w:t>
      </w:r>
      <w:r>
        <w:rPr>
          <w:rFonts w:hint="eastAsia"/>
          <w:sz w:val="28"/>
          <w:szCs w:val="28"/>
          <w:lang w:eastAsia="zh-CN"/>
        </w:rPr>
        <w:t>”</w:t>
      </w:r>
      <w:r>
        <w:rPr>
          <w:sz w:val="28"/>
          <w:szCs w:val="28"/>
        </w:rPr>
        <w:t>。</w:t>
      </w:r>
    </w:p>
    <w:p>
      <w:pPr>
        <w:pStyle w:val="8"/>
        <w:bidi w:val="0"/>
        <w:rPr>
          <w:rFonts w:hint="eastAsia"/>
          <w:lang w:val="en-US" w:eastAsia="zh-CN"/>
        </w:rPr>
      </w:pPr>
      <w:r>
        <w:t xml:space="preserve">表 </w:t>
      </w:r>
      <w:r>
        <w:rPr>
          <w:rFonts w:hint="eastAsia"/>
          <w:lang w:val="en-US" w:eastAsia="zh-CN"/>
        </w:rPr>
        <w:t xml:space="preserve">3-4 </w:t>
      </w:r>
      <w:r>
        <w:rPr>
          <w:rFonts w:hint="eastAsia"/>
        </w:rPr>
        <w:t>矿山建设规模分类表</w:t>
      </w:r>
    </w:p>
    <w:tbl>
      <w:tblPr>
        <w:tblStyle w:val="16"/>
        <w:tblW w:w="9339" w:type="dxa"/>
        <w:tblInd w:w="1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05"/>
        <w:gridCol w:w="2292"/>
        <w:gridCol w:w="2489"/>
        <w:gridCol w:w="225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2305" w:type="dxa"/>
            <w:vMerge w:val="restart"/>
            <w:tcBorders>
              <w:bottom w:val="single" w:color="auto" w:sz="6" w:space="0"/>
              <w:right w:val="single" w:color="auto" w:sz="6" w:space="0"/>
            </w:tcBorders>
            <w:noWrap w:val="0"/>
            <w:vAlign w:val="center"/>
          </w:tcPr>
          <w:p>
            <w:pPr>
              <w:pStyle w:val="27"/>
              <w:bidi w:val="0"/>
              <w:rPr>
                <w:rFonts w:hint="eastAsia"/>
              </w:rPr>
            </w:pPr>
            <w:r>
              <w:rPr>
                <w:rFonts w:hint="eastAsia"/>
              </w:rPr>
              <w:t>矿种类别</w:t>
            </w:r>
          </w:p>
        </w:tc>
        <w:tc>
          <w:tcPr>
            <w:tcW w:w="7034" w:type="dxa"/>
            <w:gridSpan w:val="3"/>
            <w:tcBorders>
              <w:left w:val="single" w:color="auto" w:sz="6" w:space="0"/>
              <w:bottom w:val="single" w:color="auto" w:sz="6" w:space="0"/>
            </w:tcBorders>
            <w:noWrap w:val="0"/>
            <w:vAlign w:val="center"/>
          </w:tcPr>
          <w:p>
            <w:pPr>
              <w:pStyle w:val="27"/>
              <w:bidi w:val="0"/>
              <w:rPr>
                <w:rFonts w:hint="eastAsia"/>
              </w:rPr>
            </w:pPr>
            <w:r>
              <w:rPr>
                <w:rFonts w:hint="eastAsia"/>
              </w:rPr>
              <w:t>矿山生产建设规模矿石（万立方米）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24" w:hRule="atLeast"/>
        </w:trPr>
        <w:tc>
          <w:tcPr>
            <w:tcW w:w="2305" w:type="dxa"/>
            <w:vMerge w:val="continue"/>
            <w:tcBorders>
              <w:top w:val="single" w:color="auto" w:sz="12" w:space="0"/>
              <w:bottom w:val="single" w:color="auto" w:sz="6" w:space="0"/>
              <w:right w:val="single" w:color="auto" w:sz="6" w:space="0"/>
            </w:tcBorders>
            <w:noWrap w:val="0"/>
            <w:vAlign w:val="center"/>
          </w:tcPr>
          <w:p>
            <w:pPr>
              <w:pStyle w:val="27"/>
              <w:bidi w:val="0"/>
              <w:rPr>
                <w:rFonts w:hint="eastAsia"/>
              </w:rPr>
            </w:pPr>
          </w:p>
        </w:tc>
        <w:tc>
          <w:tcPr>
            <w:tcW w:w="2292" w:type="dxa"/>
            <w:tcBorders>
              <w:top w:val="single" w:color="auto" w:sz="6" w:space="0"/>
              <w:left w:val="single" w:color="auto" w:sz="6" w:space="0"/>
              <w:bottom w:val="single" w:color="auto" w:sz="6" w:space="0"/>
              <w:right w:val="single" w:color="auto" w:sz="6" w:space="0"/>
            </w:tcBorders>
            <w:noWrap w:val="0"/>
            <w:vAlign w:val="center"/>
          </w:tcPr>
          <w:p>
            <w:pPr>
              <w:pStyle w:val="27"/>
              <w:bidi w:val="0"/>
              <w:rPr>
                <w:rFonts w:hint="eastAsia"/>
              </w:rPr>
            </w:pPr>
            <w:r>
              <w:rPr>
                <w:rFonts w:hint="eastAsia"/>
                <w:b/>
                <w:bCs/>
              </w:rPr>
              <w:t>大型</w:t>
            </w:r>
          </w:p>
        </w:tc>
        <w:tc>
          <w:tcPr>
            <w:tcW w:w="2489" w:type="dxa"/>
            <w:tcBorders>
              <w:top w:val="single" w:color="auto" w:sz="6" w:space="0"/>
              <w:left w:val="single" w:color="auto" w:sz="6" w:space="0"/>
              <w:bottom w:val="single" w:color="auto" w:sz="6" w:space="0"/>
              <w:right w:val="single" w:color="auto" w:sz="6" w:space="0"/>
            </w:tcBorders>
            <w:noWrap w:val="0"/>
            <w:vAlign w:val="center"/>
          </w:tcPr>
          <w:p>
            <w:pPr>
              <w:pStyle w:val="27"/>
              <w:bidi w:val="0"/>
              <w:rPr>
                <w:rFonts w:hint="eastAsia"/>
              </w:rPr>
            </w:pPr>
            <w:r>
              <w:rPr>
                <w:rFonts w:hint="eastAsia"/>
                <w:b w:val="0"/>
                <w:bCs w:val="0"/>
              </w:rPr>
              <w:t>中型</w:t>
            </w:r>
          </w:p>
        </w:tc>
        <w:tc>
          <w:tcPr>
            <w:tcW w:w="2253" w:type="dxa"/>
            <w:tcBorders>
              <w:top w:val="single" w:color="auto" w:sz="6" w:space="0"/>
              <w:left w:val="single" w:color="auto" w:sz="6" w:space="0"/>
              <w:bottom w:val="single" w:color="auto" w:sz="6" w:space="0"/>
            </w:tcBorders>
            <w:noWrap w:val="0"/>
            <w:vAlign w:val="center"/>
          </w:tcPr>
          <w:p>
            <w:pPr>
              <w:pStyle w:val="27"/>
              <w:bidi w:val="0"/>
              <w:rPr>
                <w:rFonts w:hint="eastAsia"/>
                <w:lang w:eastAsia="zh-CN"/>
              </w:rPr>
            </w:pPr>
            <w:r>
              <w:rPr>
                <w:rFonts w:hint="eastAsia"/>
                <w:lang w:val="en-US" w:eastAsia="zh-CN"/>
              </w:rPr>
              <w:t>小</w:t>
            </w:r>
            <w:r>
              <w:rPr>
                <w:rFonts w:hint="eastAsia"/>
                <w:lang w:eastAsia="zh-CN"/>
              </w:rPr>
              <w:t>型</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0" w:hRule="atLeast"/>
        </w:trPr>
        <w:tc>
          <w:tcPr>
            <w:tcW w:w="2305" w:type="dxa"/>
            <w:tcBorders>
              <w:top w:val="single" w:color="auto" w:sz="6" w:space="0"/>
              <w:right w:val="single" w:color="auto" w:sz="6" w:space="0"/>
            </w:tcBorders>
            <w:noWrap w:val="0"/>
            <w:vAlign w:val="center"/>
          </w:tcPr>
          <w:p>
            <w:pPr>
              <w:pStyle w:val="27"/>
              <w:bidi w:val="0"/>
              <w:rPr>
                <w:rFonts w:hint="eastAsia"/>
              </w:rPr>
            </w:pPr>
            <w:r>
              <w:rPr>
                <w:rFonts w:hint="eastAsia"/>
              </w:rPr>
              <w:t>建筑用石</w:t>
            </w:r>
          </w:p>
        </w:tc>
        <w:tc>
          <w:tcPr>
            <w:tcW w:w="2292" w:type="dxa"/>
            <w:tcBorders>
              <w:top w:val="single" w:color="auto" w:sz="6" w:space="0"/>
              <w:left w:val="single" w:color="auto" w:sz="6" w:space="0"/>
              <w:right w:val="single" w:color="auto" w:sz="6" w:space="0"/>
            </w:tcBorders>
            <w:noWrap w:val="0"/>
            <w:vAlign w:val="center"/>
          </w:tcPr>
          <w:p>
            <w:pPr>
              <w:pStyle w:val="27"/>
              <w:bidi w:val="0"/>
              <w:rPr>
                <w:rFonts w:hint="eastAsia"/>
              </w:rPr>
            </w:pPr>
            <w:r>
              <w:rPr>
                <w:rFonts w:hint="eastAsia"/>
              </w:rPr>
              <w:t>≥10</w:t>
            </w:r>
          </w:p>
        </w:tc>
        <w:tc>
          <w:tcPr>
            <w:tcW w:w="2489" w:type="dxa"/>
            <w:tcBorders>
              <w:top w:val="single" w:color="auto" w:sz="6" w:space="0"/>
              <w:left w:val="single" w:color="auto" w:sz="6" w:space="0"/>
              <w:right w:val="single" w:color="auto" w:sz="6" w:space="0"/>
            </w:tcBorders>
            <w:noWrap w:val="0"/>
            <w:vAlign w:val="center"/>
          </w:tcPr>
          <w:p>
            <w:pPr>
              <w:pStyle w:val="27"/>
              <w:bidi w:val="0"/>
              <w:rPr>
                <w:rFonts w:hint="eastAsia"/>
              </w:rPr>
            </w:pPr>
            <w:r>
              <w:rPr>
                <w:rFonts w:hint="eastAsia"/>
              </w:rPr>
              <w:t>10</w:t>
            </w:r>
            <w:r>
              <w:rPr>
                <w:rFonts w:hint="eastAsia"/>
                <w:lang w:eastAsia="zh-CN"/>
              </w:rPr>
              <w:t>~</w:t>
            </w:r>
            <w:r>
              <w:rPr>
                <w:rFonts w:hint="eastAsia"/>
              </w:rPr>
              <w:t>5</w:t>
            </w:r>
          </w:p>
        </w:tc>
        <w:tc>
          <w:tcPr>
            <w:tcW w:w="2253" w:type="dxa"/>
            <w:tcBorders>
              <w:top w:val="single" w:color="auto" w:sz="6" w:space="0"/>
              <w:left w:val="single" w:color="auto" w:sz="6" w:space="0"/>
            </w:tcBorders>
            <w:noWrap w:val="0"/>
            <w:vAlign w:val="center"/>
          </w:tcPr>
          <w:p>
            <w:pPr>
              <w:pStyle w:val="27"/>
              <w:bidi w:val="0"/>
              <w:rPr>
                <w:rFonts w:hint="eastAsia"/>
              </w:rPr>
            </w:pPr>
            <w:r>
              <w:rPr>
                <w:rFonts w:hint="eastAsia"/>
                <w:lang w:eastAsia="zh-CN"/>
              </w:rPr>
              <w:t>&lt;</w:t>
            </w:r>
            <w:r>
              <w:rPr>
                <w:rFonts w:hint="eastAsia"/>
              </w:rPr>
              <w:t>5</w:t>
            </w:r>
          </w:p>
        </w:tc>
      </w:tr>
    </w:tbl>
    <w:p>
      <w:pPr>
        <w:ind w:firstLine="560"/>
        <w:rPr>
          <w:sz w:val="28"/>
          <w:szCs w:val="28"/>
        </w:rPr>
      </w:pPr>
      <w:r>
        <w:rPr>
          <w:rFonts w:hint="eastAsia"/>
          <w:sz w:val="28"/>
          <w:szCs w:val="28"/>
          <w:lang w:eastAsia="zh-CN"/>
        </w:rPr>
        <w:t>（4）</w:t>
      </w:r>
      <w:r>
        <w:rPr>
          <w:sz w:val="28"/>
          <w:szCs w:val="28"/>
        </w:rPr>
        <w:t>评估级别的确定</w:t>
      </w:r>
    </w:p>
    <w:p>
      <w:pPr>
        <w:ind w:firstLine="560"/>
        <w:rPr>
          <w:sz w:val="28"/>
          <w:szCs w:val="28"/>
        </w:rPr>
      </w:pPr>
      <w:r>
        <w:rPr>
          <w:sz w:val="28"/>
          <w:szCs w:val="28"/>
        </w:rPr>
        <w:t>综上所述，项目区重要程度为</w:t>
      </w:r>
      <w:r>
        <w:rPr>
          <w:b w:val="0"/>
          <w:bCs w:val="0"/>
        </w:rPr>
        <w:t>较重要区</w:t>
      </w:r>
      <w:r>
        <w:rPr>
          <w:sz w:val="28"/>
          <w:szCs w:val="28"/>
        </w:rPr>
        <w:t>，地质环境条件复杂程度为</w:t>
      </w:r>
      <w:r>
        <w:rPr>
          <w:rFonts w:hint="eastAsia"/>
          <w:b w:val="0"/>
          <w:bCs w:val="0"/>
          <w:sz w:val="28"/>
          <w:szCs w:val="28"/>
        </w:rPr>
        <w:t>复杂</w:t>
      </w:r>
      <w:r>
        <w:rPr>
          <w:sz w:val="28"/>
          <w:szCs w:val="28"/>
        </w:rPr>
        <w:t>，矿山生产建设规模为</w:t>
      </w:r>
      <w:r>
        <w:rPr>
          <w:rFonts w:hint="eastAsia"/>
          <w:sz w:val="28"/>
          <w:szCs w:val="28"/>
          <w:lang w:val="en-US" w:eastAsia="zh-CN"/>
        </w:rPr>
        <w:t>中</w:t>
      </w:r>
      <w:r>
        <w:rPr>
          <w:sz w:val="28"/>
          <w:szCs w:val="28"/>
        </w:rPr>
        <w:t>型，根据《矿山地质环境保护与恢复治理方案编制规范》（DZ/T 0223-2011）附录A矿山地质</w:t>
      </w:r>
      <w:r>
        <w:rPr>
          <w:rFonts w:hint="eastAsia"/>
          <w:sz w:val="28"/>
          <w:szCs w:val="28"/>
          <w:lang w:eastAsia="zh-CN"/>
        </w:rPr>
        <w:t>环境影响评价</w:t>
      </w:r>
      <w:r>
        <w:rPr>
          <w:sz w:val="28"/>
          <w:szCs w:val="28"/>
        </w:rPr>
        <w:t>精度分级表（表A），确定本矿山地质</w:t>
      </w:r>
      <w:r>
        <w:rPr>
          <w:rFonts w:hint="eastAsia"/>
          <w:sz w:val="28"/>
          <w:szCs w:val="28"/>
          <w:lang w:eastAsia="zh-CN"/>
        </w:rPr>
        <w:t>环境影响评价</w:t>
      </w:r>
      <w:r>
        <w:rPr>
          <w:sz w:val="28"/>
          <w:szCs w:val="28"/>
        </w:rPr>
        <w:t>级别为</w:t>
      </w:r>
      <w:r>
        <w:rPr>
          <w:rFonts w:hint="eastAsia"/>
          <w:sz w:val="28"/>
          <w:szCs w:val="28"/>
          <w:lang w:eastAsia="zh-CN"/>
        </w:rPr>
        <w:t>“</w:t>
      </w:r>
      <w:r>
        <w:rPr>
          <w:rFonts w:hint="eastAsia"/>
          <w:b/>
          <w:bCs/>
          <w:sz w:val="28"/>
          <w:szCs w:val="28"/>
        </w:rPr>
        <w:t>一</w:t>
      </w:r>
      <w:r>
        <w:rPr>
          <w:b/>
          <w:bCs/>
          <w:sz w:val="28"/>
          <w:szCs w:val="28"/>
        </w:rPr>
        <w:t>级</w:t>
      </w:r>
      <w:r>
        <w:rPr>
          <w:rFonts w:hint="eastAsia"/>
          <w:sz w:val="28"/>
          <w:szCs w:val="28"/>
          <w:lang w:eastAsia="zh-CN"/>
        </w:rPr>
        <w:t>”</w:t>
      </w:r>
      <w:r>
        <w:rPr>
          <w:sz w:val="28"/>
          <w:szCs w:val="28"/>
        </w:rPr>
        <w:t>。详见表3-</w:t>
      </w:r>
      <w:r>
        <w:rPr>
          <w:rFonts w:hint="eastAsia"/>
          <w:sz w:val="28"/>
          <w:szCs w:val="28"/>
          <w:lang w:val="en-US" w:eastAsia="zh-CN"/>
        </w:rPr>
        <w:t>6</w:t>
      </w:r>
      <w:r>
        <w:rPr>
          <w:sz w:val="28"/>
          <w:szCs w:val="28"/>
        </w:rPr>
        <w:t>。</w:t>
      </w:r>
    </w:p>
    <w:p>
      <w:pPr>
        <w:rPr>
          <w:sz w:val="28"/>
          <w:szCs w:val="28"/>
        </w:rPr>
      </w:pPr>
      <w:r>
        <w:rPr>
          <w:sz w:val="28"/>
          <w:szCs w:val="28"/>
        </w:rPr>
        <w:br w:type="page"/>
      </w:r>
    </w:p>
    <w:p>
      <w:pPr>
        <w:pStyle w:val="8"/>
        <w:bidi w:val="0"/>
      </w:pPr>
      <w:r>
        <w:t>表</w:t>
      </w:r>
      <w:r>
        <w:rPr>
          <w:rFonts w:hint="eastAsia"/>
          <w:lang w:val="en-US" w:eastAsia="zh-CN"/>
        </w:rPr>
        <w:t xml:space="preserve"> </w:t>
      </w:r>
      <w:r>
        <w:t>3-</w:t>
      </w:r>
      <w:r>
        <w:rPr>
          <w:rFonts w:hint="eastAsia"/>
          <w:lang w:val="en-US" w:eastAsia="zh-CN"/>
        </w:rPr>
        <w:t>5</w:t>
      </w:r>
      <w:r>
        <w:t xml:space="preserve"> 矿山地质</w:t>
      </w:r>
      <w:r>
        <w:rPr>
          <w:rFonts w:hint="eastAsia"/>
          <w:lang w:eastAsia="zh-CN"/>
        </w:rPr>
        <w:t>环境影响评价</w:t>
      </w:r>
      <w:r>
        <w:t>分级表</w:t>
      </w:r>
    </w:p>
    <w:tbl>
      <w:tblPr>
        <w:tblStyle w:val="16"/>
        <w:tblW w:w="8862"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786"/>
        <w:gridCol w:w="1719"/>
        <w:gridCol w:w="1785"/>
        <w:gridCol w:w="1785"/>
        <w:gridCol w:w="1787"/>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tblHeader/>
          <w:jc w:val="center"/>
        </w:trPr>
        <w:tc>
          <w:tcPr>
            <w:tcW w:w="1786" w:type="dxa"/>
            <w:vMerge w:val="restart"/>
            <w:noWrap w:val="0"/>
            <w:vAlign w:val="center"/>
          </w:tcPr>
          <w:p>
            <w:pPr>
              <w:pStyle w:val="27"/>
              <w:bidi w:val="0"/>
            </w:pPr>
            <w:r>
              <w:t>评估区重要程度</w:t>
            </w:r>
          </w:p>
        </w:tc>
        <w:tc>
          <w:tcPr>
            <w:tcW w:w="1719" w:type="dxa"/>
            <w:vMerge w:val="restart"/>
            <w:noWrap w:val="0"/>
            <w:vAlign w:val="center"/>
          </w:tcPr>
          <w:p>
            <w:pPr>
              <w:pStyle w:val="27"/>
              <w:bidi w:val="0"/>
            </w:pPr>
            <w:r>
              <w:t>矿山建设规模</w:t>
            </w:r>
          </w:p>
        </w:tc>
        <w:tc>
          <w:tcPr>
            <w:tcW w:w="5357" w:type="dxa"/>
            <w:gridSpan w:val="3"/>
            <w:noWrap w:val="0"/>
            <w:vAlign w:val="center"/>
          </w:tcPr>
          <w:p>
            <w:pPr>
              <w:pStyle w:val="27"/>
              <w:bidi w:val="0"/>
            </w:pPr>
            <w:r>
              <w:t>地质环境条件复杂程度</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tblHeader/>
          <w:jc w:val="center"/>
        </w:trPr>
        <w:tc>
          <w:tcPr>
            <w:tcW w:w="1786" w:type="dxa"/>
            <w:vMerge w:val="continue"/>
            <w:noWrap w:val="0"/>
            <w:vAlign w:val="center"/>
          </w:tcPr>
          <w:p>
            <w:pPr>
              <w:pStyle w:val="27"/>
              <w:bidi w:val="0"/>
            </w:pPr>
          </w:p>
        </w:tc>
        <w:tc>
          <w:tcPr>
            <w:tcW w:w="1719" w:type="dxa"/>
            <w:vMerge w:val="continue"/>
            <w:noWrap w:val="0"/>
            <w:vAlign w:val="center"/>
          </w:tcPr>
          <w:p>
            <w:pPr>
              <w:pStyle w:val="27"/>
              <w:bidi w:val="0"/>
            </w:pPr>
          </w:p>
        </w:tc>
        <w:tc>
          <w:tcPr>
            <w:tcW w:w="1785" w:type="dxa"/>
            <w:noWrap w:val="0"/>
            <w:vAlign w:val="center"/>
          </w:tcPr>
          <w:p>
            <w:pPr>
              <w:pStyle w:val="27"/>
              <w:bidi w:val="0"/>
            </w:pPr>
            <w:r>
              <w:rPr>
                <w:b/>
                <w:bCs/>
              </w:rPr>
              <w:t>复杂</w:t>
            </w:r>
          </w:p>
        </w:tc>
        <w:tc>
          <w:tcPr>
            <w:tcW w:w="1785" w:type="dxa"/>
            <w:noWrap w:val="0"/>
            <w:vAlign w:val="center"/>
          </w:tcPr>
          <w:p>
            <w:pPr>
              <w:pStyle w:val="27"/>
              <w:bidi w:val="0"/>
            </w:pPr>
            <w:r>
              <w:t>中等</w:t>
            </w:r>
          </w:p>
        </w:tc>
        <w:tc>
          <w:tcPr>
            <w:tcW w:w="1787" w:type="dxa"/>
            <w:noWrap w:val="0"/>
            <w:vAlign w:val="center"/>
          </w:tcPr>
          <w:p>
            <w:pPr>
              <w:pStyle w:val="27"/>
              <w:bidi w:val="0"/>
            </w:pPr>
            <w:r>
              <w:t>简单</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restart"/>
            <w:noWrap w:val="0"/>
            <w:vAlign w:val="center"/>
          </w:tcPr>
          <w:p>
            <w:pPr>
              <w:pStyle w:val="27"/>
              <w:bidi w:val="0"/>
            </w:pPr>
            <w:r>
              <w:rPr>
                <w:b/>
                <w:bCs/>
              </w:rPr>
              <w:t>重要区</w:t>
            </w:r>
          </w:p>
        </w:tc>
        <w:tc>
          <w:tcPr>
            <w:tcW w:w="1719" w:type="dxa"/>
            <w:noWrap w:val="0"/>
            <w:vAlign w:val="center"/>
          </w:tcPr>
          <w:p>
            <w:pPr>
              <w:pStyle w:val="27"/>
              <w:bidi w:val="0"/>
            </w:pPr>
            <w:r>
              <w:rPr>
                <w:b/>
                <w:bCs/>
              </w:rPr>
              <w:t>大型</w:t>
            </w:r>
          </w:p>
        </w:tc>
        <w:tc>
          <w:tcPr>
            <w:tcW w:w="1785" w:type="dxa"/>
            <w:noWrap w:val="0"/>
            <w:vAlign w:val="center"/>
          </w:tcPr>
          <w:p>
            <w:pPr>
              <w:pStyle w:val="27"/>
              <w:bidi w:val="0"/>
            </w:pPr>
            <w:r>
              <w:rPr>
                <w:b/>
                <w:bCs/>
              </w:rPr>
              <w:t>一级</w:t>
            </w:r>
            <w:r>
              <w:rPr>
                <w:rFonts w:hint="eastAsia"/>
                <w:b/>
                <w:bCs/>
                <w:lang w:val="en-US" w:eastAsia="zh-CN"/>
              </w:rPr>
              <w:t>*</w:t>
            </w:r>
          </w:p>
        </w:tc>
        <w:tc>
          <w:tcPr>
            <w:tcW w:w="1785" w:type="dxa"/>
            <w:noWrap w:val="0"/>
            <w:vAlign w:val="center"/>
          </w:tcPr>
          <w:p>
            <w:pPr>
              <w:pStyle w:val="27"/>
              <w:bidi w:val="0"/>
            </w:pPr>
            <w:r>
              <w:t>一级</w:t>
            </w:r>
          </w:p>
        </w:tc>
        <w:tc>
          <w:tcPr>
            <w:tcW w:w="1787" w:type="dxa"/>
            <w:noWrap w:val="0"/>
            <w:vAlign w:val="center"/>
          </w:tcPr>
          <w:p>
            <w:pPr>
              <w:pStyle w:val="27"/>
              <w:bidi w:val="0"/>
            </w:pPr>
            <w:r>
              <w:t>一级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pPr>
            <w:r>
              <w:t>中型</w:t>
            </w:r>
          </w:p>
        </w:tc>
        <w:tc>
          <w:tcPr>
            <w:tcW w:w="1785" w:type="dxa"/>
            <w:noWrap w:val="0"/>
            <w:vAlign w:val="center"/>
          </w:tcPr>
          <w:p>
            <w:pPr>
              <w:pStyle w:val="27"/>
              <w:bidi w:val="0"/>
            </w:pPr>
            <w:r>
              <w:t>一级</w:t>
            </w:r>
          </w:p>
        </w:tc>
        <w:tc>
          <w:tcPr>
            <w:tcW w:w="1785" w:type="dxa"/>
            <w:noWrap w:val="0"/>
            <w:vAlign w:val="center"/>
          </w:tcPr>
          <w:p>
            <w:pPr>
              <w:pStyle w:val="27"/>
              <w:bidi w:val="0"/>
            </w:pPr>
            <w:r>
              <w:t>一级</w:t>
            </w:r>
          </w:p>
        </w:tc>
        <w:tc>
          <w:tcPr>
            <w:tcW w:w="1787" w:type="dxa"/>
            <w:noWrap w:val="0"/>
            <w:vAlign w:val="center"/>
          </w:tcPr>
          <w:p>
            <w:pPr>
              <w:pStyle w:val="27"/>
              <w:bidi w:val="0"/>
            </w:pPr>
            <w:r>
              <w:t>一级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pPr>
            <w:r>
              <w:t>小型</w:t>
            </w:r>
          </w:p>
        </w:tc>
        <w:tc>
          <w:tcPr>
            <w:tcW w:w="1785" w:type="dxa"/>
            <w:noWrap w:val="0"/>
            <w:vAlign w:val="center"/>
          </w:tcPr>
          <w:p>
            <w:pPr>
              <w:pStyle w:val="27"/>
              <w:bidi w:val="0"/>
            </w:pPr>
            <w:r>
              <w:t>一级</w:t>
            </w:r>
          </w:p>
        </w:tc>
        <w:tc>
          <w:tcPr>
            <w:tcW w:w="1785" w:type="dxa"/>
            <w:noWrap w:val="0"/>
            <w:vAlign w:val="center"/>
          </w:tcPr>
          <w:p>
            <w:pPr>
              <w:pStyle w:val="27"/>
              <w:bidi w:val="0"/>
            </w:pPr>
            <w:r>
              <w:t>一级</w:t>
            </w:r>
          </w:p>
        </w:tc>
        <w:tc>
          <w:tcPr>
            <w:tcW w:w="1787" w:type="dxa"/>
            <w:noWrap w:val="0"/>
            <w:vAlign w:val="center"/>
          </w:tcPr>
          <w:p>
            <w:pPr>
              <w:pStyle w:val="27"/>
              <w:bidi w:val="0"/>
            </w:pPr>
            <w:r>
              <w:t>二级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restart"/>
            <w:noWrap w:val="0"/>
            <w:vAlign w:val="center"/>
          </w:tcPr>
          <w:p>
            <w:pPr>
              <w:pStyle w:val="27"/>
              <w:bidi w:val="0"/>
            </w:pPr>
            <w:r>
              <w:rPr>
                <w:b w:val="0"/>
                <w:bCs w:val="0"/>
              </w:rPr>
              <w:t>较重要区</w:t>
            </w:r>
          </w:p>
        </w:tc>
        <w:tc>
          <w:tcPr>
            <w:tcW w:w="1719" w:type="dxa"/>
            <w:noWrap w:val="0"/>
            <w:vAlign w:val="center"/>
          </w:tcPr>
          <w:p>
            <w:pPr>
              <w:pStyle w:val="27"/>
              <w:bidi w:val="0"/>
            </w:pPr>
            <w:r>
              <w:t>大型</w:t>
            </w:r>
          </w:p>
        </w:tc>
        <w:tc>
          <w:tcPr>
            <w:tcW w:w="1785" w:type="dxa"/>
            <w:noWrap w:val="0"/>
            <w:vAlign w:val="center"/>
          </w:tcPr>
          <w:p>
            <w:pPr>
              <w:pStyle w:val="27"/>
              <w:bidi w:val="0"/>
            </w:pPr>
            <w:r>
              <w:t>一级</w:t>
            </w:r>
          </w:p>
        </w:tc>
        <w:tc>
          <w:tcPr>
            <w:tcW w:w="1785" w:type="dxa"/>
            <w:noWrap w:val="0"/>
            <w:vAlign w:val="center"/>
          </w:tcPr>
          <w:p>
            <w:pPr>
              <w:pStyle w:val="27"/>
              <w:bidi w:val="0"/>
            </w:pPr>
            <w:r>
              <w:t>一级</w:t>
            </w:r>
          </w:p>
        </w:tc>
        <w:tc>
          <w:tcPr>
            <w:tcW w:w="1787" w:type="dxa"/>
            <w:noWrap w:val="0"/>
            <w:vAlign w:val="center"/>
          </w:tcPr>
          <w:p>
            <w:pPr>
              <w:pStyle w:val="27"/>
              <w:bidi w:val="0"/>
            </w:pPr>
            <w:r>
              <w:t>一级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rPr>
                <w:b w:val="0"/>
                <w:bCs w:val="0"/>
              </w:rPr>
            </w:pPr>
            <w:r>
              <w:rPr>
                <w:b w:val="0"/>
                <w:bCs w:val="0"/>
              </w:rPr>
              <w:t>中型</w:t>
            </w:r>
          </w:p>
        </w:tc>
        <w:tc>
          <w:tcPr>
            <w:tcW w:w="1785" w:type="dxa"/>
            <w:noWrap w:val="0"/>
            <w:vAlign w:val="center"/>
          </w:tcPr>
          <w:p>
            <w:pPr>
              <w:pStyle w:val="27"/>
              <w:bidi w:val="0"/>
              <w:rPr>
                <w:rFonts w:hint="eastAsia"/>
                <w:b w:val="0"/>
                <w:bCs w:val="0"/>
                <w:lang w:val="en-US" w:eastAsia="zh-CN"/>
              </w:rPr>
            </w:pPr>
            <w:r>
              <w:rPr>
                <w:b w:val="0"/>
                <w:bCs w:val="0"/>
              </w:rPr>
              <w:t>一级</w:t>
            </w:r>
          </w:p>
        </w:tc>
        <w:tc>
          <w:tcPr>
            <w:tcW w:w="1785" w:type="dxa"/>
            <w:noWrap w:val="0"/>
            <w:vAlign w:val="center"/>
          </w:tcPr>
          <w:p>
            <w:pPr>
              <w:pStyle w:val="27"/>
              <w:bidi w:val="0"/>
            </w:pPr>
            <w:r>
              <w:t>二级</w:t>
            </w:r>
          </w:p>
        </w:tc>
        <w:tc>
          <w:tcPr>
            <w:tcW w:w="1787" w:type="dxa"/>
            <w:noWrap w:val="0"/>
            <w:vAlign w:val="center"/>
          </w:tcPr>
          <w:p>
            <w:pPr>
              <w:pStyle w:val="27"/>
              <w:bidi w:val="0"/>
            </w:pPr>
            <w:r>
              <w:t>二级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pPr>
            <w:r>
              <w:t>小型</w:t>
            </w:r>
          </w:p>
        </w:tc>
        <w:tc>
          <w:tcPr>
            <w:tcW w:w="1785" w:type="dxa"/>
            <w:noWrap w:val="0"/>
            <w:vAlign w:val="center"/>
          </w:tcPr>
          <w:p>
            <w:pPr>
              <w:pStyle w:val="27"/>
              <w:bidi w:val="0"/>
            </w:pPr>
            <w:r>
              <w:t>一级</w:t>
            </w:r>
          </w:p>
        </w:tc>
        <w:tc>
          <w:tcPr>
            <w:tcW w:w="1785" w:type="dxa"/>
            <w:noWrap w:val="0"/>
            <w:vAlign w:val="center"/>
          </w:tcPr>
          <w:p>
            <w:pPr>
              <w:pStyle w:val="27"/>
              <w:bidi w:val="0"/>
            </w:pPr>
            <w:r>
              <w:t>二级</w:t>
            </w:r>
          </w:p>
        </w:tc>
        <w:tc>
          <w:tcPr>
            <w:tcW w:w="1787" w:type="dxa"/>
            <w:noWrap w:val="0"/>
            <w:vAlign w:val="center"/>
          </w:tcPr>
          <w:p>
            <w:pPr>
              <w:pStyle w:val="27"/>
              <w:bidi w:val="0"/>
            </w:pPr>
            <w:r>
              <w:t>三级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restart"/>
            <w:noWrap w:val="0"/>
            <w:vAlign w:val="center"/>
          </w:tcPr>
          <w:p>
            <w:pPr>
              <w:pStyle w:val="27"/>
              <w:bidi w:val="0"/>
            </w:pPr>
            <w:r>
              <w:rPr>
                <w:b w:val="0"/>
                <w:bCs w:val="0"/>
              </w:rPr>
              <w:t>一般区</w:t>
            </w:r>
          </w:p>
        </w:tc>
        <w:tc>
          <w:tcPr>
            <w:tcW w:w="1719" w:type="dxa"/>
            <w:noWrap w:val="0"/>
            <w:vAlign w:val="center"/>
          </w:tcPr>
          <w:p>
            <w:pPr>
              <w:pStyle w:val="27"/>
              <w:bidi w:val="0"/>
            </w:pPr>
            <w:r>
              <w:t>大型</w:t>
            </w:r>
          </w:p>
        </w:tc>
        <w:tc>
          <w:tcPr>
            <w:tcW w:w="1785" w:type="dxa"/>
            <w:noWrap w:val="0"/>
            <w:vAlign w:val="center"/>
          </w:tcPr>
          <w:p>
            <w:pPr>
              <w:pStyle w:val="27"/>
              <w:bidi w:val="0"/>
            </w:pPr>
            <w:r>
              <w:t>一级</w:t>
            </w:r>
          </w:p>
        </w:tc>
        <w:tc>
          <w:tcPr>
            <w:tcW w:w="1785" w:type="dxa"/>
            <w:noWrap w:val="0"/>
            <w:vAlign w:val="center"/>
          </w:tcPr>
          <w:p>
            <w:pPr>
              <w:pStyle w:val="27"/>
              <w:bidi w:val="0"/>
            </w:pPr>
            <w:r>
              <w:t>二级</w:t>
            </w:r>
          </w:p>
        </w:tc>
        <w:tc>
          <w:tcPr>
            <w:tcW w:w="1787" w:type="dxa"/>
            <w:noWrap w:val="0"/>
            <w:vAlign w:val="center"/>
          </w:tcPr>
          <w:p>
            <w:pPr>
              <w:pStyle w:val="27"/>
              <w:bidi w:val="0"/>
            </w:pPr>
            <w:r>
              <w:t>二级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pPr>
            <w:r>
              <w:rPr>
                <w:b w:val="0"/>
                <w:bCs w:val="0"/>
              </w:rPr>
              <w:t>中型</w:t>
            </w:r>
          </w:p>
        </w:tc>
        <w:tc>
          <w:tcPr>
            <w:tcW w:w="1785" w:type="dxa"/>
            <w:noWrap w:val="0"/>
            <w:vAlign w:val="center"/>
          </w:tcPr>
          <w:p>
            <w:pPr>
              <w:pStyle w:val="27"/>
              <w:bidi w:val="0"/>
            </w:pPr>
            <w:r>
              <w:rPr>
                <w:b w:val="0"/>
                <w:bCs w:val="0"/>
              </w:rPr>
              <w:t>一级</w:t>
            </w:r>
          </w:p>
        </w:tc>
        <w:tc>
          <w:tcPr>
            <w:tcW w:w="1785" w:type="dxa"/>
            <w:noWrap w:val="0"/>
            <w:vAlign w:val="center"/>
          </w:tcPr>
          <w:p>
            <w:pPr>
              <w:pStyle w:val="27"/>
              <w:bidi w:val="0"/>
            </w:pPr>
            <w:r>
              <w:t>二级</w:t>
            </w:r>
          </w:p>
        </w:tc>
        <w:tc>
          <w:tcPr>
            <w:tcW w:w="1787" w:type="dxa"/>
            <w:noWrap w:val="0"/>
            <w:vAlign w:val="center"/>
          </w:tcPr>
          <w:p>
            <w:pPr>
              <w:pStyle w:val="27"/>
              <w:bidi w:val="0"/>
            </w:pPr>
            <w:r>
              <w:t>三级</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786" w:type="dxa"/>
            <w:vMerge w:val="continue"/>
            <w:noWrap w:val="0"/>
            <w:vAlign w:val="center"/>
          </w:tcPr>
          <w:p>
            <w:pPr>
              <w:pStyle w:val="27"/>
              <w:bidi w:val="0"/>
            </w:pPr>
          </w:p>
        </w:tc>
        <w:tc>
          <w:tcPr>
            <w:tcW w:w="1719" w:type="dxa"/>
            <w:noWrap w:val="0"/>
            <w:vAlign w:val="center"/>
          </w:tcPr>
          <w:p>
            <w:pPr>
              <w:pStyle w:val="27"/>
              <w:bidi w:val="0"/>
            </w:pPr>
            <w:r>
              <w:t>小型</w:t>
            </w:r>
          </w:p>
        </w:tc>
        <w:tc>
          <w:tcPr>
            <w:tcW w:w="1785" w:type="dxa"/>
            <w:noWrap w:val="0"/>
            <w:vAlign w:val="center"/>
          </w:tcPr>
          <w:p>
            <w:pPr>
              <w:pStyle w:val="27"/>
              <w:bidi w:val="0"/>
            </w:pPr>
            <w:r>
              <w:t>二级</w:t>
            </w:r>
          </w:p>
        </w:tc>
        <w:tc>
          <w:tcPr>
            <w:tcW w:w="1785" w:type="dxa"/>
            <w:noWrap w:val="0"/>
            <w:vAlign w:val="center"/>
          </w:tcPr>
          <w:p>
            <w:pPr>
              <w:pStyle w:val="27"/>
              <w:bidi w:val="0"/>
            </w:pPr>
            <w:r>
              <w:t>三级</w:t>
            </w:r>
          </w:p>
        </w:tc>
        <w:tc>
          <w:tcPr>
            <w:tcW w:w="1787" w:type="dxa"/>
            <w:noWrap w:val="0"/>
            <w:vAlign w:val="center"/>
          </w:tcPr>
          <w:p>
            <w:pPr>
              <w:pStyle w:val="27"/>
              <w:bidi w:val="0"/>
            </w:pPr>
            <w:r>
              <w:t>三级</w:t>
            </w:r>
          </w:p>
        </w:tc>
      </w:tr>
    </w:tbl>
    <w:p>
      <w:pPr>
        <w:bidi w:val="0"/>
        <w:ind w:left="0" w:leftChars="0" w:firstLine="0" w:firstLineChars="0"/>
        <w:rPr>
          <w:rFonts w:hint="eastAsia"/>
          <w:lang w:val="en-US" w:eastAsia="zh-CN"/>
        </w:rPr>
      </w:pPr>
    </w:p>
    <w:p>
      <w:pPr>
        <w:pStyle w:val="4"/>
        <w:bidi w:val="0"/>
      </w:pPr>
      <w:r>
        <w:rPr>
          <w:rFonts w:hint="eastAsia"/>
          <w:lang w:val="en-US" w:eastAsia="zh-CN"/>
        </w:rPr>
        <w:t>（一）</w:t>
      </w:r>
      <w:r>
        <w:t>现状问题</w:t>
      </w:r>
    </w:p>
    <w:p>
      <w:pPr>
        <w:pStyle w:val="5"/>
        <w:bidi w:val="0"/>
      </w:pPr>
      <w:r>
        <w:rPr>
          <w:rFonts w:hint="eastAsia"/>
          <w:lang w:val="en-US" w:eastAsia="zh-CN"/>
        </w:rPr>
        <w:t>1.</w:t>
      </w:r>
      <w:r>
        <w:t>不稳定地质体现状调查评估</w:t>
      </w:r>
    </w:p>
    <w:p>
      <w:pPr>
        <w:ind w:firstLine="560"/>
        <w:rPr>
          <w:sz w:val="28"/>
          <w:szCs w:val="28"/>
        </w:rPr>
      </w:pPr>
      <w:r>
        <w:rPr>
          <w:sz w:val="28"/>
          <w:szCs w:val="28"/>
        </w:rPr>
        <w:t>评估区地貌类型主要为低山丘陵区，地形坡度5°~</w:t>
      </w:r>
      <w:r>
        <w:rPr>
          <w:rFonts w:hint="eastAsia"/>
          <w:sz w:val="28"/>
          <w:szCs w:val="28"/>
          <w:lang w:val="en-US" w:eastAsia="zh-CN"/>
        </w:rPr>
        <w:t>3</w:t>
      </w:r>
      <w:r>
        <w:rPr>
          <w:sz w:val="28"/>
          <w:szCs w:val="28"/>
        </w:rPr>
        <w:t>5°，土地类型主要为耕地、乔木林地及采矿用地</w:t>
      </w:r>
      <w:r>
        <w:rPr>
          <w:rFonts w:hint="eastAsia"/>
          <w:sz w:val="28"/>
          <w:szCs w:val="28"/>
          <w:lang w:val="en-US" w:eastAsia="zh-CN"/>
        </w:rPr>
        <w:t>等</w:t>
      </w:r>
      <w:r>
        <w:rPr>
          <w:sz w:val="28"/>
          <w:szCs w:val="28"/>
        </w:rPr>
        <w:t>。根据现场调查发现，该矿山</w:t>
      </w:r>
      <w:r>
        <w:rPr>
          <w:rFonts w:hint="eastAsia"/>
          <w:sz w:val="28"/>
          <w:szCs w:val="28"/>
          <w:lang w:val="en-US" w:eastAsia="zh-CN"/>
        </w:rPr>
        <w:t>为生产</w:t>
      </w:r>
      <w:r>
        <w:rPr>
          <w:sz w:val="28"/>
          <w:szCs w:val="28"/>
        </w:rPr>
        <w:t>矿山</w:t>
      </w:r>
      <w:r>
        <w:rPr>
          <w:rFonts w:hint="eastAsia"/>
          <w:sz w:val="28"/>
          <w:szCs w:val="28"/>
        </w:rPr>
        <w:t>，有历史遗留掌子面，岩质边坡，高度小于</w:t>
      </w:r>
      <w:r>
        <w:rPr>
          <w:rFonts w:hint="eastAsia"/>
          <w:sz w:val="28"/>
          <w:szCs w:val="28"/>
          <w:lang w:val="en-US" w:eastAsia="zh-CN"/>
        </w:rPr>
        <w:t>2</w:t>
      </w:r>
      <w:r>
        <w:rPr>
          <w:rFonts w:hint="eastAsia"/>
          <w:sz w:val="28"/>
          <w:szCs w:val="28"/>
        </w:rPr>
        <w:t>5m，坡度小于</w:t>
      </w:r>
      <w:r>
        <w:rPr>
          <w:rFonts w:hint="eastAsia"/>
          <w:sz w:val="28"/>
          <w:szCs w:val="28"/>
          <w:lang w:val="en-US" w:eastAsia="zh-CN"/>
        </w:rPr>
        <w:t>8</w:t>
      </w:r>
      <w:r>
        <w:rPr>
          <w:rFonts w:hint="eastAsia"/>
          <w:sz w:val="28"/>
          <w:szCs w:val="28"/>
        </w:rPr>
        <w:t>0°，岩石呈块状，完整性好，水平和垂直两组节理，坡脚无堆积体</w:t>
      </w:r>
      <w:r>
        <w:rPr>
          <w:sz w:val="28"/>
          <w:szCs w:val="28"/>
        </w:rPr>
        <w:t>。经现场地质灾害调查，项目区现状</w:t>
      </w:r>
      <w:r>
        <w:rPr>
          <w:rFonts w:hint="eastAsia"/>
          <w:sz w:val="28"/>
          <w:szCs w:val="28"/>
          <w:lang w:val="en-US" w:eastAsia="zh-CN"/>
        </w:rPr>
        <w:t>存在</w:t>
      </w:r>
      <w:r>
        <w:rPr>
          <w:sz w:val="28"/>
          <w:szCs w:val="28"/>
        </w:rPr>
        <w:t>稳定</w:t>
      </w:r>
      <w:r>
        <w:rPr>
          <w:rFonts w:hint="eastAsia"/>
          <w:sz w:val="28"/>
          <w:szCs w:val="28"/>
          <w:lang w:val="en-US" w:eastAsia="zh-CN"/>
        </w:rPr>
        <w:t>性较差</w:t>
      </w:r>
      <w:r>
        <w:rPr>
          <w:sz w:val="28"/>
          <w:szCs w:val="28"/>
        </w:rPr>
        <w:t>地质体。</w:t>
      </w:r>
    </w:p>
    <w:p>
      <w:pPr>
        <w:ind w:firstLine="560"/>
        <w:rPr>
          <w:sz w:val="28"/>
          <w:szCs w:val="28"/>
        </w:rPr>
      </w:pPr>
      <w:r>
        <w:rPr>
          <w:rFonts w:hint="eastAsia"/>
          <w:sz w:val="28"/>
          <w:szCs w:val="28"/>
        </w:rPr>
        <w:t>根据</w:t>
      </w:r>
      <w:r>
        <w:rPr>
          <w:sz w:val="28"/>
          <w:szCs w:val="28"/>
        </w:rPr>
        <w:t>地质灾害调查，矿区内未发现滑坡、泥石流等地质灾害。矿区内现状地质灾害主要为冻土冻融</w:t>
      </w:r>
      <w:r>
        <w:rPr>
          <w:rFonts w:hint="eastAsia"/>
          <w:sz w:val="28"/>
          <w:szCs w:val="28"/>
          <w:lang w:val="en-US" w:eastAsia="zh-CN"/>
        </w:rPr>
        <w:t>及崩塌</w:t>
      </w:r>
      <w:r>
        <w:rPr>
          <w:sz w:val="28"/>
          <w:szCs w:val="28"/>
        </w:rPr>
        <w:t>，</w:t>
      </w:r>
      <w:r>
        <w:rPr>
          <w:rFonts w:hint="eastAsia"/>
          <w:sz w:val="28"/>
          <w:szCs w:val="28"/>
        </w:rPr>
        <w:t>区内无重要文物、自然保护区、名胜古迹等，冻土冻融主要是破坏道路，致使来往车辆颠簸，未造成人员伤亡和财产损失，发育弱，危害程度小，危险性小。</w:t>
      </w:r>
    </w:p>
    <w:p>
      <w:pPr>
        <w:ind w:firstLine="560"/>
        <w:rPr>
          <w:rFonts w:hint="eastAsia"/>
          <w:sz w:val="28"/>
          <w:szCs w:val="28"/>
        </w:rPr>
      </w:pPr>
      <w:r>
        <w:rPr>
          <w:rFonts w:hint="eastAsia"/>
          <w:sz w:val="28"/>
          <w:szCs w:val="28"/>
        </w:rPr>
        <w:t>1.冻土冻融</w:t>
      </w:r>
    </w:p>
    <w:p>
      <w:pPr>
        <w:ind w:firstLine="560"/>
        <w:rPr>
          <w:rFonts w:hint="eastAsia"/>
          <w:sz w:val="28"/>
          <w:szCs w:val="28"/>
        </w:rPr>
      </w:pPr>
      <w:r>
        <w:rPr>
          <w:rFonts w:hint="eastAsia"/>
          <w:sz w:val="28"/>
          <w:szCs w:val="28"/>
        </w:rPr>
        <w:t>评估区地处寒温带大陆性季风气候，冬夏温差大，有季节性冻土，一般冻深120</w:t>
      </w:r>
      <w:r>
        <w:rPr>
          <w:rFonts w:hint="eastAsia"/>
          <w:sz w:val="28"/>
          <w:szCs w:val="28"/>
          <w:lang w:eastAsia="zh-CN"/>
        </w:rPr>
        <w:t>—</w:t>
      </w:r>
      <w:r>
        <w:rPr>
          <w:rFonts w:hint="eastAsia"/>
          <w:sz w:val="28"/>
          <w:szCs w:val="28"/>
        </w:rPr>
        <w:t>170</w:t>
      </w:r>
      <w:r>
        <w:rPr>
          <w:rFonts w:hint="eastAsia"/>
          <w:sz w:val="28"/>
          <w:szCs w:val="28"/>
          <w:lang w:val="en-US" w:eastAsia="zh-CN"/>
        </w:rPr>
        <w:t>c</w:t>
      </w:r>
      <w:r>
        <w:rPr>
          <w:rFonts w:hint="eastAsia"/>
          <w:sz w:val="28"/>
          <w:szCs w:val="28"/>
        </w:rPr>
        <w:t>m，由于地表普遍发育第四系残、坡积物-粘性土（夹碎石），粘性土具有弱水性质，冬季</w:t>
      </w:r>
      <w:r>
        <w:rPr>
          <w:rFonts w:hint="eastAsia"/>
          <w:sz w:val="28"/>
          <w:szCs w:val="28"/>
          <w:lang w:eastAsia="zh-CN"/>
        </w:rPr>
        <w:t>水分</w:t>
      </w:r>
      <w:r>
        <w:rPr>
          <w:rFonts w:hint="eastAsia"/>
          <w:sz w:val="28"/>
          <w:szCs w:val="28"/>
        </w:rPr>
        <w:t>结晶产生冻胀，春季气温回升，上部融化的冰水下渗速度慢，造成融陷。土体频繁冻融对矿区道路及基础埋深小于冻土深度的建筑物基础稳定性有一定影响。由于评估区含水量不大，土体冻胀性不是很强，评估区内无重要的工程设施和基础设施，冻土冻融发育程度弱，危害程度小，危险性小。</w:t>
      </w:r>
    </w:p>
    <w:p>
      <w:pPr>
        <w:ind w:firstLine="560"/>
        <w:rPr>
          <w:rFonts w:hint="eastAsia"/>
          <w:sz w:val="28"/>
          <w:szCs w:val="28"/>
        </w:rPr>
      </w:pPr>
      <w:r>
        <w:rPr>
          <w:rFonts w:hint="eastAsia"/>
          <w:sz w:val="28"/>
          <w:szCs w:val="28"/>
        </w:rPr>
        <w:t>2.崩塌</w:t>
      </w:r>
    </w:p>
    <w:p>
      <w:pPr>
        <w:ind w:firstLine="560"/>
        <w:rPr>
          <w:rFonts w:hint="default" w:eastAsia="宋体"/>
          <w:sz w:val="28"/>
          <w:szCs w:val="28"/>
          <w:lang w:val="en-US" w:eastAsia="zh-CN"/>
        </w:rPr>
      </w:pPr>
      <w:r>
        <w:rPr>
          <w:rFonts w:hint="eastAsia"/>
          <w:sz w:val="28"/>
          <w:szCs w:val="28"/>
        </w:rPr>
        <w:t>矿区南部存在历史开采遗留的开采掌子面</w:t>
      </w:r>
      <w:r>
        <w:rPr>
          <w:rFonts w:hint="eastAsia"/>
          <w:sz w:val="28"/>
          <w:szCs w:val="28"/>
          <w:lang w:val="en-US" w:eastAsia="zh-CN"/>
        </w:rPr>
        <w:t>以及采场已形成129m平台，</w:t>
      </w:r>
      <w:r>
        <w:rPr>
          <w:rFonts w:hint="eastAsia"/>
          <w:sz w:val="28"/>
          <w:szCs w:val="28"/>
        </w:rPr>
        <w:t>已基本稳定，发育程度弱，危害程度小，危险性等级小。</w:t>
      </w:r>
    </w:p>
    <w:p>
      <w:pPr>
        <w:ind w:firstLine="560"/>
        <w:rPr>
          <w:sz w:val="28"/>
          <w:szCs w:val="28"/>
        </w:rPr>
      </w:pPr>
      <w:r>
        <w:rPr>
          <w:sz w:val="28"/>
          <w:szCs w:val="28"/>
        </w:rPr>
        <w:t>根据《矿山地质环境保护与恢复治理方案编制规范》（DZ/T 0223-2011）矿山地质环境影响程度分级表（表E），现状项目区地质灾害影响程度分级为“</w:t>
      </w:r>
      <w:r>
        <w:rPr>
          <w:b/>
          <w:bCs/>
          <w:sz w:val="28"/>
          <w:szCs w:val="28"/>
        </w:rPr>
        <w:t>较轻</w:t>
      </w:r>
      <w:r>
        <w:rPr>
          <w:sz w:val="28"/>
          <w:szCs w:val="28"/>
        </w:rPr>
        <w:t>”。</w:t>
      </w:r>
    </w:p>
    <w:p>
      <w:pPr>
        <w:pStyle w:val="5"/>
        <w:bidi w:val="0"/>
      </w:pPr>
      <w:r>
        <w:rPr>
          <w:rFonts w:hint="eastAsia"/>
          <w:lang w:val="en-US" w:eastAsia="zh-CN"/>
        </w:rPr>
        <w:t>2.</w:t>
      </w:r>
      <w:r>
        <w:t>含水层损毁现状调查评估</w:t>
      </w:r>
    </w:p>
    <w:p>
      <w:pPr>
        <w:bidi w:val="0"/>
      </w:pPr>
      <w:r>
        <w:rPr>
          <w:rFonts w:hint="eastAsia"/>
        </w:rPr>
        <w:t>矿山开采属于露天，且未揭露含水层，矿区内无地表水系</w:t>
      </w:r>
      <w:r>
        <w:t>。</w:t>
      </w:r>
      <w:r>
        <w:rPr>
          <w:rFonts w:hint="eastAsia"/>
        </w:rPr>
        <w:t>矿区积水</w:t>
      </w:r>
      <w:r>
        <w:t>与大气降水关系密切。每年融雪期</w:t>
      </w:r>
      <w:r>
        <w:rPr>
          <w:rFonts w:hint="eastAsia"/>
        </w:rPr>
        <w:t>和汛期</w:t>
      </w:r>
      <w:r>
        <w:t>，</w:t>
      </w:r>
      <w:r>
        <w:rPr>
          <w:rFonts w:hint="eastAsia"/>
        </w:rPr>
        <w:t>低洼处有积水</w:t>
      </w:r>
      <w:r>
        <w:t>。</w:t>
      </w:r>
    </w:p>
    <w:p>
      <w:pPr>
        <w:ind w:firstLine="560"/>
        <w:rPr>
          <w:sz w:val="28"/>
          <w:szCs w:val="28"/>
        </w:rPr>
      </w:pPr>
      <w:r>
        <w:rPr>
          <w:sz w:val="28"/>
          <w:szCs w:val="28"/>
        </w:rPr>
        <w:t>综上所述，根据《矿山地质环境保护与治理恢复方案编制规范》（DZ/T 0223-2011）矿山地质环境影响程度分级表（表E），确定该矿山采矿活动对地下含水层影响和损毁程度为“</w:t>
      </w:r>
      <w:r>
        <w:rPr>
          <w:b/>
          <w:bCs/>
          <w:sz w:val="28"/>
          <w:szCs w:val="28"/>
        </w:rPr>
        <w:t>较轻</w:t>
      </w:r>
      <w:r>
        <w:rPr>
          <w:sz w:val="28"/>
          <w:szCs w:val="28"/>
        </w:rPr>
        <w:t>”。</w:t>
      </w:r>
    </w:p>
    <w:p>
      <w:pPr>
        <w:pStyle w:val="5"/>
        <w:bidi w:val="0"/>
      </w:pPr>
      <w:r>
        <w:rPr>
          <w:rFonts w:hint="eastAsia"/>
          <w:lang w:val="en-US" w:eastAsia="zh-CN"/>
        </w:rPr>
        <w:t>3.</w:t>
      </w:r>
      <w:r>
        <w:t>地形地貌景观损毁现状调查评估</w:t>
      </w:r>
    </w:p>
    <w:p>
      <w:pPr>
        <w:ind w:firstLine="560"/>
        <w:rPr>
          <w:sz w:val="28"/>
          <w:szCs w:val="28"/>
        </w:rPr>
      </w:pPr>
      <w:r>
        <w:rPr>
          <w:sz w:val="28"/>
          <w:szCs w:val="28"/>
        </w:rPr>
        <w:t>矿区及周围无自然保护区、人文景观和风景旅游区，矿山所属地貌单元为低山丘陵，占地</w:t>
      </w:r>
      <w:r>
        <w:rPr>
          <w:rFonts w:hint="eastAsia"/>
          <w:sz w:val="28"/>
          <w:szCs w:val="28"/>
          <w:lang w:eastAsia="zh-CN"/>
        </w:rPr>
        <w:t>类型</w:t>
      </w:r>
      <w:r>
        <w:rPr>
          <w:sz w:val="28"/>
          <w:szCs w:val="28"/>
        </w:rPr>
        <w:t>主要为</w:t>
      </w:r>
      <w:r>
        <w:rPr>
          <w:rFonts w:hint="eastAsia"/>
          <w:sz w:val="28"/>
          <w:szCs w:val="28"/>
          <w:lang w:val="en-US" w:eastAsia="zh-CN"/>
        </w:rPr>
        <w:t>采矿用地</w:t>
      </w:r>
      <w:r>
        <w:rPr>
          <w:sz w:val="28"/>
          <w:szCs w:val="28"/>
        </w:rPr>
        <w:t>。矿山属</w:t>
      </w:r>
      <w:r>
        <w:rPr>
          <w:rFonts w:hint="eastAsia"/>
          <w:sz w:val="28"/>
          <w:szCs w:val="28"/>
        </w:rPr>
        <w:t>露天</w:t>
      </w:r>
      <w:r>
        <w:rPr>
          <w:sz w:val="28"/>
          <w:szCs w:val="28"/>
        </w:rPr>
        <w:t>开采，矿山的建设对原生的地形地貌</w:t>
      </w:r>
      <w:r>
        <w:rPr>
          <w:rFonts w:hint="eastAsia"/>
          <w:sz w:val="28"/>
          <w:szCs w:val="28"/>
          <w:lang w:eastAsia="zh-CN"/>
        </w:rPr>
        <w:t>景观</w:t>
      </w:r>
      <w:r>
        <w:rPr>
          <w:sz w:val="28"/>
          <w:szCs w:val="28"/>
        </w:rPr>
        <w:t>影响和破坏程度</w:t>
      </w:r>
      <w:r>
        <w:rPr>
          <w:rFonts w:hint="eastAsia"/>
          <w:sz w:val="28"/>
          <w:szCs w:val="28"/>
        </w:rPr>
        <w:t>较严重</w:t>
      </w:r>
      <w:r>
        <w:rPr>
          <w:sz w:val="28"/>
          <w:szCs w:val="28"/>
        </w:rPr>
        <w:t>。</w:t>
      </w:r>
    </w:p>
    <w:p>
      <w:pPr>
        <w:ind w:firstLine="560"/>
        <w:rPr>
          <w:sz w:val="28"/>
          <w:szCs w:val="28"/>
        </w:rPr>
      </w:pPr>
      <w:r>
        <w:rPr>
          <w:rFonts w:hint="eastAsia"/>
          <w:sz w:val="28"/>
          <w:szCs w:val="28"/>
        </w:rPr>
        <w:t>现状评估历史采矿对采掘场</w:t>
      </w:r>
      <w:r>
        <w:rPr>
          <w:rFonts w:hint="eastAsia"/>
          <w:sz w:val="28"/>
          <w:szCs w:val="28"/>
          <w:lang w:val="en-US" w:eastAsia="zh-CN"/>
        </w:rPr>
        <w:t>及工业广场</w:t>
      </w:r>
      <w:r>
        <w:rPr>
          <w:rFonts w:hint="eastAsia"/>
          <w:sz w:val="28"/>
          <w:szCs w:val="28"/>
        </w:rPr>
        <w:t>地形地貌景观影响</w:t>
      </w:r>
      <w:r>
        <w:rPr>
          <w:rFonts w:hint="eastAsia"/>
          <w:sz w:val="28"/>
          <w:szCs w:val="28"/>
          <w:lang w:eastAsia="zh-CN"/>
        </w:rPr>
        <w:t>“</w:t>
      </w:r>
      <w:r>
        <w:rPr>
          <w:rFonts w:hint="eastAsia"/>
          <w:b/>
          <w:bCs/>
          <w:sz w:val="28"/>
          <w:szCs w:val="28"/>
          <w:lang w:val="en-US" w:eastAsia="zh-CN"/>
        </w:rPr>
        <w:t>较</w:t>
      </w:r>
      <w:r>
        <w:rPr>
          <w:rFonts w:hint="eastAsia"/>
          <w:b/>
          <w:bCs/>
          <w:sz w:val="28"/>
          <w:szCs w:val="28"/>
        </w:rPr>
        <w:t>严重</w:t>
      </w:r>
      <w:r>
        <w:rPr>
          <w:rFonts w:hint="eastAsia"/>
          <w:sz w:val="28"/>
          <w:szCs w:val="28"/>
          <w:lang w:eastAsia="zh-CN"/>
        </w:rPr>
        <w:t>”</w:t>
      </w:r>
      <w:r>
        <w:rPr>
          <w:rFonts w:hint="eastAsia"/>
          <w:sz w:val="28"/>
          <w:szCs w:val="28"/>
        </w:rPr>
        <w:t>，对</w:t>
      </w:r>
      <w:r>
        <w:rPr>
          <w:rFonts w:hint="eastAsia"/>
          <w:sz w:val="28"/>
          <w:szCs w:val="28"/>
          <w:lang w:eastAsia="zh-CN"/>
        </w:rPr>
        <w:t>其他</w:t>
      </w:r>
      <w:r>
        <w:rPr>
          <w:rFonts w:hint="eastAsia"/>
          <w:sz w:val="28"/>
          <w:szCs w:val="28"/>
        </w:rPr>
        <w:t>区域影响</w:t>
      </w:r>
      <w:r>
        <w:rPr>
          <w:rFonts w:hint="eastAsia"/>
          <w:sz w:val="28"/>
          <w:szCs w:val="28"/>
          <w:lang w:eastAsia="zh-CN"/>
        </w:rPr>
        <w:t>“</w:t>
      </w:r>
      <w:r>
        <w:rPr>
          <w:rFonts w:hint="eastAsia"/>
          <w:b/>
          <w:bCs/>
          <w:sz w:val="28"/>
          <w:szCs w:val="28"/>
        </w:rPr>
        <w:t>较轻</w:t>
      </w:r>
      <w:r>
        <w:rPr>
          <w:rFonts w:hint="eastAsia"/>
          <w:sz w:val="28"/>
          <w:szCs w:val="28"/>
          <w:lang w:eastAsia="zh-CN"/>
        </w:rPr>
        <w:t>”</w:t>
      </w:r>
      <w:r>
        <w:rPr>
          <w:rFonts w:hint="eastAsia"/>
          <w:sz w:val="28"/>
          <w:szCs w:val="28"/>
        </w:rPr>
        <w:t>。</w:t>
      </w:r>
    </w:p>
    <w:p>
      <w:pPr>
        <w:pStyle w:val="5"/>
        <w:bidi w:val="0"/>
      </w:pPr>
      <w:r>
        <w:rPr>
          <w:rFonts w:hint="eastAsia"/>
          <w:lang w:val="en-US" w:eastAsia="zh-CN"/>
        </w:rPr>
        <w:t>4.</w:t>
      </w:r>
      <w:r>
        <w:t>水土环境污染现状调查评估</w:t>
      </w:r>
    </w:p>
    <w:p>
      <w:pPr>
        <w:ind w:firstLine="560"/>
        <w:rPr>
          <w:rFonts w:hint="eastAsia"/>
          <w:sz w:val="28"/>
          <w:szCs w:val="28"/>
        </w:rPr>
      </w:pPr>
      <w:r>
        <w:rPr>
          <w:rFonts w:hint="eastAsia"/>
          <w:sz w:val="28"/>
          <w:szCs w:val="28"/>
        </w:rPr>
        <w:t>矿山开采方式为露天开采，矿区开采层位内不赋存有地下水，开采层位位于最低侵蚀基准面以上，且矿区不存在选矿、冶炼等对水资源产生影响的工程活动，所以对水土资源及环境基本无影响。</w:t>
      </w:r>
    </w:p>
    <w:p>
      <w:pPr>
        <w:ind w:firstLine="560"/>
        <w:rPr>
          <w:bCs/>
          <w:sz w:val="28"/>
          <w:szCs w:val="28"/>
        </w:rPr>
      </w:pPr>
      <w:r>
        <w:rPr>
          <w:sz w:val="28"/>
          <w:szCs w:val="28"/>
        </w:rPr>
        <w:t>现状</w:t>
      </w:r>
      <w:r>
        <w:rPr>
          <w:rFonts w:hint="eastAsia"/>
          <w:sz w:val="28"/>
          <w:szCs w:val="28"/>
        </w:rPr>
        <w:t>土</w:t>
      </w:r>
      <w:r>
        <w:rPr>
          <w:sz w:val="28"/>
          <w:szCs w:val="28"/>
        </w:rPr>
        <w:t>环境污染</w:t>
      </w:r>
      <w:r>
        <w:rPr>
          <w:rFonts w:hint="eastAsia"/>
          <w:sz w:val="28"/>
          <w:szCs w:val="28"/>
          <w:lang w:eastAsia="zh-CN"/>
        </w:rPr>
        <w:t>“</w:t>
      </w:r>
      <w:r>
        <w:rPr>
          <w:b/>
          <w:bCs/>
          <w:sz w:val="28"/>
          <w:szCs w:val="28"/>
        </w:rPr>
        <w:t>较轻</w:t>
      </w:r>
      <w:r>
        <w:rPr>
          <w:rFonts w:hint="eastAsia"/>
          <w:sz w:val="28"/>
          <w:szCs w:val="28"/>
          <w:lang w:eastAsia="zh-CN"/>
        </w:rPr>
        <w:t>”</w:t>
      </w:r>
      <w:r>
        <w:rPr>
          <w:sz w:val="28"/>
          <w:szCs w:val="28"/>
        </w:rPr>
        <w:t>。</w:t>
      </w:r>
    </w:p>
    <w:p>
      <w:pPr>
        <w:pStyle w:val="5"/>
        <w:bidi w:val="0"/>
      </w:pPr>
      <w:r>
        <w:rPr>
          <w:rFonts w:hint="eastAsia"/>
          <w:lang w:val="en-US" w:eastAsia="zh-CN"/>
        </w:rPr>
        <w:t>5.</w:t>
      </w:r>
      <w:r>
        <w:t>土地损毁现状调查评估</w:t>
      </w:r>
    </w:p>
    <w:p>
      <w:pPr>
        <w:ind w:firstLine="560"/>
        <w:rPr>
          <w:rFonts w:hint="eastAsia"/>
          <w:kern w:val="0"/>
          <w:sz w:val="28"/>
          <w:szCs w:val="28"/>
          <w:vertAlign w:val="baseline"/>
          <w:lang w:eastAsia="zh-CN"/>
        </w:rPr>
      </w:pPr>
      <w:r>
        <w:rPr>
          <w:sz w:val="28"/>
          <w:szCs w:val="28"/>
        </w:rPr>
        <w:t>通过现场实地调查和测量，</w:t>
      </w:r>
      <w:r>
        <w:rPr>
          <w:rFonts w:hint="eastAsia"/>
          <w:sz w:val="28"/>
          <w:szCs w:val="28"/>
          <w:lang w:val="en-US" w:eastAsia="zh-CN"/>
        </w:rPr>
        <w:t>采场</w:t>
      </w:r>
      <w:r>
        <w:rPr>
          <w:rFonts w:hint="eastAsia"/>
          <w:sz w:val="28"/>
          <w:szCs w:val="28"/>
        </w:rPr>
        <w:t>及工业广场区</w:t>
      </w:r>
      <w:r>
        <w:rPr>
          <w:rFonts w:hint="eastAsia"/>
          <w:sz w:val="28"/>
          <w:szCs w:val="28"/>
          <w:lang w:val="en-US" w:eastAsia="zh-CN"/>
        </w:rPr>
        <w:t>对</w:t>
      </w:r>
      <w:r>
        <w:rPr>
          <w:rFonts w:hint="eastAsia"/>
          <w:sz w:val="28"/>
          <w:szCs w:val="28"/>
        </w:rPr>
        <w:t>地表土地损毁，损毁面积为</w:t>
      </w:r>
      <w:r>
        <w:rPr>
          <w:rFonts w:hint="eastAsia"/>
          <w:lang w:val="en-US" w:eastAsia="zh-CN"/>
        </w:rPr>
        <w:t>**.****</w:t>
      </w:r>
      <w:r>
        <w:rPr>
          <w:rFonts w:hint="eastAsia"/>
          <w:sz w:val="28"/>
          <w:szCs w:val="28"/>
        </w:rPr>
        <w:t xml:space="preserve"> </w:t>
      </w:r>
      <w:r>
        <w:rPr>
          <w:kern w:val="0"/>
          <w:sz w:val="28"/>
          <w:szCs w:val="28"/>
        </w:rPr>
        <w:t>hm</w:t>
      </w:r>
      <w:r>
        <w:rPr>
          <w:kern w:val="0"/>
          <w:sz w:val="28"/>
          <w:szCs w:val="28"/>
          <w:vertAlign w:val="superscript"/>
        </w:rPr>
        <w:t>2</w:t>
      </w:r>
      <w:r>
        <w:rPr>
          <w:rFonts w:hint="eastAsia"/>
          <w:kern w:val="0"/>
          <w:sz w:val="28"/>
          <w:szCs w:val="28"/>
          <w:vertAlign w:val="baseline"/>
          <w:lang w:eastAsia="zh-CN"/>
        </w:rPr>
        <w:t>。</w:t>
      </w:r>
      <w:r>
        <w:rPr>
          <w:rFonts w:hint="eastAsia"/>
        </w:rPr>
        <w:t>现状评估历史采矿对采掘场</w:t>
      </w:r>
      <w:r>
        <w:rPr>
          <w:rFonts w:hint="eastAsia"/>
          <w:lang w:val="en-US" w:eastAsia="zh-CN"/>
        </w:rPr>
        <w:t>和工业广场对</w:t>
      </w:r>
      <w:r>
        <w:rPr>
          <w:rFonts w:hint="eastAsia"/>
          <w:color w:val="auto"/>
          <w:sz w:val="28"/>
          <w:szCs w:val="28"/>
          <w:lang w:val="en-US" w:eastAsia="zh-CN"/>
        </w:rPr>
        <w:t>土地资源影响</w:t>
      </w:r>
      <w:r>
        <w:rPr>
          <w:rFonts w:hint="eastAsia"/>
          <w:lang w:eastAsia="zh-CN"/>
        </w:rPr>
        <w:t>“</w:t>
      </w:r>
      <w:r>
        <w:rPr>
          <w:rFonts w:hint="eastAsia"/>
          <w:b/>
          <w:bCs/>
          <w:lang w:val="en-US" w:eastAsia="zh-CN"/>
        </w:rPr>
        <w:t>较严重</w:t>
      </w:r>
      <w:r>
        <w:rPr>
          <w:rFonts w:hint="eastAsia"/>
          <w:lang w:eastAsia="zh-CN"/>
        </w:rPr>
        <w:t>”</w:t>
      </w:r>
      <w:r>
        <w:rPr>
          <w:rFonts w:hint="eastAsia"/>
        </w:rPr>
        <w:t>，对</w:t>
      </w:r>
      <w:r>
        <w:rPr>
          <w:rFonts w:hint="eastAsia"/>
          <w:lang w:eastAsia="zh-CN"/>
        </w:rPr>
        <w:t>其他</w:t>
      </w:r>
      <w:r>
        <w:rPr>
          <w:rFonts w:hint="eastAsia"/>
        </w:rPr>
        <w:t>区域影响</w:t>
      </w:r>
      <w:r>
        <w:rPr>
          <w:rFonts w:hint="eastAsia"/>
          <w:color w:val="auto"/>
          <w:sz w:val="28"/>
          <w:szCs w:val="28"/>
          <w:lang w:eastAsia="zh-CN"/>
        </w:rPr>
        <w:t>“</w:t>
      </w:r>
      <w:r>
        <w:rPr>
          <w:b/>
          <w:bCs/>
          <w:color w:val="auto"/>
          <w:sz w:val="28"/>
          <w:szCs w:val="28"/>
        </w:rPr>
        <w:t>较轻</w:t>
      </w:r>
      <w:r>
        <w:rPr>
          <w:rFonts w:hint="eastAsia"/>
          <w:color w:val="auto"/>
          <w:sz w:val="28"/>
          <w:szCs w:val="28"/>
          <w:lang w:eastAsia="zh-CN"/>
        </w:rPr>
        <w:t>”。</w:t>
      </w:r>
    </w:p>
    <w:p>
      <w:pPr>
        <w:pStyle w:val="8"/>
        <w:bidi w:val="0"/>
      </w:pPr>
      <w:r>
        <w:rPr>
          <w:rFonts w:hint="eastAsia"/>
        </w:rPr>
        <w:t>表 3-</w:t>
      </w:r>
      <w:r>
        <w:rPr>
          <w:rFonts w:hint="eastAsia"/>
          <w:lang w:val="en-US" w:eastAsia="zh-CN"/>
        </w:rPr>
        <w:t>6</w:t>
      </w:r>
      <w:r>
        <w:rPr>
          <w:rFonts w:hint="eastAsia"/>
        </w:rPr>
        <w:t xml:space="preserve"> 已破坏土地现状表</w:t>
      </w:r>
    </w:p>
    <w:tbl>
      <w:tblPr>
        <w:tblStyle w:val="16"/>
        <w:tblW w:w="98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1"/>
        <w:gridCol w:w="1965"/>
        <w:gridCol w:w="1425"/>
        <w:gridCol w:w="1815"/>
        <w:gridCol w:w="1215"/>
        <w:gridCol w:w="1293"/>
        <w:gridCol w:w="1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2706" w:type="dxa"/>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一级地类</w:t>
            </w:r>
          </w:p>
        </w:tc>
        <w:tc>
          <w:tcPr>
            <w:tcW w:w="3240" w:type="dxa"/>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二级地类</w:t>
            </w:r>
          </w:p>
        </w:tc>
        <w:tc>
          <w:tcPr>
            <w:tcW w:w="1215"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损毁状态</w:t>
            </w:r>
          </w:p>
        </w:tc>
        <w:tc>
          <w:tcPr>
            <w:tcW w:w="1293"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损毁程度</w:t>
            </w:r>
          </w:p>
        </w:tc>
        <w:tc>
          <w:tcPr>
            <w:tcW w:w="1415" w:type="dxa"/>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面积（hm</w:t>
            </w:r>
            <w:r>
              <w:rPr>
                <w:rFonts w:hint="eastAsia"/>
                <w:vertAlign w:val="superscript"/>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编码</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名称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编码</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名称</w:t>
            </w:r>
          </w:p>
        </w:tc>
        <w:tc>
          <w:tcPr>
            <w:tcW w:w="1215"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415" w:type="dxa"/>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耕地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0103</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旱地</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林地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0301</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乔木林地</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0404</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其他草地</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工矿仓储用地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0602</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采矿用地</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较轻、较严重</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交通运输用地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1006</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农村道路</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74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w:t>
            </w:r>
          </w:p>
        </w:tc>
        <w:tc>
          <w:tcPr>
            <w:tcW w:w="196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水域及水利设施用地</w:t>
            </w:r>
          </w:p>
        </w:tc>
        <w:tc>
          <w:tcPr>
            <w:tcW w:w="14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1104</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坑塘水面</w:t>
            </w:r>
          </w:p>
        </w:tc>
        <w:tc>
          <w:tcPr>
            <w:tcW w:w="12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已损毁</w:t>
            </w:r>
          </w:p>
        </w:tc>
        <w:tc>
          <w:tcPr>
            <w:tcW w:w="1293"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较轻</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8454" w:type="dxa"/>
            <w:gridSpan w:val="6"/>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141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r>
    </w:tbl>
    <w:p>
      <w:pPr>
        <w:pStyle w:val="5"/>
        <w:bidi w:val="0"/>
      </w:pPr>
      <w:r>
        <w:rPr>
          <w:rFonts w:hint="eastAsia"/>
          <w:lang w:val="en-US" w:eastAsia="zh-CN"/>
        </w:rPr>
        <w:t>6.</w:t>
      </w:r>
      <w:r>
        <w:t>现状综合评估</w:t>
      </w:r>
    </w:p>
    <w:p>
      <w:pPr>
        <w:bidi w:val="0"/>
      </w:pPr>
      <w:r>
        <w:rPr>
          <w:rFonts w:hint="eastAsia"/>
          <w:lang w:eastAsia="zh-CN"/>
        </w:rPr>
        <w:t>（1）</w:t>
      </w:r>
      <w:r>
        <w:t>矿山地质环境影响程度分级</w:t>
      </w:r>
    </w:p>
    <w:p>
      <w:pPr>
        <w:ind w:firstLine="560"/>
        <w:rPr>
          <w:rFonts w:hint="eastAsia"/>
          <w:sz w:val="28"/>
          <w:szCs w:val="28"/>
          <w:lang w:eastAsia="zh-CN"/>
        </w:rPr>
      </w:pPr>
      <w:r>
        <w:rPr>
          <w:sz w:val="28"/>
          <w:szCs w:val="28"/>
        </w:rPr>
        <w:t>根据《矿山地质环境保护与恢复治理方案编制规范》（DZ/T 223-2011）表E中矿山地质环境影响程度分级表，现状评估区地质灾害影响程度分级为</w:t>
      </w:r>
      <w:r>
        <w:rPr>
          <w:rFonts w:hint="eastAsia"/>
          <w:sz w:val="28"/>
          <w:szCs w:val="28"/>
          <w:lang w:eastAsia="zh-CN"/>
        </w:rPr>
        <w:t>“</w:t>
      </w:r>
      <w:r>
        <w:rPr>
          <w:b/>
          <w:bCs/>
          <w:sz w:val="28"/>
          <w:szCs w:val="28"/>
        </w:rPr>
        <w:t>较轻</w:t>
      </w:r>
      <w:r>
        <w:rPr>
          <w:rFonts w:hint="eastAsia"/>
          <w:sz w:val="28"/>
          <w:szCs w:val="28"/>
          <w:lang w:eastAsia="zh-CN"/>
        </w:rPr>
        <w:t>”</w:t>
      </w:r>
      <w:r>
        <w:rPr>
          <w:sz w:val="28"/>
          <w:szCs w:val="28"/>
        </w:rPr>
        <w:t>；含水层破坏影响程度分级为</w:t>
      </w:r>
      <w:r>
        <w:rPr>
          <w:rFonts w:hint="eastAsia"/>
          <w:sz w:val="28"/>
          <w:szCs w:val="28"/>
          <w:lang w:eastAsia="zh-CN"/>
        </w:rPr>
        <w:t>“</w:t>
      </w:r>
      <w:r>
        <w:rPr>
          <w:b/>
          <w:bCs/>
          <w:sz w:val="28"/>
          <w:szCs w:val="28"/>
        </w:rPr>
        <w:t>较轻</w:t>
      </w:r>
      <w:r>
        <w:rPr>
          <w:rFonts w:hint="eastAsia"/>
          <w:sz w:val="28"/>
          <w:szCs w:val="28"/>
          <w:lang w:eastAsia="zh-CN"/>
        </w:rPr>
        <w:t>”</w:t>
      </w:r>
      <w:r>
        <w:rPr>
          <w:sz w:val="28"/>
          <w:szCs w:val="28"/>
        </w:rPr>
        <w:t>；</w:t>
      </w:r>
      <w:r>
        <w:t>土地损毁</w:t>
      </w:r>
      <w:r>
        <w:rPr>
          <w:rFonts w:hint="eastAsia"/>
          <w:sz w:val="28"/>
          <w:szCs w:val="28"/>
        </w:rPr>
        <w:t>对采掘场</w:t>
      </w:r>
      <w:r>
        <w:rPr>
          <w:rFonts w:hint="eastAsia"/>
          <w:sz w:val="28"/>
          <w:szCs w:val="28"/>
          <w:lang w:val="en-US" w:eastAsia="zh-CN"/>
        </w:rPr>
        <w:t>及工业广场</w:t>
      </w:r>
      <w:r>
        <w:rPr>
          <w:rFonts w:hint="eastAsia"/>
          <w:sz w:val="28"/>
          <w:szCs w:val="28"/>
        </w:rPr>
        <w:t>地形地貌景观影响</w:t>
      </w:r>
      <w:r>
        <w:rPr>
          <w:rFonts w:hint="eastAsia"/>
          <w:sz w:val="28"/>
          <w:szCs w:val="28"/>
          <w:lang w:eastAsia="zh-CN"/>
        </w:rPr>
        <w:t>“</w:t>
      </w:r>
      <w:r>
        <w:rPr>
          <w:rFonts w:hint="eastAsia"/>
          <w:b/>
          <w:bCs/>
          <w:sz w:val="28"/>
          <w:szCs w:val="28"/>
          <w:lang w:val="en-US" w:eastAsia="zh-CN"/>
        </w:rPr>
        <w:t>较</w:t>
      </w:r>
      <w:r>
        <w:rPr>
          <w:rFonts w:hint="eastAsia"/>
          <w:b/>
          <w:bCs/>
          <w:sz w:val="28"/>
          <w:szCs w:val="28"/>
        </w:rPr>
        <w:t>严重</w:t>
      </w:r>
      <w:r>
        <w:rPr>
          <w:rFonts w:hint="eastAsia"/>
          <w:sz w:val="28"/>
          <w:szCs w:val="28"/>
          <w:lang w:eastAsia="zh-CN"/>
        </w:rPr>
        <w:t>”，</w:t>
      </w:r>
      <w:r>
        <w:rPr>
          <w:rFonts w:hint="eastAsia"/>
          <w:sz w:val="28"/>
          <w:szCs w:val="28"/>
        </w:rPr>
        <w:t>对</w:t>
      </w:r>
      <w:r>
        <w:rPr>
          <w:rFonts w:hint="eastAsia"/>
          <w:sz w:val="28"/>
          <w:szCs w:val="28"/>
          <w:lang w:eastAsia="zh-CN"/>
        </w:rPr>
        <w:t>其他</w:t>
      </w:r>
      <w:r>
        <w:rPr>
          <w:rFonts w:hint="eastAsia"/>
          <w:sz w:val="28"/>
          <w:szCs w:val="28"/>
        </w:rPr>
        <w:t>区域影响</w:t>
      </w:r>
      <w:r>
        <w:rPr>
          <w:rFonts w:hint="eastAsia"/>
          <w:sz w:val="28"/>
          <w:szCs w:val="28"/>
          <w:lang w:eastAsia="zh-CN"/>
        </w:rPr>
        <w:t>“</w:t>
      </w:r>
      <w:r>
        <w:rPr>
          <w:rFonts w:hint="eastAsia"/>
          <w:b/>
          <w:bCs/>
          <w:sz w:val="28"/>
          <w:szCs w:val="28"/>
        </w:rPr>
        <w:t>较轻</w:t>
      </w:r>
      <w:r>
        <w:rPr>
          <w:rFonts w:hint="eastAsia"/>
          <w:sz w:val="28"/>
          <w:szCs w:val="28"/>
          <w:lang w:eastAsia="zh-CN"/>
        </w:rPr>
        <w:t>”</w:t>
      </w:r>
      <w:r>
        <w:rPr>
          <w:sz w:val="28"/>
          <w:szCs w:val="28"/>
        </w:rPr>
        <w:t>；水土环境污染影响程度为</w:t>
      </w:r>
      <w:r>
        <w:rPr>
          <w:rFonts w:hint="eastAsia"/>
          <w:sz w:val="28"/>
          <w:szCs w:val="28"/>
          <w:lang w:eastAsia="zh-CN"/>
        </w:rPr>
        <w:t>“</w:t>
      </w:r>
      <w:r>
        <w:rPr>
          <w:b/>
          <w:bCs/>
          <w:sz w:val="28"/>
          <w:szCs w:val="28"/>
        </w:rPr>
        <w:t>较轻</w:t>
      </w:r>
      <w:r>
        <w:rPr>
          <w:rFonts w:hint="eastAsia"/>
          <w:sz w:val="28"/>
          <w:szCs w:val="28"/>
          <w:lang w:eastAsia="zh-CN"/>
        </w:rPr>
        <w:t>”；对</w:t>
      </w:r>
      <w:r>
        <w:rPr>
          <w:sz w:val="28"/>
          <w:szCs w:val="28"/>
        </w:rPr>
        <w:t>土地资源影响和损毁程度为“</w:t>
      </w:r>
      <w:r>
        <w:rPr>
          <w:b/>
          <w:bCs/>
          <w:sz w:val="28"/>
          <w:szCs w:val="28"/>
        </w:rPr>
        <w:t>较</w:t>
      </w:r>
      <w:r>
        <w:rPr>
          <w:rFonts w:hint="eastAsia"/>
          <w:b/>
          <w:bCs/>
          <w:sz w:val="28"/>
          <w:szCs w:val="28"/>
        </w:rPr>
        <w:t>轻</w:t>
      </w:r>
      <w:r>
        <w:rPr>
          <w:sz w:val="28"/>
          <w:szCs w:val="28"/>
        </w:rPr>
        <w:t>”。因此，</w:t>
      </w:r>
      <w:r>
        <w:rPr>
          <w:rFonts w:hint="eastAsia"/>
          <w:sz w:val="28"/>
          <w:szCs w:val="28"/>
          <w:lang w:val="en-US" w:eastAsia="zh-CN"/>
        </w:rPr>
        <w:t>矿山</w:t>
      </w:r>
      <w:r>
        <w:rPr>
          <w:rFonts w:hint="eastAsia"/>
          <w:sz w:val="28"/>
          <w:szCs w:val="28"/>
        </w:rPr>
        <w:t>现状评估</w:t>
      </w:r>
      <w:r>
        <w:rPr>
          <w:rFonts w:hint="eastAsia"/>
          <w:sz w:val="28"/>
          <w:szCs w:val="28"/>
          <w:lang w:val="en-US" w:eastAsia="zh-CN"/>
        </w:rPr>
        <w:t>采场及工业广场</w:t>
      </w:r>
      <w:r>
        <w:rPr>
          <w:sz w:val="28"/>
          <w:szCs w:val="28"/>
        </w:rPr>
        <w:t>矿山地质环境影响程度分级</w:t>
      </w:r>
      <w:r>
        <w:rPr>
          <w:rFonts w:hint="eastAsia"/>
          <w:sz w:val="28"/>
          <w:szCs w:val="28"/>
          <w:lang w:eastAsia="zh-CN"/>
        </w:rPr>
        <w:t>“</w:t>
      </w:r>
      <w:r>
        <w:rPr>
          <w:rFonts w:hint="eastAsia"/>
          <w:b/>
          <w:bCs/>
          <w:sz w:val="28"/>
          <w:szCs w:val="28"/>
          <w:lang w:val="en-US" w:eastAsia="zh-CN"/>
        </w:rPr>
        <w:t>较</w:t>
      </w:r>
      <w:r>
        <w:rPr>
          <w:rFonts w:hint="eastAsia"/>
          <w:b/>
          <w:bCs/>
          <w:sz w:val="28"/>
          <w:szCs w:val="28"/>
        </w:rPr>
        <w:t>严重</w:t>
      </w:r>
      <w:r>
        <w:rPr>
          <w:rFonts w:hint="eastAsia"/>
          <w:sz w:val="28"/>
          <w:szCs w:val="28"/>
          <w:lang w:eastAsia="zh-CN"/>
        </w:rPr>
        <w:t>”</w:t>
      </w:r>
      <w:r>
        <w:rPr>
          <w:rFonts w:hint="eastAsia"/>
          <w:sz w:val="28"/>
          <w:szCs w:val="28"/>
        </w:rPr>
        <w:t>，对</w:t>
      </w:r>
      <w:r>
        <w:rPr>
          <w:rFonts w:hint="eastAsia"/>
          <w:sz w:val="28"/>
          <w:szCs w:val="28"/>
          <w:lang w:eastAsia="zh-CN"/>
        </w:rPr>
        <w:t>其他</w:t>
      </w:r>
      <w:r>
        <w:rPr>
          <w:rFonts w:hint="eastAsia"/>
          <w:sz w:val="28"/>
          <w:szCs w:val="28"/>
        </w:rPr>
        <w:t>区域影响</w:t>
      </w:r>
      <w:r>
        <w:rPr>
          <w:rFonts w:hint="eastAsia"/>
          <w:sz w:val="28"/>
          <w:szCs w:val="28"/>
          <w:lang w:eastAsia="zh-CN"/>
        </w:rPr>
        <w:t>“</w:t>
      </w:r>
      <w:r>
        <w:rPr>
          <w:rFonts w:hint="eastAsia"/>
          <w:b/>
          <w:bCs/>
          <w:sz w:val="28"/>
          <w:szCs w:val="28"/>
        </w:rPr>
        <w:t>较轻</w:t>
      </w:r>
      <w:r>
        <w:rPr>
          <w:rFonts w:hint="eastAsia"/>
          <w:sz w:val="28"/>
          <w:szCs w:val="28"/>
          <w:lang w:eastAsia="zh-CN"/>
        </w:rPr>
        <w:t>”。</w:t>
      </w:r>
    </w:p>
    <w:p>
      <w:pPr>
        <w:pStyle w:val="8"/>
        <w:rPr>
          <w:rFonts w:hint="default" w:eastAsia="黑体"/>
          <w:lang w:val="en-US" w:eastAsia="zh-CN"/>
        </w:rPr>
      </w:pPr>
      <w:r>
        <w:t xml:space="preserve">表 </w:t>
      </w:r>
      <w:r>
        <w:fldChar w:fldCharType="begin"/>
      </w:r>
      <w:r>
        <w:instrText xml:space="preserve"> SEQ 表 \* ARABIC </w:instrText>
      </w:r>
      <w:r>
        <w:fldChar w:fldCharType="separate"/>
      </w:r>
      <w:r>
        <w:t>3</w:t>
      </w:r>
      <w:r>
        <w:fldChar w:fldCharType="end"/>
      </w:r>
      <w:r>
        <w:rPr>
          <w:rFonts w:hint="eastAsia"/>
          <w:lang w:val="en-US" w:eastAsia="zh-CN"/>
        </w:rPr>
        <w:t>-7 地质环境现状分区表</w:t>
      </w:r>
    </w:p>
    <w:tbl>
      <w:tblPr>
        <w:tblStyle w:val="16"/>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13"/>
        <w:gridCol w:w="4254"/>
        <w:gridCol w:w="2202"/>
        <w:gridCol w:w="18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1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分区级别</w:t>
            </w:r>
          </w:p>
        </w:tc>
        <w:tc>
          <w:tcPr>
            <w:tcW w:w="213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范围</w:t>
            </w:r>
          </w:p>
        </w:tc>
        <w:tc>
          <w:tcPr>
            <w:tcW w:w="110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面积（hm</w:t>
            </w:r>
            <w:r>
              <w:rPr>
                <w:rFonts w:hint="eastAsia"/>
                <w:vertAlign w:val="superscript"/>
                <w:lang w:val="en-US" w:eastAsia="zh-CN"/>
              </w:rPr>
              <w:t>2</w:t>
            </w:r>
            <w:r>
              <w:rPr>
                <w:rFonts w:hint="eastAsia"/>
                <w:lang w:val="en-US" w:eastAsia="zh-CN"/>
              </w:rPr>
              <w:t>）</w:t>
            </w:r>
          </w:p>
        </w:tc>
        <w:tc>
          <w:tcPr>
            <w:tcW w:w="94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1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较严重</w:t>
            </w:r>
          </w:p>
        </w:tc>
        <w:tc>
          <w:tcPr>
            <w:tcW w:w="213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采区、工业广场以及影响区</w:t>
            </w:r>
          </w:p>
        </w:tc>
        <w:tc>
          <w:tcPr>
            <w:tcW w:w="110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w:t>
            </w:r>
          </w:p>
        </w:tc>
        <w:tc>
          <w:tcPr>
            <w:tcW w:w="94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38.10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81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较轻</w:t>
            </w:r>
          </w:p>
        </w:tc>
        <w:tc>
          <w:tcPr>
            <w:tcW w:w="213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项目区以外的其他区域</w:t>
            </w:r>
          </w:p>
        </w:tc>
        <w:tc>
          <w:tcPr>
            <w:tcW w:w="110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94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61.90 </w:t>
            </w:r>
          </w:p>
        </w:tc>
      </w:tr>
    </w:tbl>
    <w:p>
      <w:pPr>
        <w:ind w:firstLine="560"/>
        <w:rPr>
          <w:rFonts w:hint="eastAsia"/>
          <w:sz w:val="28"/>
          <w:szCs w:val="28"/>
          <w:lang w:eastAsia="zh-CN"/>
        </w:rPr>
      </w:pPr>
    </w:p>
    <w:p>
      <w:pPr>
        <w:pStyle w:val="4"/>
        <w:bidi w:val="0"/>
      </w:pPr>
      <w:r>
        <w:rPr>
          <w:rFonts w:hint="eastAsia"/>
          <w:lang w:val="en-US" w:eastAsia="zh-CN"/>
        </w:rPr>
        <w:t>（二）</w:t>
      </w:r>
      <w:r>
        <w:rPr>
          <w:rFonts w:hint="eastAsia"/>
        </w:rPr>
        <w:t>受损预测情况</w:t>
      </w:r>
    </w:p>
    <w:p>
      <w:pPr>
        <w:pStyle w:val="5"/>
        <w:bidi w:val="0"/>
      </w:pPr>
      <w:r>
        <w:rPr>
          <w:rFonts w:hint="eastAsia"/>
          <w:lang w:val="en-US" w:eastAsia="zh-CN"/>
        </w:rPr>
        <w:t>1.</w:t>
      </w:r>
      <w:r>
        <w:t>不稳定地质体预测评估</w:t>
      </w:r>
    </w:p>
    <w:p>
      <w:pPr>
        <w:ind w:firstLine="560"/>
        <w:rPr>
          <w:kern w:val="0"/>
          <w:sz w:val="28"/>
          <w:szCs w:val="28"/>
        </w:rPr>
      </w:pPr>
      <w:r>
        <w:rPr>
          <w:rFonts w:hint="eastAsia"/>
          <w:kern w:val="0"/>
          <w:sz w:val="28"/>
          <w:szCs w:val="28"/>
          <w:lang w:eastAsia="zh-CN"/>
        </w:rPr>
        <w:t>桦川县马库力山采石场</w:t>
      </w:r>
      <w:r>
        <w:rPr>
          <w:kern w:val="0"/>
          <w:sz w:val="28"/>
          <w:szCs w:val="28"/>
        </w:rPr>
        <w:t>开采方式为</w:t>
      </w:r>
      <w:r>
        <w:rPr>
          <w:rFonts w:hint="eastAsia"/>
          <w:kern w:val="0"/>
          <w:sz w:val="28"/>
          <w:szCs w:val="28"/>
        </w:rPr>
        <w:t>露天开采</w:t>
      </w:r>
      <w:r>
        <w:rPr>
          <w:kern w:val="0"/>
          <w:sz w:val="28"/>
          <w:szCs w:val="28"/>
        </w:rPr>
        <w:t>，随着矿山的生产，有可能诱发</w:t>
      </w:r>
      <w:r>
        <w:rPr>
          <w:rFonts w:hint="eastAsia"/>
          <w:kern w:val="0"/>
          <w:sz w:val="28"/>
          <w:szCs w:val="28"/>
        </w:rPr>
        <w:t>不稳定斜坡</w:t>
      </w:r>
      <w:r>
        <w:rPr>
          <w:kern w:val="0"/>
          <w:sz w:val="28"/>
          <w:szCs w:val="28"/>
        </w:rPr>
        <w:t>地质灾害，但是由于矿山开采</w:t>
      </w:r>
      <w:r>
        <w:rPr>
          <w:rFonts w:hint="eastAsia"/>
          <w:kern w:val="0"/>
          <w:sz w:val="28"/>
          <w:szCs w:val="28"/>
        </w:rPr>
        <w:t>考虑安全生产和地质灾害，因此开采后的边坡角处于安全稳定状态</w:t>
      </w:r>
      <w:r>
        <w:rPr>
          <w:kern w:val="0"/>
          <w:sz w:val="28"/>
          <w:szCs w:val="28"/>
        </w:rPr>
        <w:t>，因此，开采可能引起</w:t>
      </w:r>
      <w:r>
        <w:rPr>
          <w:rFonts w:hint="eastAsia"/>
          <w:kern w:val="0"/>
          <w:sz w:val="28"/>
          <w:szCs w:val="28"/>
        </w:rPr>
        <w:t>不稳定斜坡的可能性小</w:t>
      </w:r>
      <w:r>
        <w:rPr>
          <w:kern w:val="0"/>
          <w:sz w:val="28"/>
          <w:szCs w:val="28"/>
        </w:rPr>
        <w:t>。</w:t>
      </w:r>
    </w:p>
    <w:p>
      <w:pPr>
        <w:bidi w:val="0"/>
        <w:rPr>
          <w:rFonts w:hint="eastAsia"/>
        </w:rPr>
      </w:pPr>
      <w:r>
        <w:rPr>
          <w:rFonts w:hint="eastAsia"/>
          <w:lang w:val="en-US" w:eastAsia="zh-CN"/>
        </w:rPr>
        <w:t>1.</w:t>
      </w:r>
      <w:r>
        <w:rPr>
          <w:rFonts w:hint="eastAsia"/>
        </w:rPr>
        <w:t>季节性冻土冻融</w:t>
      </w:r>
    </w:p>
    <w:p>
      <w:pPr>
        <w:bidi w:val="0"/>
        <w:rPr>
          <w:rFonts w:hint="eastAsia"/>
        </w:rPr>
      </w:pPr>
      <w:r>
        <w:rPr>
          <w:rFonts w:hint="eastAsia"/>
        </w:rPr>
        <w:t>矿山生产的主体工程及其附属设施，均有可能遭受冻土冻融地质灾害的威胁，所有基础设施建设的基础埋深均应超过季节最大冻深，从而有效地减轻和避免此类地质灾害的发生，因冻土冻融地质灾害只对浅基础构筑物和道路等造成危害，采取适当工程措施易防治，因此，该地质灾害发育程度弱，危害程度小，危险性小。</w:t>
      </w:r>
    </w:p>
    <w:p>
      <w:pPr>
        <w:bidi w:val="0"/>
        <w:rPr>
          <w:rFonts w:hint="eastAsia"/>
        </w:rPr>
      </w:pPr>
      <w:r>
        <w:rPr>
          <w:rFonts w:hint="eastAsia"/>
          <w:lang w:val="en-US" w:eastAsia="zh-CN"/>
        </w:rPr>
        <w:t>2.</w:t>
      </w:r>
      <w:r>
        <w:rPr>
          <w:rFonts w:hint="eastAsia"/>
        </w:rPr>
        <w:t>崩塌</w:t>
      </w:r>
    </w:p>
    <w:p>
      <w:pPr>
        <w:bidi w:val="0"/>
        <w:rPr>
          <w:rFonts w:hint="eastAsia"/>
        </w:rPr>
      </w:pPr>
      <w:r>
        <w:rPr>
          <w:rFonts w:hint="eastAsia"/>
        </w:rPr>
        <w:t>矿山建设和生产可能遭受崩塌地质灾害，但严格按照开采设计开采，合理处理边坡，崩塌地质灾害易防治，危害程度小，危险性小。</w:t>
      </w:r>
    </w:p>
    <w:p>
      <w:pPr>
        <w:ind w:firstLine="560"/>
        <w:rPr>
          <w:sz w:val="28"/>
          <w:szCs w:val="28"/>
        </w:rPr>
      </w:pPr>
      <w:r>
        <w:rPr>
          <w:rFonts w:hint="eastAsia"/>
        </w:rPr>
        <w:t>综上所述，矿山建设和开采可能引发和加剧的地质灾害主要有崩塌，可能遭受的地质灾害为冻土冻融、崩塌，均为发育程度弱，危害程度小，危险性小。</w:t>
      </w:r>
    </w:p>
    <w:p>
      <w:pPr>
        <w:ind w:firstLine="560"/>
        <w:rPr>
          <w:sz w:val="28"/>
          <w:szCs w:val="28"/>
        </w:rPr>
      </w:pPr>
      <w:r>
        <w:rPr>
          <w:sz w:val="28"/>
          <w:szCs w:val="28"/>
        </w:rPr>
        <w:t>依据《矿山地质环境保护与恢复治理方案编制规范》（DZ/T0223-2011）矿山地质环境影响程度分级表（附表E），预测矿山开采引发的地质灾害对矿山地质环境的影响程度为“</w:t>
      </w:r>
      <w:r>
        <w:rPr>
          <w:rFonts w:hint="eastAsia"/>
          <w:b/>
          <w:bCs/>
          <w:sz w:val="28"/>
          <w:szCs w:val="28"/>
          <w:lang w:val="en-US" w:eastAsia="zh-CN"/>
        </w:rPr>
        <w:t>较轻</w:t>
      </w:r>
      <w:r>
        <w:rPr>
          <w:sz w:val="28"/>
          <w:szCs w:val="28"/>
        </w:rPr>
        <w:t>”。</w:t>
      </w:r>
    </w:p>
    <w:p>
      <w:pPr>
        <w:pStyle w:val="5"/>
        <w:bidi w:val="0"/>
      </w:pPr>
      <w:r>
        <w:rPr>
          <w:rFonts w:hint="eastAsia"/>
          <w:lang w:val="en-US" w:eastAsia="zh-CN"/>
        </w:rPr>
        <w:t>2.</w:t>
      </w:r>
      <w:r>
        <w:t>矿区含水层损毁预测评估</w:t>
      </w:r>
    </w:p>
    <w:p>
      <w:pPr>
        <w:ind w:firstLine="560"/>
        <w:rPr>
          <w:sz w:val="28"/>
          <w:szCs w:val="28"/>
        </w:rPr>
      </w:pPr>
      <w:r>
        <w:rPr>
          <w:sz w:val="28"/>
          <w:szCs w:val="28"/>
        </w:rPr>
        <w:t>本矿区</w:t>
      </w:r>
      <w:r>
        <w:rPr>
          <w:rFonts w:hint="eastAsia"/>
          <w:sz w:val="28"/>
          <w:szCs w:val="28"/>
        </w:rPr>
        <w:t>不会揭露含水层，因此对地下含水层影响轻。</w:t>
      </w:r>
      <w:r>
        <w:rPr>
          <w:sz w:val="28"/>
          <w:szCs w:val="28"/>
        </w:rPr>
        <w:t>矿</w:t>
      </w:r>
      <w:r>
        <w:rPr>
          <w:rFonts w:hint="eastAsia"/>
          <w:sz w:val="28"/>
          <w:szCs w:val="28"/>
        </w:rPr>
        <w:t>山积水</w:t>
      </w:r>
      <w:r>
        <w:rPr>
          <w:sz w:val="28"/>
          <w:szCs w:val="28"/>
        </w:rPr>
        <w:t>与大气降水关系密切，直接接受大气降水补给。具有明显季节变化和多年周期性变化。特别是开采后期，大面积采空后，冒裂带高度</w:t>
      </w:r>
      <w:r>
        <w:rPr>
          <w:rFonts w:hint="eastAsia"/>
          <w:sz w:val="28"/>
          <w:szCs w:val="28"/>
          <w:lang w:eastAsia="zh-CN"/>
        </w:rPr>
        <w:t>波及</w:t>
      </w:r>
      <w:r>
        <w:rPr>
          <w:sz w:val="28"/>
          <w:szCs w:val="28"/>
        </w:rPr>
        <w:t>地表，大气降水将会直接渗入，使雨季</w:t>
      </w:r>
      <w:r>
        <w:rPr>
          <w:rFonts w:hint="eastAsia"/>
          <w:sz w:val="28"/>
          <w:szCs w:val="28"/>
        </w:rPr>
        <w:t>积</w:t>
      </w:r>
      <w:r>
        <w:rPr>
          <w:sz w:val="28"/>
          <w:szCs w:val="28"/>
        </w:rPr>
        <w:t>水量增大</w:t>
      </w:r>
      <w:r>
        <w:rPr>
          <w:rFonts w:hint="eastAsia"/>
          <w:sz w:val="28"/>
          <w:szCs w:val="28"/>
        </w:rPr>
        <w:t>，但都属于临时积水，</w:t>
      </w:r>
      <w:r>
        <w:rPr>
          <w:rFonts w:hint="eastAsia"/>
          <w:sz w:val="28"/>
          <w:szCs w:val="28"/>
          <w:lang w:val="en-US" w:eastAsia="zh-CN"/>
        </w:rPr>
        <w:t>利用水泵进行排水后，</w:t>
      </w:r>
      <w:r>
        <w:rPr>
          <w:rFonts w:hint="eastAsia"/>
          <w:sz w:val="28"/>
          <w:szCs w:val="28"/>
        </w:rPr>
        <w:t>不会造成大的影响</w:t>
      </w:r>
      <w:r>
        <w:rPr>
          <w:sz w:val="28"/>
          <w:szCs w:val="28"/>
        </w:rPr>
        <w:t>。</w:t>
      </w:r>
    </w:p>
    <w:p>
      <w:pPr>
        <w:ind w:firstLine="560"/>
        <w:rPr>
          <w:b/>
          <w:bCs/>
          <w:sz w:val="28"/>
          <w:szCs w:val="28"/>
        </w:rPr>
      </w:pPr>
      <w:r>
        <w:rPr>
          <w:sz w:val="28"/>
          <w:szCs w:val="28"/>
        </w:rPr>
        <w:t>根据《矿山地质环境保护与治理恢复方案编制规范》（DZ/T 0223-2011）矿山地质环境影响程度分级表（表E），预测采矿活动的地下含水层影响和损毁对矿山地质环境的影响程度为“</w:t>
      </w:r>
      <w:r>
        <w:rPr>
          <w:b/>
          <w:bCs/>
          <w:sz w:val="28"/>
          <w:szCs w:val="28"/>
        </w:rPr>
        <w:t>较</w:t>
      </w:r>
      <w:r>
        <w:rPr>
          <w:rFonts w:hint="eastAsia"/>
          <w:b/>
          <w:bCs/>
          <w:sz w:val="28"/>
          <w:szCs w:val="28"/>
        </w:rPr>
        <w:t>轻</w:t>
      </w:r>
      <w:r>
        <w:rPr>
          <w:sz w:val="28"/>
          <w:szCs w:val="28"/>
        </w:rPr>
        <w:t>”。</w:t>
      </w:r>
    </w:p>
    <w:p>
      <w:pPr>
        <w:pStyle w:val="5"/>
        <w:bidi w:val="0"/>
      </w:pPr>
      <w:r>
        <w:rPr>
          <w:rFonts w:hint="eastAsia"/>
          <w:lang w:val="en-US" w:eastAsia="zh-CN"/>
        </w:rPr>
        <w:t>3.</w:t>
      </w:r>
      <w:r>
        <w:t>矿区地形地貌景观损毁预测评估</w:t>
      </w:r>
    </w:p>
    <w:p>
      <w:pPr>
        <w:ind w:firstLine="560"/>
        <w:rPr>
          <w:rFonts w:hint="eastAsia" w:eastAsia="宋体"/>
          <w:sz w:val="28"/>
          <w:szCs w:val="28"/>
          <w:lang w:eastAsia="zh-CN"/>
        </w:rPr>
      </w:pPr>
      <w:r>
        <w:rPr>
          <w:rFonts w:eastAsia="宋体"/>
          <w:sz w:val="28"/>
          <w:szCs w:val="28"/>
        </w:rPr>
        <w:t>矿山开采影响范围内无风景名胜和旅游景区及文物保护区、自然保护区、地质遗迹等</w:t>
      </w:r>
      <w:r>
        <w:rPr>
          <w:rFonts w:hint="eastAsia" w:eastAsia="宋体"/>
          <w:sz w:val="28"/>
          <w:szCs w:val="28"/>
          <w:lang w:eastAsia="zh-CN"/>
        </w:rPr>
        <w:t>。</w:t>
      </w:r>
      <w:r>
        <w:rPr>
          <w:rFonts w:hint="eastAsia" w:eastAsia="宋体"/>
          <w:sz w:val="28"/>
          <w:szCs w:val="28"/>
        </w:rPr>
        <w:t>矿山建设</w:t>
      </w:r>
      <w:r>
        <w:rPr>
          <w:rFonts w:hint="eastAsia"/>
        </w:rPr>
        <w:t>改变原有</w:t>
      </w:r>
      <w:r>
        <w:rPr>
          <w:rFonts w:hint="eastAsia"/>
          <w:lang w:val="en-US" w:eastAsia="zh-CN"/>
        </w:rPr>
        <w:t>地形地貌，</w:t>
      </w:r>
      <w:r>
        <w:rPr>
          <w:rFonts w:eastAsia="宋体"/>
          <w:sz w:val="28"/>
          <w:szCs w:val="28"/>
        </w:rPr>
        <w:t>影响</w:t>
      </w:r>
      <w:r>
        <w:rPr>
          <w:rFonts w:hint="eastAsia" w:eastAsia="宋体"/>
          <w:sz w:val="28"/>
          <w:szCs w:val="28"/>
          <w:lang w:val="en-US" w:eastAsia="zh-CN"/>
        </w:rPr>
        <w:t>较大</w:t>
      </w:r>
      <w:r>
        <w:rPr>
          <w:rFonts w:hint="eastAsia" w:eastAsia="宋体"/>
          <w:sz w:val="28"/>
          <w:szCs w:val="28"/>
          <w:lang w:eastAsia="zh-CN"/>
        </w:rPr>
        <w:t>。</w:t>
      </w:r>
    </w:p>
    <w:p>
      <w:pPr>
        <w:ind w:firstLine="560"/>
      </w:pPr>
      <w:r>
        <w:rPr>
          <w:rFonts w:hint="eastAsia"/>
        </w:rPr>
        <w:t>预测</w:t>
      </w:r>
      <w:r>
        <w:rPr>
          <w:rFonts w:hint="eastAsia"/>
          <w:lang w:val="en-US" w:eastAsia="zh-CN"/>
        </w:rPr>
        <w:t>矿山</w:t>
      </w:r>
      <w:r>
        <w:rPr>
          <w:rFonts w:hint="eastAsia"/>
        </w:rPr>
        <w:t>活动对采掘场</w:t>
      </w:r>
      <w:r>
        <w:rPr>
          <w:rFonts w:hint="eastAsia"/>
          <w:lang w:val="en-US" w:eastAsia="zh-CN"/>
        </w:rPr>
        <w:t>及工业广场</w:t>
      </w:r>
      <w:r>
        <w:rPr>
          <w:rFonts w:hint="eastAsia"/>
        </w:rPr>
        <w:t>地形地貌景观影响</w:t>
      </w:r>
      <w:r>
        <w:rPr>
          <w:rFonts w:hint="eastAsia"/>
          <w:lang w:eastAsia="zh-CN"/>
        </w:rPr>
        <w:t>“</w:t>
      </w:r>
      <w:r>
        <w:rPr>
          <w:rFonts w:hint="eastAsia"/>
          <w:b/>
          <w:bCs/>
          <w:lang w:val="en-US" w:eastAsia="zh-CN"/>
        </w:rPr>
        <w:t>较严重</w:t>
      </w:r>
      <w:r>
        <w:rPr>
          <w:rFonts w:hint="eastAsia"/>
          <w:lang w:eastAsia="zh-CN"/>
        </w:rPr>
        <w:t>”</w:t>
      </w:r>
      <w:r>
        <w:rPr>
          <w:rFonts w:hint="eastAsia"/>
        </w:rPr>
        <w:t>，对</w:t>
      </w:r>
      <w:r>
        <w:rPr>
          <w:rFonts w:hint="eastAsia"/>
          <w:lang w:eastAsia="zh-CN"/>
        </w:rPr>
        <w:t>其他</w:t>
      </w:r>
      <w:r>
        <w:rPr>
          <w:rFonts w:hint="eastAsia"/>
        </w:rPr>
        <w:t>区域影响</w:t>
      </w:r>
      <w:r>
        <w:rPr>
          <w:rFonts w:hint="eastAsia"/>
          <w:lang w:eastAsia="zh-CN"/>
        </w:rPr>
        <w:t>“</w:t>
      </w:r>
      <w:r>
        <w:rPr>
          <w:b/>
          <w:bCs/>
          <w:sz w:val="28"/>
          <w:szCs w:val="28"/>
        </w:rPr>
        <w:t>较</w:t>
      </w:r>
      <w:r>
        <w:rPr>
          <w:rFonts w:hint="eastAsia"/>
          <w:b/>
          <w:bCs/>
          <w:sz w:val="28"/>
          <w:szCs w:val="28"/>
        </w:rPr>
        <w:t>轻</w:t>
      </w:r>
      <w:r>
        <w:rPr>
          <w:rFonts w:hint="eastAsia"/>
          <w:lang w:eastAsia="zh-CN"/>
        </w:rPr>
        <w:t>”</w:t>
      </w:r>
      <w:r>
        <w:rPr>
          <w:rFonts w:hint="eastAsia"/>
        </w:rPr>
        <w:t>。</w:t>
      </w:r>
    </w:p>
    <w:p>
      <w:pPr>
        <w:pStyle w:val="5"/>
        <w:bidi w:val="0"/>
      </w:pPr>
      <w:r>
        <w:rPr>
          <w:rFonts w:hint="eastAsia"/>
          <w:lang w:val="en-US" w:eastAsia="zh-CN"/>
        </w:rPr>
        <w:t>4.</w:t>
      </w:r>
      <w:r>
        <w:t>矿区水土环境污染预测评估</w:t>
      </w:r>
    </w:p>
    <w:p>
      <w:pPr>
        <w:adjustRightInd w:val="0"/>
        <w:snapToGrid w:val="0"/>
        <w:ind w:firstLine="560"/>
        <w:rPr>
          <w:rFonts w:eastAsia="宋体"/>
          <w:sz w:val="28"/>
          <w:szCs w:val="28"/>
        </w:rPr>
      </w:pPr>
      <w:r>
        <w:rPr>
          <w:rFonts w:hint="eastAsia"/>
        </w:rPr>
        <w:t>预测矿山建设和生产过程中并不产生有毒、有害物质，未排放有毒污染物，生活用水采用化粪池处理，矿区内的工业垃圾、生活垃圾等集中堆放，及时拉走处理，不会造成</w:t>
      </w:r>
      <w:r>
        <w:rPr>
          <w:rFonts w:hint="eastAsia"/>
          <w:lang w:eastAsia="zh-CN"/>
        </w:rPr>
        <w:t>水土</w:t>
      </w:r>
      <w:r>
        <w:rPr>
          <w:rFonts w:hint="eastAsia"/>
        </w:rPr>
        <w:t>污染。</w:t>
      </w:r>
    </w:p>
    <w:p>
      <w:pPr>
        <w:ind w:firstLine="560"/>
        <w:rPr>
          <w:rFonts w:eastAsia="宋体"/>
          <w:kern w:val="0"/>
          <w:sz w:val="28"/>
          <w:szCs w:val="28"/>
        </w:rPr>
      </w:pPr>
      <w:r>
        <w:rPr>
          <w:rFonts w:eastAsia="宋体"/>
          <w:sz w:val="28"/>
          <w:szCs w:val="28"/>
        </w:rPr>
        <w:t>预测矿山在生产过程中水土环境污染影响程度</w:t>
      </w:r>
      <w:r>
        <w:rPr>
          <w:rFonts w:hint="eastAsia" w:eastAsia="宋体"/>
          <w:b w:val="0"/>
          <w:bCs/>
          <w:sz w:val="28"/>
          <w:szCs w:val="28"/>
          <w:lang w:eastAsia="zh-CN"/>
        </w:rPr>
        <w:t>“</w:t>
      </w:r>
      <w:r>
        <w:rPr>
          <w:rFonts w:eastAsia="宋体"/>
          <w:b/>
          <w:sz w:val="28"/>
          <w:szCs w:val="28"/>
        </w:rPr>
        <w:t>较轻</w:t>
      </w:r>
      <w:r>
        <w:rPr>
          <w:rFonts w:hint="eastAsia" w:eastAsia="宋体"/>
          <w:b w:val="0"/>
          <w:bCs/>
          <w:sz w:val="28"/>
          <w:szCs w:val="28"/>
          <w:lang w:eastAsia="zh-CN"/>
        </w:rPr>
        <w:t>”</w:t>
      </w:r>
      <w:r>
        <w:rPr>
          <w:rFonts w:eastAsia="宋体"/>
          <w:kern w:val="0"/>
          <w:sz w:val="28"/>
          <w:szCs w:val="28"/>
        </w:rPr>
        <w:t>。</w:t>
      </w:r>
    </w:p>
    <w:p>
      <w:pPr>
        <w:pStyle w:val="5"/>
        <w:bidi w:val="0"/>
      </w:pPr>
      <w:r>
        <w:rPr>
          <w:rFonts w:hint="eastAsia"/>
          <w:lang w:val="en-US" w:eastAsia="zh-CN"/>
        </w:rPr>
        <w:t>5.</w:t>
      </w:r>
      <w:r>
        <w:t>拟损毁土地预测与评估</w:t>
      </w:r>
    </w:p>
    <w:p>
      <w:pPr>
        <w:bidi w:val="0"/>
        <w:rPr>
          <w:rFonts w:hint="default"/>
        </w:rPr>
      </w:pPr>
      <w:r>
        <w:rPr>
          <w:rFonts w:hint="eastAsia"/>
        </w:rPr>
        <w:t>本项目生产过程中对地面损毁方式包括：采掘场挖损及工业广场压占土地。</w:t>
      </w:r>
    </w:p>
    <w:p>
      <w:pPr>
        <w:bidi w:val="0"/>
        <w:rPr>
          <w:rFonts w:hint="default"/>
        </w:rPr>
      </w:pPr>
      <w:r>
        <w:rPr>
          <w:rFonts w:hint="eastAsia"/>
        </w:rPr>
        <w:t>图3-</w:t>
      </w:r>
      <w:r>
        <w:rPr>
          <w:rFonts w:hint="eastAsia"/>
          <w:lang w:val="en-US" w:eastAsia="zh-CN"/>
        </w:rPr>
        <w:t>1</w:t>
      </w:r>
      <w:r>
        <w:rPr>
          <w:rFonts w:hint="eastAsia"/>
        </w:rPr>
        <w:t>为</w:t>
      </w:r>
      <w:r>
        <w:rPr>
          <w:rFonts w:hint="eastAsia"/>
          <w:lang w:val="en-US" w:eastAsia="zh-CN"/>
        </w:rPr>
        <w:t>项目</w:t>
      </w:r>
      <w:r>
        <w:rPr>
          <w:rFonts w:hint="eastAsia"/>
        </w:rPr>
        <w:t>开采生产工艺流程及土地损毁图。</w:t>
      </w:r>
    </w:p>
    <w:p>
      <w:pPr>
        <w:spacing w:beforeLines="0" w:afterLines="0" w:line="360" w:lineRule="auto"/>
        <w:ind w:left="0" w:leftChars="0" w:firstLine="0" w:firstLineChars="0"/>
        <w:jc w:val="center"/>
        <w:rPr>
          <w:rFonts w:hint="default"/>
          <w:sz w:val="21"/>
          <w:szCs w:val="21"/>
        </w:rPr>
      </w:pPr>
      <w:r>
        <w:rPr>
          <w:rFonts w:hint="default" w:eastAsia="仿宋"/>
          <w:sz w:val="21"/>
          <w:szCs w:val="21"/>
        </w:rPr>
        <w:pict>
          <v:group id="画布 118" o:spid="_x0000_s2050" o:spt="203" style="height:304.25pt;width:324pt;" coordorigin="2784,1495" coordsize="6480,6085">
            <o:lock v:ext="edit" rotation="t" text="t" aspectratio="t"/>
            <v:shape id="_x0000_s2051" o:spid="_x0000_s2051" o:spt="75" type="#_x0000_t75" style="position:absolute;left:2784;top:1495;height:6085;width:6480;" filled="f" o:preferrelative="f" stroked="t" coordsize="21600,21600">
              <v:path/>
              <v:fill on="f" focussize="0,0"/>
              <v:stroke/>
              <v:imagedata o:title=""/>
              <o:lock v:ext="edit" rotation="t" text="t" aspectratio="t"/>
            </v:shape>
            <v:shape id="文本框 120" o:spid="_x0000_s2052" o:spt="202" type="#_x0000_t202" style="position:absolute;left:3504;top:5395;height:592;width:2700;"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矿石堆放（压占土地）</w:t>
                    </w:r>
                  </w:p>
                </w:txbxContent>
              </v:textbox>
            </v:shape>
            <v:shape id="文本框 121" o:spid="_x0000_s2053" o:spt="202" type="#_x0000_t202" style="position:absolute;left:2964;top:2899;height:637;width:2340;"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表土剥离（挖损土地）</w:t>
                    </w:r>
                  </w:p>
                </w:txbxContent>
              </v:textbox>
            </v:shape>
            <v:shape id="文本框 122" o:spid="_x0000_s2054" o:spt="202" type="#_x0000_t202" style="position:absolute;left:3504;top:1651;height:597;width:1620;"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采掘场</w:t>
                    </w:r>
                  </w:p>
                </w:txbxContent>
              </v:textbox>
            </v:shape>
            <v:line id="直线 123" o:spid="_x0000_s2055" o:spt="20" style="position:absolute;left:8004;top:7579;height:1;width:1;" coordsize="21600,21600">
              <v:path arrowok="t"/>
              <v:fill focussize="0,0"/>
              <v:stroke/>
              <v:imagedata o:title=""/>
              <o:lock v:ext="edit"/>
            </v:line>
            <v:shape id="文本框 124" o:spid="_x0000_s2056" o:spt="202" type="#_x0000_t202" style="position:absolute;left:3504;top:4147;height:570;width:1626;"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剥离物</w:t>
                    </w:r>
                  </w:p>
                </w:txbxContent>
              </v:textbox>
            </v:shape>
            <v:line id="直线 125" o:spid="_x0000_s2057" o:spt="20" style="position:absolute;left:4404;top:4615;height:780;width:1;" coordsize="21600,21600">
              <v:path arrowok="t"/>
              <v:fill focussize="0,0"/>
              <v:stroke endarrow="block"/>
              <v:imagedata o:title=""/>
              <o:lock v:ext="edit"/>
            </v:line>
            <v:rect id="矩形 126" o:spid="_x0000_s2058" o:spt="1" style="position:absolute;left:6744;top:2899;height:637;width:2520;"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工业广场（压占土地）</w:t>
                    </w:r>
                  </w:p>
                </w:txbxContent>
              </v:textbox>
            </v:rect>
            <v:line id="直线 127" o:spid="_x0000_s2059" o:spt="20" style="position:absolute;left:5304;top:3055;flip:y;height:3;width:1440;" coordsize="21600,21600">
              <v:path arrowok="t"/>
              <v:fill focussize="0,0"/>
              <v:stroke endarrow="block"/>
              <v:imagedata o:title=""/>
              <o:lock v:ext="edit"/>
            </v:line>
            <v:line id="直线 128" o:spid="_x0000_s2060" o:spt="20" style="position:absolute;left:4404;top:2119;height:780;width:1;" coordsize="21600,21600">
              <v:path arrowok="t"/>
              <v:fill focussize="0,0"/>
              <v:stroke endarrow="block"/>
              <v:imagedata o:title=""/>
              <o:lock v:ext="edit"/>
            </v:line>
            <v:line id="直线 129" o:spid="_x0000_s2061" o:spt="20" style="position:absolute;left:4404;top:3367;height:780;width:1;" coordsize="21600,21600">
              <v:path arrowok="t"/>
              <v:fill focussize="0,0"/>
              <v:stroke endarrow="block"/>
              <v:imagedata o:title=""/>
              <o:lock v:ext="edit"/>
            </v:line>
            <v:line id="直线 130" o:spid="_x0000_s2062" o:spt="20" style="position:absolute;left:5124;top:4303;flip:y;height:3;width:1803;" coordsize="21600,21600">
              <v:path arrowok="t"/>
              <v:fill focussize="0,0"/>
              <v:stroke endarrow="block"/>
              <v:imagedata o:title=""/>
              <o:lock v:ext="edit"/>
            </v:line>
            <v:shape id="文本框 131" o:spid="_x0000_s2063" o:spt="202" type="#_x0000_t202" style="position:absolute;left:3504;top:6487;height:577;width:1620;" coordsize="21600,21600">
              <v:path/>
              <v:fill focussize="0,0"/>
              <v:stroke/>
              <v:imagedata o:title=""/>
              <o:lock v:ext="edit"/>
              <v:textbox>
                <w:txbxContent>
                  <w:p>
                    <w:pPr>
                      <w:spacing w:beforeLines="0" w:afterLines="0"/>
                      <w:ind w:left="0" w:leftChars="0" w:firstLine="0" w:firstLineChars="0"/>
                      <w:jc w:val="center"/>
                      <w:rPr>
                        <w:rFonts w:hint="eastAsia" w:ascii="仿宋" w:hAnsi="仿宋" w:eastAsia="仿宋"/>
                        <w:sz w:val="21"/>
                        <w:szCs w:val="21"/>
                      </w:rPr>
                    </w:pPr>
                    <w:r>
                      <w:rPr>
                        <w:rFonts w:hint="eastAsia" w:ascii="仿宋" w:hAnsi="仿宋" w:eastAsia="仿宋"/>
                        <w:sz w:val="21"/>
                        <w:szCs w:val="21"/>
                      </w:rPr>
                      <w:t>运出矿山</w:t>
                    </w:r>
                  </w:p>
                </w:txbxContent>
              </v:textbox>
            </v:shape>
            <v:line id="直线 132" o:spid="_x0000_s2064" o:spt="20" style="position:absolute;left:4404;top:5863;height:624;width:1;" coordsize="21600,21600">
              <v:path arrowok="t"/>
              <v:fill focussize="0,0"/>
              <v:stroke endarrow="block"/>
              <v:imagedata o:title=""/>
              <o:lock v:ext="edit"/>
            </v:line>
            <v:line id="直线 133" o:spid="_x0000_s2065" o:spt="20" style="position:absolute;left:6924;top:3367;flip:y;height:936;width:1;" coordsize="21600,21600">
              <v:path arrowok="t"/>
              <v:fill focussize="0,0"/>
              <v:stroke endarrow="block"/>
              <v:imagedata o:title=""/>
              <o:lock v:ext="edit"/>
            </v:line>
            <w10:wrap type="none"/>
            <w10:anchorlock/>
          </v:group>
        </w:pict>
      </w:r>
    </w:p>
    <w:p>
      <w:pPr>
        <w:pStyle w:val="8"/>
        <w:bidi w:val="0"/>
        <w:rPr>
          <w:rFonts w:hint="default"/>
        </w:rPr>
      </w:pPr>
      <w:r>
        <w:rPr>
          <w:rFonts w:hint="eastAsia"/>
        </w:rPr>
        <w:t>图3</w:t>
      </w:r>
      <w:r>
        <w:rPr>
          <w:rFonts w:hint="default"/>
        </w:rPr>
        <w:t>-</w:t>
      </w:r>
      <w:r>
        <w:rPr>
          <w:rFonts w:hint="eastAsia"/>
          <w:lang w:val="en-US" w:eastAsia="zh-CN"/>
        </w:rPr>
        <w:t>1</w:t>
      </w:r>
      <w:r>
        <w:rPr>
          <w:rFonts w:hint="eastAsia"/>
        </w:rPr>
        <w:t>项目生产工艺流程及土地损毁图</w:t>
      </w:r>
    </w:p>
    <w:p>
      <w:pPr>
        <w:bidi w:val="0"/>
        <w:rPr>
          <w:rFonts w:hint="default"/>
        </w:rPr>
      </w:pPr>
      <w:r>
        <w:rPr>
          <w:rFonts w:hint="eastAsia"/>
        </w:rPr>
        <w:t>由流程图可知，本项目生产过程中，对土地造成损毁的方式有挖损和压占。具体分析如下：</w:t>
      </w:r>
    </w:p>
    <w:p>
      <w:pPr>
        <w:bidi w:val="0"/>
        <w:rPr>
          <w:rFonts w:hint="default"/>
        </w:rPr>
      </w:pPr>
      <w:r>
        <w:rPr>
          <w:rFonts w:hint="default"/>
        </w:rPr>
        <w:t>a</w:t>
      </w:r>
      <w:r>
        <w:rPr>
          <w:rFonts w:hint="eastAsia"/>
        </w:rPr>
        <w:t>）挖损损毁主要是指采掘场对地面造成的挖损。</w:t>
      </w:r>
    </w:p>
    <w:p>
      <w:pPr>
        <w:bidi w:val="0"/>
        <w:rPr>
          <w:rFonts w:hint="default"/>
        </w:rPr>
      </w:pPr>
      <w:r>
        <w:rPr>
          <w:rFonts w:hint="default"/>
        </w:rPr>
        <w:t>b</w:t>
      </w:r>
      <w:r>
        <w:rPr>
          <w:rFonts w:hint="eastAsia"/>
        </w:rPr>
        <w:t>）压占损毁主要是工业广场对土地的压占损毁。</w:t>
      </w:r>
    </w:p>
    <w:p>
      <w:pPr>
        <w:bidi w:val="0"/>
      </w:pPr>
      <w:r>
        <w:rPr>
          <w:rFonts w:hint="eastAsia"/>
        </w:rPr>
        <w:t>矿</w:t>
      </w:r>
      <w:r>
        <w:t>区在生产建设过程中对土地损毁的环节：剥离、采矿、堆放选矿。项目区在生产建设过程中对土地损毁的时序：首先是剥离，然后采矿，最后是堆放。</w:t>
      </w:r>
    </w:p>
    <w:p>
      <w:pPr>
        <w:bidi w:val="0"/>
      </w:pPr>
      <w:r>
        <w:t>1）挖损损毁主要是指露天采场对地面造成的挖损。</w:t>
      </w:r>
    </w:p>
    <w:p>
      <w:pPr>
        <w:bidi w:val="0"/>
      </w:pPr>
      <w:r>
        <w:t>2）压占损毁主要是指排土场对地表的使用造成的压占损毁。</w:t>
      </w:r>
    </w:p>
    <w:p>
      <w:pPr>
        <w:pStyle w:val="8"/>
        <w:bidi w:val="0"/>
        <w:rPr>
          <w:rFonts w:hint="eastAsia" w:eastAsia="黑体"/>
          <w:lang w:val="en-US" w:eastAsia="zh-CN"/>
        </w:rPr>
      </w:pPr>
      <w:r>
        <w:pict>
          <v:shape id="图片 1176" o:spid="_x0000_s2081" o:spt="75" type="#_x0000_t75" style="position:absolute;left:0pt;margin-left:1.35pt;margin-top:1.3pt;height:179.75pt;width:497.1pt;mso-wrap-distance-bottom:0pt;mso-wrap-distance-top:0pt;z-index:251660288;mso-width-relative:page;mso-height-relative:page;" filled="f" o:preferrelative="t" stroked="f" coordsize="21600,21600">
            <v:path/>
            <v:fill on="f" focussize="0,0"/>
            <v:stroke on="f"/>
            <v:imagedata r:id="rId34" o:title=""/>
            <o:lock v:ext="edit" aspectratio="t"/>
            <w10:wrap type="topAndBottom"/>
          </v:shape>
        </w:pict>
      </w:r>
      <w:r>
        <w:t xml:space="preserve">图 </w:t>
      </w:r>
      <w:r>
        <w:rPr>
          <w:rFonts w:hint="eastAsia"/>
          <w:lang w:val="en-US" w:eastAsia="zh-CN"/>
        </w:rPr>
        <w:t xml:space="preserve">3-2 </w:t>
      </w:r>
      <w:r>
        <w:t>项目区损毁土地工艺流程</w:t>
      </w:r>
    </w:p>
    <w:p>
      <w:pPr>
        <w:bidi w:val="0"/>
      </w:pPr>
      <w:r>
        <w:t>各损毁地块的损毁时序。可划分两个阶段：</w:t>
      </w:r>
    </w:p>
    <w:p>
      <w:pPr>
        <w:bidi w:val="0"/>
      </w:pPr>
      <w:r>
        <w:t>建设初期：由于工业场地的建设将破坏原有的地形地貌，同时对土地造成压占破坏。表土剥离存放至表土堆放场，对土地造成压占破坏。</w:t>
      </w:r>
    </w:p>
    <w:p>
      <w:pPr>
        <w:bidi w:val="0"/>
      </w:pPr>
      <w:r>
        <w:t>生产期间：开采出的原矿石堆放以及产生的废石堆放在设置的废石场，废石场对土地造成压占破坏。</w:t>
      </w:r>
    </w:p>
    <w:p>
      <w:pPr>
        <w:bidi w:val="0"/>
      </w:pPr>
      <w:r>
        <w:rPr>
          <w:rFonts w:hint="eastAsia"/>
          <w:lang w:val="en-US" w:eastAsia="zh-CN"/>
        </w:rPr>
        <w:t>（1）</w:t>
      </w:r>
      <w:r>
        <w:t>预测损毁土地的成因</w:t>
      </w:r>
    </w:p>
    <w:p>
      <w:pPr>
        <w:bidi w:val="0"/>
      </w:pPr>
      <w:r>
        <w:t>根据项目建设和生产过程中土地损毁的影响因素分析及不同区域土地损毁的特点，土地损毁预测为挖损区和压占区。</w:t>
      </w:r>
    </w:p>
    <w:p>
      <w:pPr>
        <w:bidi w:val="0"/>
      </w:pPr>
      <w:r>
        <w:rPr>
          <w:rFonts w:hint="eastAsia"/>
          <w:lang w:val="en-US" w:eastAsia="zh-CN"/>
        </w:rPr>
        <w:t>（2）</w:t>
      </w:r>
      <w:r>
        <w:t>拟损毁土地预测</w:t>
      </w:r>
    </w:p>
    <w:p>
      <w:pPr>
        <w:ind w:firstLine="560"/>
        <w:rPr>
          <w:rFonts w:hint="default" w:eastAsia="宋体"/>
          <w:sz w:val="28"/>
          <w:szCs w:val="28"/>
          <w:lang w:val="en-US" w:eastAsia="zh-CN"/>
        </w:rPr>
      </w:pPr>
      <w:r>
        <w:rPr>
          <w:rFonts w:hint="eastAsia" w:eastAsia="宋体"/>
          <w:sz w:val="28"/>
          <w:szCs w:val="28"/>
          <w:lang w:val="en-US" w:eastAsia="zh-CN"/>
        </w:rPr>
        <w:t>该矿山已经过生产，前期已经损毁，不增加新损毁区域。</w:t>
      </w:r>
    </w:p>
    <w:p>
      <w:pPr>
        <w:bidi w:val="0"/>
      </w:pPr>
      <w:r>
        <w:rPr>
          <w:rFonts w:hint="eastAsia"/>
          <w:lang w:val="en-US" w:eastAsia="zh-CN"/>
        </w:rPr>
        <w:t>（3）</w:t>
      </w:r>
      <w:r>
        <w:t>预测土地损毁程度分析</w:t>
      </w:r>
    </w:p>
    <w:p>
      <w:pPr>
        <w:bidi w:val="0"/>
        <w:rPr>
          <w:rFonts w:hint="eastAsia" w:eastAsia="宋体"/>
          <w:sz w:val="28"/>
          <w:szCs w:val="28"/>
          <w:lang w:val="en-US" w:eastAsia="zh-CN"/>
        </w:rPr>
      </w:pPr>
      <w:r>
        <w:rPr>
          <w:rFonts w:hint="eastAsia" w:eastAsia="宋体"/>
          <w:sz w:val="28"/>
          <w:szCs w:val="28"/>
          <w:lang w:val="en-US" w:eastAsia="zh-CN"/>
        </w:rPr>
        <w:t>该矿山已经过生产，前期已经损毁，不增加新损毁区域。</w:t>
      </w:r>
    </w:p>
    <w:p>
      <w:pPr>
        <w:bidi w:val="0"/>
        <w:rPr>
          <w:rFonts w:hint="eastAsia"/>
          <w:lang w:eastAsia="zh-CN"/>
        </w:rPr>
      </w:pPr>
      <w:r>
        <w:rPr>
          <w:rFonts w:hint="eastAsia" w:eastAsia="宋体"/>
          <w:sz w:val="28"/>
          <w:szCs w:val="28"/>
          <w:lang w:val="en-US" w:eastAsia="zh-CN"/>
        </w:rPr>
        <w:t>综上</w:t>
      </w:r>
      <w:r>
        <w:rPr>
          <w:rFonts w:eastAsia="宋体"/>
          <w:sz w:val="28"/>
          <w:szCs w:val="28"/>
        </w:rPr>
        <w:t>预测矿山在生产过程中</w:t>
      </w:r>
      <w:r>
        <w:rPr>
          <w:rFonts w:hint="eastAsia" w:eastAsia="宋体"/>
          <w:sz w:val="28"/>
          <w:szCs w:val="28"/>
          <w:lang w:val="en-US" w:eastAsia="zh-CN"/>
        </w:rPr>
        <w:t>土地资源影响</w:t>
      </w:r>
      <w:r>
        <w:rPr>
          <w:rFonts w:eastAsia="宋体"/>
          <w:sz w:val="28"/>
          <w:szCs w:val="28"/>
        </w:rPr>
        <w:t>程度</w:t>
      </w:r>
      <w:r>
        <w:rPr>
          <w:rFonts w:hint="eastAsia" w:eastAsia="宋体"/>
          <w:b w:val="0"/>
          <w:bCs/>
          <w:sz w:val="28"/>
          <w:szCs w:val="28"/>
          <w:lang w:eastAsia="zh-CN"/>
        </w:rPr>
        <w:t>“</w:t>
      </w:r>
      <w:r>
        <w:rPr>
          <w:rFonts w:eastAsia="宋体"/>
          <w:b/>
          <w:sz w:val="28"/>
          <w:szCs w:val="28"/>
        </w:rPr>
        <w:t>较轻</w:t>
      </w:r>
      <w:r>
        <w:rPr>
          <w:rFonts w:hint="eastAsia" w:eastAsia="宋体"/>
          <w:b w:val="0"/>
          <w:bCs/>
          <w:sz w:val="28"/>
          <w:szCs w:val="28"/>
          <w:lang w:eastAsia="zh-CN"/>
        </w:rPr>
        <w:t>”</w:t>
      </w:r>
      <w:r>
        <w:rPr>
          <w:rFonts w:eastAsia="宋体"/>
          <w:kern w:val="0"/>
          <w:sz w:val="28"/>
          <w:szCs w:val="28"/>
        </w:rPr>
        <w:t>。</w:t>
      </w:r>
    </w:p>
    <w:p>
      <w:pPr>
        <w:pStyle w:val="5"/>
        <w:bidi w:val="0"/>
      </w:pPr>
      <w:r>
        <w:rPr>
          <w:rFonts w:hint="eastAsia"/>
          <w:lang w:val="en-US" w:eastAsia="zh-CN"/>
        </w:rPr>
        <w:t>6.</w:t>
      </w:r>
      <w:r>
        <w:t>预测综合评估</w:t>
      </w:r>
    </w:p>
    <w:p>
      <w:pPr>
        <w:ind w:firstLine="560"/>
        <w:rPr>
          <w:sz w:val="28"/>
          <w:szCs w:val="28"/>
        </w:rPr>
      </w:pPr>
      <w:r>
        <w:rPr>
          <w:sz w:val="28"/>
          <w:szCs w:val="28"/>
        </w:rPr>
        <w:t>根据《矿山地质环境保护与恢复治理方案编制规范》（DZ/T 223-2011）表E中矿山地质环境影响程度分级表，预测地质灾害影响程度分级为</w:t>
      </w:r>
      <w:r>
        <w:rPr>
          <w:rFonts w:hint="eastAsia"/>
          <w:sz w:val="28"/>
          <w:szCs w:val="28"/>
          <w:lang w:eastAsia="zh-CN"/>
        </w:rPr>
        <w:t>“</w:t>
      </w:r>
      <w:r>
        <w:rPr>
          <w:b/>
          <w:bCs/>
          <w:sz w:val="28"/>
          <w:szCs w:val="28"/>
        </w:rPr>
        <w:t>较轻</w:t>
      </w:r>
      <w:r>
        <w:rPr>
          <w:rFonts w:hint="eastAsia"/>
          <w:sz w:val="28"/>
          <w:szCs w:val="28"/>
          <w:lang w:eastAsia="zh-CN"/>
        </w:rPr>
        <w:t>”</w:t>
      </w:r>
      <w:r>
        <w:rPr>
          <w:sz w:val="28"/>
          <w:szCs w:val="28"/>
        </w:rPr>
        <w:t>；预测含水层破坏影响程度分级为</w:t>
      </w:r>
      <w:r>
        <w:rPr>
          <w:rFonts w:hint="eastAsia"/>
          <w:sz w:val="28"/>
          <w:szCs w:val="28"/>
          <w:lang w:eastAsia="zh-CN"/>
        </w:rPr>
        <w:t>“</w:t>
      </w:r>
      <w:r>
        <w:rPr>
          <w:b/>
          <w:bCs/>
          <w:sz w:val="28"/>
          <w:szCs w:val="28"/>
        </w:rPr>
        <w:t>较轻</w:t>
      </w:r>
      <w:r>
        <w:rPr>
          <w:rFonts w:hint="eastAsia"/>
          <w:sz w:val="28"/>
          <w:szCs w:val="28"/>
          <w:lang w:eastAsia="zh-CN"/>
        </w:rPr>
        <w:t>”</w:t>
      </w:r>
      <w:r>
        <w:rPr>
          <w:sz w:val="28"/>
          <w:szCs w:val="28"/>
        </w:rPr>
        <w:t>；预测</w:t>
      </w:r>
      <w:r>
        <w:rPr>
          <w:rFonts w:hint="eastAsia"/>
          <w:sz w:val="28"/>
          <w:szCs w:val="28"/>
        </w:rPr>
        <w:t>采区</w:t>
      </w:r>
      <w:r>
        <w:rPr>
          <w:rFonts w:hint="eastAsia"/>
          <w:sz w:val="28"/>
          <w:szCs w:val="28"/>
          <w:lang w:val="en-US" w:eastAsia="zh-CN"/>
        </w:rPr>
        <w:t>及</w:t>
      </w:r>
      <w:r>
        <w:rPr>
          <w:rFonts w:hint="eastAsia"/>
          <w:sz w:val="28"/>
          <w:szCs w:val="28"/>
        </w:rPr>
        <w:t>工业广场</w:t>
      </w:r>
      <w:r>
        <w:rPr>
          <w:sz w:val="28"/>
          <w:szCs w:val="28"/>
        </w:rPr>
        <w:t>地形地貌景观破坏影响程度分级为</w:t>
      </w:r>
      <w:r>
        <w:rPr>
          <w:rFonts w:hint="eastAsia"/>
          <w:sz w:val="28"/>
          <w:szCs w:val="28"/>
          <w:lang w:eastAsia="zh-CN"/>
        </w:rPr>
        <w:t>“</w:t>
      </w:r>
      <w:r>
        <w:rPr>
          <w:b/>
          <w:bCs/>
          <w:sz w:val="28"/>
          <w:szCs w:val="28"/>
        </w:rPr>
        <w:t>较</w:t>
      </w:r>
      <w:r>
        <w:rPr>
          <w:rFonts w:hint="eastAsia"/>
          <w:b/>
          <w:bCs/>
          <w:sz w:val="28"/>
          <w:szCs w:val="28"/>
        </w:rPr>
        <w:t>严重</w:t>
      </w:r>
      <w:r>
        <w:rPr>
          <w:rFonts w:hint="eastAsia"/>
          <w:sz w:val="28"/>
          <w:szCs w:val="28"/>
          <w:lang w:eastAsia="zh-CN"/>
        </w:rPr>
        <w:t>”</w:t>
      </w:r>
      <w:r>
        <w:rPr>
          <w:sz w:val="28"/>
          <w:szCs w:val="28"/>
        </w:rPr>
        <w:t>；预测水土环境污染</w:t>
      </w:r>
      <w:r>
        <w:rPr>
          <w:rFonts w:hint="eastAsia"/>
          <w:sz w:val="28"/>
          <w:szCs w:val="28"/>
          <w:lang w:eastAsia="zh-CN"/>
        </w:rPr>
        <w:t>影响</w:t>
      </w:r>
      <w:r>
        <w:rPr>
          <w:sz w:val="28"/>
          <w:szCs w:val="28"/>
        </w:rPr>
        <w:t>程度为</w:t>
      </w:r>
      <w:r>
        <w:rPr>
          <w:rFonts w:hint="eastAsia"/>
          <w:sz w:val="28"/>
          <w:szCs w:val="28"/>
          <w:lang w:eastAsia="zh-CN"/>
        </w:rPr>
        <w:t>“</w:t>
      </w:r>
      <w:r>
        <w:rPr>
          <w:b/>
          <w:bCs/>
          <w:sz w:val="28"/>
          <w:szCs w:val="28"/>
        </w:rPr>
        <w:t>较轻</w:t>
      </w:r>
      <w:r>
        <w:rPr>
          <w:rFonts w:hint="eastAsia"/>
          <w:sz w:val="28"/>
          <w:szCs w:val="28"/>
          <w:lang w:eastAsia="zh-CN"/>
        </w:rPr>
        <w:t>”；</w:t>
      </w:r>
      <w:r>
        <w:rPr>
          <w:sz w:val="28"/>
          <w:szCs w:val="28"/>
        </w:rPr>
        <w:t>土地资源影响和损毁程度为“</w:t>
      </w:r>
      <w:r>
        <w:rPr>
          <w:b/>
          <w:bCs/>
          <w:sz w:val="28"/>
          <w:szCs w:val="28"/>
        </w:rPr>
        <w:t>较轻</w:t>
      </w:r>
      <w:r>
        <w:rPr>
          <w:sz w:val="28"/>
          <w:szCs w:val="28"/>
        </w:rPr>
        <w:t>”。因此，矿山预测评估</w:t>
      </w:r>
      <w:r>
        <w:rPr>
          <w:rFonts w:hint="eastAsia"/>
          <w:sz w:val="28"/>
          <w:szCs w:val="28"/>
          <w:lang w:val="en-US" w:eastAsia="zh-CN"/>
        </w:rPr>
        <w:t>采场及</w:t>
      </w:r>
      <w:r>
        <w:rPr>
          <w:rFonts w:hint="eastAsia"/>
          <w:sz w:val="28"/>
          <w:szCs w:val="28"/>
        </w:rPr>
        <w:t>工业广场</w:t>
      </w:r>
      <w:r>
        <w:rPr>
          <w:sz w:val="28"/>
          <w:szCs w:val="28"/>
        </w:rPr>
        <w:t>矿山地质环境影响程度分级为“</w:t>
      </w:r>
      <w:r>
        <w:rPr>
          <w:b/>
          <w:bCs/>
          <w:sz w:val="28"/>
          <w:szCs w:val="28"/>
        </w:rPr>
        <w:t>较严重</w:t>
      </w:r>
      <w:r>
        <w:rPr>
          <w:sz w:val="28"/>
          <w:szCs w:val="28"/>
        </w:rPr>
        <w:t>”，其余地区影响</w:t>
      </w:r>
      <w:r>
        <w:rPr>
          <w:rFonts w:hint="eastAsia"/>
          <w:sz w:val="28"/>
          <w:szCs w:val="28"/>
          <w:lang w:eastAsia="zh-CN"/>
        </w:rPr>
        <w:t>“</w:t>
      </w:r>
      <w:r>
        <w:rPr>
          <w:b/>
          <w:bCs/>
          <w:sz w:val="28"/>
          <w:szCs w:val="28"/>
        </w:rPr>
        <w:t>较轻</w:t>
      </w:r>
      <w:r>
        <w:rPr>
          <w:rFonts w:hint="eastAsia"/>
          <w:sz w:val="28"/>
          <w:szCs w:val="28"/>
          <w:lang w:eastAsia="zh-CN"/>
        </w:rPr>
        <w:t>”</w:t>
      </w:r>
      <w:r>
        <w:rPr>
          <w:sz w:val="28"/>
          <w:szCs w:val="28"/>
        </w:rPr>
        <w:t>。</w:t>
      </w:r>
    </w:p>
    <w:p>
      <w:pPr>
        <w:pStyle w:val="4"/>
        <w:bidi w:val="0"/>
      </w:pPr>
      <w:r>
        <w:t>（三）问题诊断评价结论</w:t>
      </w:r>
    </w:p>
    <w:p>
      <w:pPr>
        <w:keepNext w:val="0"/>
        <w:keepLines w:val="0"/>
        <w:widowControl/>
        <w:suppressLineNumbers w:val="0"/>
        <w:jc w:val="left"/>
      </w:pPr>
      <w:r>
        <w:rPr>
          <w:rFonts w:hint="eastAsia" w:ascii="宋体" w:hAnsi="宋体" w:eastAsia="宋体" w:cs="宋体"/>
          <w:color w:val="000000"/>
          <w:kern w:val="0"/>
          <w:sz w:val="28"/>
          <w:szCs w:val="28"/>
          <w:lang w:val="en-US" w:eastAsia="zh-CN" w:bidi="ar"/>
        </w:rPr>
        <w:t>根据矿山地质环境现状评估、预测评估，对评估区进行综合评估分区。</w:t>
      </w:r>
    </w:p>
    <w:p>
      <w:pPr>
        <w:bidi w:val="0"/>
      </w:pPr>
      <w:r>
        <w:rPr>
          <w:rFonts w:hint="eastAsia"/>
          <w:lang w:eastAsia="zh-CN"/>
        </w:rPr>
        <w:t>（1）</w:t>
      </w:r>
      <w:r>
        <w:t>分区原则</w:t>
      </w:r>
    </w:p>
    <w:p>
      <w:pPr>
        <w:bidi w:val="0"/>
      </w:pPr>
      <w:r>
        <w:t>根据矿产资源开发利用方案设计的采矿工艺及规划，以及矿山地质环境问题类型、分布特征及其危害性，结合矿山地质环境影响现状评估及预测评估结果，进行矿山地质环境保护与恢复治理分区。原则如下：</w:t>
      </w:r>
    </w:p>
    <w:p>
      <w:pPr>
        <w:bidi w:val="0"/>
      </w:pPr>
      <w:r>
        <w:rPr>
          <w:rFonts w:hint="eastAsia"/>
          <w:lang w:val="en-US" w:eastAsia="zh-CN"/>
        </w:rPr>
        <w:t>1）</w:t>
      </w:r>
      <w:r>
        <w:t xml:space="preserve"> “区内相似，区际相异”的原则</w:t>
      </w:r>
    </w:p>
    <w:p>
      <w:pPr>
        <w:bidi w:val="0"/>
      </w:pPr>
      <w:r>
        <w:rPr>
          <w:rFonts w:hint="eastAsia"/>
          <w:lang w:val="en-US" w:eastAsia="zh-CN"/>
        </w:rPr>
        <w:t>2）</w:t>
      </w:r>
      <w:r>
        <w:t xml:space="preserve"> “就大不就小，整体不分割”的原则</w:t>
      </w:r>
    </w:p>
    <w:p>
      <w:pPr>
        <w:bidi w:val="0"/>
      </w:pPr>
      <w:r>
        <w:rPr>
          <w:rFonts w:hint="eastAsia"/>
          <w:lang w:val="en-US" w:eastAsia="zh-CN"/>
        </w:rPr>
        <w:t>3）</w:t>
      </w:r>
      <w:r>
        <w:t xml:space="preserve"> 矿山地质环境影响现状评估和预测结果不一致时，采取“就重不就轻”的原则。</w:t>
      </w:r>
    </w:p>
    <w:p>
      <w:pPr>
        <w:bidi w:val="0"/>
      </w:pPr>
      <w:r>
        <w:rPr>
          <w:rFonts w:hint="eastAsia"/>
          <w:lang w:eastAsia="zh-CN"/>
        </w:rPr>
        <w:t>（2）</w:t>
      </w:r>
      <w:r>
        <w:t>分区及其表示方法</w:t>
      </w:r>
    </w:p>
    <w:p>
      <w:pPr>
        <w:ind w:firstLine="560"/>
        <w:jc w:val="left"/>
        <w:rPr>
          <w:sz w:val="28"/>
          <w:szCs w:val="28"/>
          <w:shd w:val="clear" w:color="auto" w:fill="FFFFFF"/>
        </w:rPr>
      </w:pPr>
      <w:r>
        <w:rPr>
          <w:sz w:val="28"/>
          <w:szCs w:val="28"/>
          <w:shd w:val="clear" w:color="auto" w:fill="FFFFFF"/>
        </w:rPr>
        <w:t>以矿山地质环境影响程度的严重、较严重、较轻的级别，分别对应划分为矿山地质环境恢复治理重点、次重点、一般防治区，具体分区方法见表3-</w:t>
      </w:r>
      <w:r>
        <w:rPr>
          <w:rFonts w:hint="eastAsia"/>
          <w:sz w:val="28"/>
          <w:szCs w:val="28"/>
          <w:shd w:val="clear" w:color="auto" w:fill="FFFFFF"/>
          <w:lang w:val="en-US" w:eastAsia="zh-CN"/>
        </w:rPr>
        <w:t>1</w:t>
      </w:r>
      <w:r>
        <w:rPr>
          <w:sz w:val="28"/>
          <w:szCs w:val="28"/>
          <w:shd w:val="clear" w:color="auto" w:fill="FFFFFF"/>
        </w:rPr>
        <w:t>3。凡影响严重、较严重的地质环境问题，按单个地质环境问题划分亚区，并冠以该环境地质问题的名称，可再按地质环境问题的具体自然地段的名称进一步划分地段。</w:t>
      </w:r>
    </w:p>
    <w:p>
      <w:pPr>
        <w:pStyle w:val="8"/>
        <w:bidi w:val="0"/>
      </w:pPr>
      <w:r>
        <w:t>表</w:t>
      </w:r>
      <w:r>
        <w:rPr>
          <w:rFonts w:hint="eastAsia"/>
          <w:lang w:val="en-US" w:eastAsia="zh-CN"/>
        </w:rPr>
        <w:t xml:space="preserve"> 3</w:t>
      </w:r>
      <w:r>
        <w:t>-</w:t>
      </w:r>
      <w:r>
        <w:rPr>
          <w:rFonts w:hint="eastAsia"/>
          <w:lang w:val="en-US" w:eastAsia="zh-CN"/>
        </w:rPr>
        <w:t>8</w:t>
      </w:r>
      <w:r>
        <w:t xml:space="preserve"> 矿山地质环境保护与恢复治理分区表</w:t>
      </w:r>
    </w:p>
    <w:tbl>
      <w:tblPr>
        <w:tblStyle w:val="1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2318"/>
        <w:gridCol w:w="2647"/>
        <w:gridCol w:w="2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vMerge w:val="restart"/>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现状评估</w:t>
            </w:r>
          </w:p>
        </w:tc>
        <w:tc>
          <w:tcPr>
            <w:tcW w:w="7631" w:type="dxa"/>
            <w:gridSpan w:val="3"/>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预测评估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vMerge w:val="continue"/>
            <w:noWrap/>
            <w:vAlign w:val="center"/>
          </w:tcPr>
          <w:p>
            <w:pPr>
              <w:widowControl/>
              <w:spacing w:line="240" w:lineRule="auto"/>
              <w:ind w:firstLine="0" w:firstLineChars="0"/>
              <w:jc w:val="center"/>
              <w:rPr>
                <w:kern w:val="0"/>
                <w:sz w:val="21"/>
                <w:szCs w:val="21"/>
                <w:shd w:val="clear" w:color="auto" w:fill="FFFFFF"/>
              </w:rPr>
            </w:pPr>
          </w:p>
        </w:tc>
        <w:tc>
          <w:tcPr>
            <w:tcW w:w="2318"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严重</w:t>
            </w:r>
          </w:p>
        </w:tc>
        <w:tc>
          <w:tcPr>
            <w:tcW w:w="2647"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较严重</w:t>
            </w:r>
          </w:p>
        </w:tc>
        <w:tc>
          <w:tcPr>
            <w:tcW w:w="2666"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较轻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严重</w:t>
            </w:r>
          </w:p>
        </w:tc>
        <w:tc>
          <w:tcPr>
            <w:tcW w:w="2318"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重点区</w:t>
            </w:r>
          </w:p>
        </w:tc>
        <w:tc>
          <w:tcPr>
            <w:tcW w:w="2647"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重点区</w:t>
            </w:r>
          </w:p>
        </w:tc>
        <w:tc>
          <w:tcPr>
            <w:tcW w:w="2666"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重点区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较严重</w:t>
            </w:r>
          </w:p>
        </w:tc>
        <w:tc>
          <w:tcPr>
            <w:tcW w:w="2318"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重点区</w:t>
            </w:r>
          </w:p>
        </w:tc>
        <w:tc>
          <w:tcPr>
            <w:tcW w:w="2647" w:type="dxa"/>
            <w:noWrap/>
            <w:vAlign w:val="center"/>
          </w:tcPr>
          <w:p>
            <w:pPr>
              <w:widowControl/>
              <w:spacing w:line="240" w:lineRule="auto"/>
              <w:ind w:firstLine="0" w:firstLineChars="0"/>
              <w:jc w:val="center"/>
              <w:rPr>
                <w:kern w:val="0"/>
                <w:sz w:val="21"/>
                <w:szCs w:val="21"/>
                <w:shd w:val="clear" w:color="auto" w:fill="FFFFFF"/>
              </w:rPr>
            </w:pPr>
            <w:r>
              <w:rPr>
                <w:b/>
                <w:bCs/>
                <w:kern w:val="0"/>
                <w:sz w:val="21"/>
                <w:szCs w:val="21"/>
                <w:shd w:val="clear" w:color="auto" w:fill="FFFFFF"/>
              </w:rPr>
              <w:t>次重点区</w:t>
            </w:r>
          </w:p>
        </w:tc>
        <w:tc>
          <w:tcPr>
            <w:tcW w:w="2666"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次重点区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较轻</w:t>
            </w:r>
          </w:p>
        </w:tc>
        <w:tc>
          <w:tcPr>
            <w:tcW w:w="2318"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重点区</w:t>
            </w:r>
          </w:p>
        </w:tc>
        <w:tc>
          <w:tcPr>
            <w:tcW w:w="2647" w:type="dxa"/>
            <w:noWrap/>
            <w:vAlign w:val="center"/>
          </w:tcPr>
          <w:p>
            <w:pPr>
              <w:widowControl/>
              <w:spacing w:line="240" w:lineRule="auto"/>
              <w:ind w:firstLine="0" w:firstLineChars="0"/>
              <w:jc w:val="center"/>
              <w:rPr>
                <w:kern w:val="0"/>
                <w:sz w:val="21"/>
                <w:szCs w:val="21"/>
                <w:shd w:val="clear" w:color="auto" w:fill="FFFFFF"/>
              </w:rPr>
            </w:pPr>
            <w:r>
              <w:rPr>
                <w:kern w:val="0"/>
                <w:sz w:val="21"/>
                <w:szCs w:val="21"/>
                <w:shd w:val="clear" w:color="auto" w:fill="FFFFFF"/>
              </w:rPr>
              <w:t>次重点区</w:t>
            </w:r>
          </w:p>
        </w:tc>
        <w:tc>
          <w:tcPr>
            <w:tcW w:w="2666" w:type="dxa"/>
            <w:noWrap/>
            <w:vAlign w:val="center"/>
          </w:tcPr>
          <w:p>
            <w:pPr>
              <w:widowControl/>
              <w:spacing w:line="240" w:lineRule="auto"/>
              <w:ind w:firstLine="0" w:firstLineChars="0"/>
              <w:jc w:val="center"/>
              <w:rPr>
                <w:kern w:val="0"/>
                <w:sz w:val="21"/>
                <w:szCs w:val="21"/>
                <w:shd w:val="clear" w:color="auto" w:fill="FFFFFF"/>
              </w:rPr>
            </w:pPr>
            <w:r>
              <w:rPr>
                <w:b/>
                <w:bCs/>
                <w:kern w:val="0"/>
                <w:sz w:val="21"/>
                <w:szCs w:val="21"/>
                <w:shd w:val="clear" w:color="auto" w:fill="FFFFFF"/>
              </w:rPr>
              <w:t>一般区</w:t>
            </w:r>
          </w:p>
        </w:tc>
      </w:tr>
    </w:tbl>
    <w:p>
      <w:pPr>
        <w:bidi w:val="0"/>
      </w:pPr>
      <w:r>
        <w:rPr>
          <w:rFonts w:hint="eastAsia"/>
          <w:lang w:eastAsia="zh-CN"/>
        </w:rPr>
        <w:t>（3）</w:t>
      </w:r>
      <w:r>
        <w:t>分区评述</w:t>
      </w:r>
    </w:p>
    <w:p>
      <w:pPr>
        <w:ind w:firstLine="560"/>
        <w:rPr>
          <w:sz w:val="28"/>
          <w:szCs w:val="28"/>
          <w:shd w:val="clear" w:color="auto" w:fill="FFFFFF"/>
        </w:rPr>
      </w:pPr>
      <w:r>
        <w:rPr>
          <w:sz w:val="28"/>
          <w:szCs w:val="28"/>
          <w:shd w:val="clear" w:color="auto" w:fill="FFFFFF"/>
        </w:rPr>
        <w:t>根据对</w:t>
      </w:r>
      <w:r>
        <w:rPr>
          <w:rFonts w:hint="eastAsia"/>
          <w:sz w:val="28"/>
          <w:szCs w:val="28"/>
          <w:shd w:val="clear" w:color="auto" w:fill="FFFFFF"/>
          <w:lang w:val="en-US" w:eastAsia="zh-CN"/>
        </w:rPr>
        <w:t>马库力山采石场</w:t>
      </w:r>
      <w:r>
        <w:rPr>
          <w:sz w:val="28"/>
          <w:szCs w:val="28"/>
          <w:shd w:val="clear" w:color="auto" w:fill="FFFFFF"/>
        </w:rPr>
        <w:t>矿山地质环境影响现状及预测评估结果，进行矿区生态修复分区</w:t>
      </w:r>
      <w:r>
        <w:rPr>
          <w:rFonts w:hint="eastAsia"/>
          <w:sz w:val="28"/>
          <w:szCs w:val="28"/>
          <w:shd w:val="clear" w:color="auto" w:fill="FFFFFF"/>
        </w:rPr>
        <w:t>，</w:t>
      </w:r>
      <w:r>
        <w:rPr>
          <w:sz w:val="28"/>
          <w:szCs w:val="28"/>
          <w:shd w:val="clear" w:color="auto" w:fill="FFFFFF"/>
        </w:rPr>
        <w:t>次重点防治区和一般防治区。</w:t>
      </w:r>
    </w:p>
    <w:p>
      <w:pPr>
        <w:ind w:firstLine="560"/>
        <w:rPr>
          <w:color w:val="auto"/>
          <w:sz w:val="28"/>
          <w:szCs w:val="28"/>
          <w:shd w:val="clear" w:color="auto" w:fill="FFFFFF"/>
        </w:rPr>
      </w:pPr>
      <w:r>
        <w:rPr>
          <w:rFonts w:hint="eastAsia"/>
          <w:color w:val="auto"/>
          <w:sz w:val="28"/>
          <w:szCs w:val="28"/>
          <w:shd w:val="clear" w:color="auto" w:fill="FFFFFF"/>
          <w:lang w:val="en-US" w:eastAsia="zh-CN"/>
        </w:rPr>
        <w:t>1）</w:t>
      </w:r>
      <w:r>
        <w:rPr>
          <w:color w:val="auto"/>
          <w:sz w:val="28"/>
          <w:szCs w:val="28"/>
          <w:shd w:val="clear" w:color="auto" w:fill="FFFFFF"/>
        </w:rPr>
        <w:t>次重点防治区</w:t>
      </w:r>
    </w:p>
    <w:p>
      <w:pPr>
        <w:ind w:firstLine="560"/>
        <w:rPr>
          <w:color w:val="auto"/>
          <w:sz w:val="28"/>
          <w:szCs w:val="28"/>
          <w:shd w:val="clear" w:color="auto" w:fill="FFFFFF"/>
        </w:rPr>
      </w:pPr>
      <w:r>
        <w:rPr>
          <w:rFonts w:hint="eastAsia"/>
          <w:color w:val="auto"/>
          <w:sz w:val="28"/>
          <w:szCs w:val="28"/>
          <w:shd w:val="clear" w:color="auto" w:fill="FFFFFF"/>
        </w:rPr>
        <w:t>采区和</w:t>
      </w:r>
      <w:r>
        <w:rPr>
          <w:rFonts w:hint="eastAsia"/>
          <w:color w:val="auto"/>
          <w:sz w:val="28"/>
          <w:szCs w:val="28"/>
          <w:shd w:val="clear" w:color="auto" w:fill="FFFFFF"/>
          <w:lang w:val="en-US" w:eastAsia="zh-CN"/>
        </w:rPr>
        <w:t>工业广场</w:t>
      </w:r>
      <w:r>
        <w:rPr>
          <w:color w:val="auto"/>
          <w:sz w:val="28"/>
          <w:szCs w:val="28"/>
          <w:shd w:val="clear" w:color="auto" w:fill="FFFFFF"/>
        </w:rPr>
        <w:t>为次重点防治区，面积为</w:t>
      </w:r>
      <w:r>
        <w:rPr>
          <w:rFonts w:hint="eastAsia"/>
          <w:color w:val="auto"/>
          <w:sz w:val="28"/>
          <w:szCs w:val="28"/>
          <w:shd w:val="clear" w:color="auto" w:fill="FFFFFF"/>
          <w:lang w:val="en-US" w:eastAsia="zh-CN"/>
        </w:rPr>
        <w:t>**.****</w:t>
      </w:r>
      <w:r>
        <w:rPr>
          <w:color w:val="auto"/>
          <w:sz w:val="28"/>
          <w:szCs w:val="28"/>
          <w:shd w:val="clear" w:color="auto" w:fill="FFFFFF"/>
        </w:rPr>
        <w:t>hm</w:t>
      </w:r>
      <w:r>
        <w:rPr>
          <w:color w:val="auto"/>
          <w:sz w:val="28"/>
          <w:szCs w:val="28"/>
          <w:shd w:val="clear" w:color="auto" w:fill="FFFFFF"/>
          <w:vertAlign w:val="superscript"/>
        </w:rPr>
        <w:t>2</w:t>
      </w:r>
      <w:r>
        <w:rPr>
          <w:color w:val="auto"/>
          <w:sz w:val="28"/>
          <w:szCs w:val="28"/>
          <w:shd w:val="clear" w:color="auto" w:fill="FFFFFF"/>
        </w:rPr>
        <w:t>，占评估区面积的</w:t>
      </w:r>
      <w:r>
        <w:rPr>
          <w:rFonts w:hint="eastAsia"/>
          <w:color w:val="auto"/>
          <w:sz w:val="28"/>
          <w:szCs w:val="28"/>
          <w:shd w:val="clear" w:color="auto" w:fill="FFFFFF"/>
        </w:rPr>
        <w:t>38.10</w:t>
      </w:r>
      <w:r>
        <w:rPr>
          <w:color w:val="auto"/>
          <w:sz w:val="28"/>
          <w:szCs w:val="28"/>
          <w:shd w:val="clear" w:color="auto" w:fill="FFFFFF"/>
        </w:rPr>
        <w:t>%，预测采矿活动</w:t>
      </w:r>
      <w:r>
        <w:rPr>
          <w:rFonts w:hint="eastAsia"/>
          <w:color w:val="auto"/>
          <w:sz w:val="28"/>
          <w:szCs w:val="28"/>
          <w:shd w:val="clear" w:color="auto" w:fill="FFFFFF"/>
        </w:rPr>
        <w:t>挖损</w:t>
      </w:r>
      <w:r>
        <w:rPr>
          <w:rFonts w:hint="eastAsia"/>
          <w:color w:val="auto"/>
          <w:sz w:val="28"/>
          <w:szCs w:val="28"/>
          <w:shd w:val="clear" w:color="auto" w:fill="FFFFFF"/>
          <w:lang w:val="en-US" w:eastAsia="zh-CN"/>
        </w:rPr>
        <w:t>及压占</w:t>
      </w:r>
      <w:r>
        <w:rPr>
          <w:color w:val="auto"/>
          <w:sz w:val="28"/>
          <w:szCs w:val="28"/>
          <w:shd w:val="clear" w:color="auto" w:fill="FFFFFF"/>
        </w:rPr>
        <w:t>，可能遭受</w:t>
      </w:r>
      <w:r>
        <w:rPr>
          <w:rFonts w:hint="eastAsia"/>
          <w:color w:val="auto"/>
          <w:sz w:val="28"/>
          <w:szCs w:val="28"/>
          <w:shd w:val="clear" w:color="auto" w:fill="FFFFFF"/>
          <w:lang w:val="en-US" w:eastAsia="zh-CN"/>
        </w:rPr>
        <w:t>崩塌</w:t>
      </w:r>
      <w:r>
        <w:rPr>
          <w:color w:val="auto"/>
          <w:sz w:val="28"/>
          <w:szCs w:val="28"/>
          <w:shd w:val="clear" w:color="auto" w:fill="FFFFFF"/>
        </w:rPr>
        <w:t>地质灾害</w:t>
      </w:r>
      <w:r>
        <w:rPr>
          <w:rFonts w:hint="eastAsia"/>
          <w:color w:val="auto"/>
          <w:sz w:val="28"/>
          <w:szCs w:val="28"/>
          <w:shd w:val="clear" w:color="auto" w:fill="FFFFFF"/>
          <w:lang w:eastAsia="zh-CN"/>
        </w:rPr>
        <w:t>，</w:t>
      </w:r>
      <w:r>
        <w:rPr>
          <w:color w:val="auto"/>
          <w:sz w:val="28"/>
          <w:szCs w:val="28"/>
          <w:shd w:val="clear" w:color="auto" w:fill="FFFFFF"/>
        </w:rPr>
        <w:t>发育程度</w:t>
      </w:r>
      <w:r>
        <w:rPr>
          <w:rFonts w:hint="eastAsia"/>
          <w:color w:val="auto"/>
          <w:sz w:val="28"/>
          <w:szCs w:val="28"/>
          <w:shd w:val="clear" w:color="auto" w:fill="FFFFFF"/>
        </w:rPr>
        <w:t>中等</w:t>
      </w:r>
      <w:r>
        <w:rPr>
          <w:color w:val="auto"/>
          <w:sz w:val="28"/>
          <w:szCs w:val="28"/>
          <w:shd w:val="clear" w:color="auto" w:fill="FFFFFF"/>
        </w:rPr>
        <w:t>，危害程度小，地质灾害危险性</w:t>
      </w:r>
      <w:r>
        <w:rPr>
          <w:rFonts w:hint="eastAsia"/>
          <w:color w:val="auto"/>
          <w:sz w:val="28"/>
          <w:szCs w:val="28"/>
          <w:shd w:val="clear" w:color="auto" w:fill="FFFFFF"/>
        </w:rPr>
        <w:t>中等</w:t>
      </w:r>
      <w:r>
        <w:rPr>
          <w:color w:val="auto"/>
          <w:sz w:val="28"/>
          <w:szCs w:val="28"/>
          <w:shd w:val="clear" w:color="auto" w:fill="FFFFFF"/>
        </w:rPr>
        <w:t>，可能遭受</w:t>
      </w:r>
      <w:r>
        <w:rPr>
          <w:rFonts w:hint="eastAsia"/>
          <w:color w:val="auto"/>
          <w:sz w:val="28"/>
          <w:szCs w:val="28"/>
          <w:shd w:val="clear" w:color="auto" w:fill="FFFFFF"/>
        </w:rPr>
        <w:t>季节性冻土冻融</w:t>
      </w:r>
      <w:r>
        <w:rPr>
          <w:color w:val="auto"/>
          <w:sz w:val="28"/>
          <w:szCs w:val="28"/>
          <w:shd w:val="clear" w:color="auto" w:fill="FFFFFF"/>
        </w:rPr>
        <w:t>地质灾害发育</w:t>
      </w:r>
      <w:r>
        <w:rPr>
          <w:rFonts w:hint="eastAsia"/>
          <w:color w:val="auto"/>
          <w:sz w:val="28"/>
          <w:szCs w:val="28"/>
          <w:shd w:val="clear" w:color="auto" w:fill="FFFFFF"/>
        </w:rPr>
        <w:t>弱</w:t>
      </w:r>
      <w:r>
        <w:rPr>
          <w:color w:val="auto"/>
          <w:sz w:val="28"/>
          <w:szCs w:val="28"/>
          <w:shd w:val="clear" w:color="auto" w:fill="FFFFFF"/>
        </w:rPr>
        <w:t>，危害程度小，地质灾害危险性</w:t>
      </w:r>
      <w:r>
        <w:rPr>
          <w:rFonts w:hint="eastAsia"/>
          <w:color w:val="auto"/>
          <w:sz w:val="28"/>
          <w:szCs w:val="28"/>
          <w:shd w:val="clear" w:color="auto" w:fill="FFFFFF"/>
        </w:rPr>
        <w:t>小，</w:t>
      </w:r>
      <w:r>
        <w:rPr>
          <w:color w:val="auto"/>
          <w:sz w:val="28"/>
          <w:szCs w:val="28"/>
          <w:shd w:val="clear" w:color="auto" w:fill="FFFFFF"/>
        </w:rPr>
        <w:t>对矿山地质环境影响程度</w:t>
      </w:r>
      <w:r>
        <w:rPr>
          <w:b/>
          <w:color w:val="auto"/>
          <w:sz w:val="28"/>
          <w:szCs w:val="28"/>
          <w:shd w:val="clear" w:color="auto" w:fill="FFFFFF"/>
        </w:rPr>
        <w:t>较严重</w:t>
      </w:r>
      <w:r>
        <w:rPr>
          <w:color w:val="auto"/>
          <w:sz w:val="28"/>
          <w:szCs w:val="28"/>
          <w:shd w:val="clear" w:color="auto" w:fill="FFFFFF"/>
        </w:rPr>
        <w:t>。矿山建设及生产活动对含水层的影响</w:t>
      </w:r>
      <w:r>
        <w:rPr>
          <w:b/>
          <w:color w:val="auto"/>
          <w:sz w:val="28"/>
          <w:szCs w:val="28"/>
          <w:shd w:val="clear" w:color="auto" w:fill="FFFFFF"/>
        </w:rPr>
        <w:t>较</w:t>
      </w:r>
      <w:r>
        <w:rPr>
          <w:rFonts w:hint="eastAsia"/>
          <w:b/>
          <w:color w:val="auto"/>
          <w:sz w:val="28"/>
          <w:szCs w:val="28"/>
          <w:shd w:val="clear" w:color="auto" w:fill="FFFFFF"/>
        </w:rPr>
        <w:t>轻</w:t>
      </w:r>
      <w:r>
        <w:rPr>
          <w:color w:val="auto"/>
          <w:sz w:val="28"/>
          <w:szCs w:val="28"/>
          <w:shd w:val="clear" w:color="auto" w:fill="FFFFFF"/>
        </w:rPr>
        <w:t>；对地形地貌景观影响</w:t>
      </w:r>
      <w:r>
        <w:rPr>
          <w:b/>
          <w:color w:val="auto"/>
          <w:sz w:val="28"/>
          <w:szCs w:val="28"/>
          <w:shd w:val="clear" w:color="auto" w:fill="FFFFFF"/>
        </w:rPr>
        <w:t>较严重</w:t>
      </w:r>
      <w:r>
        <w:rPr>
          <w:color w:val="auto"/>
          <w:sz w:val="28"/>
          <w:szCs w:val="28"/>
          <w:shd w:val="clear" w:color="auto" w:fill="FFFFFF"/>
        </w:rPr>
        <w:t>；对水土环境污染</w:t>
      </w:r>
      <w:r>
        <w:rPr>
          <w:b/>
          <w:color w:val="auto"/>
          <w:sz w:val="28"/>
          <w:szCs w:val="28"/>
          <w:shd w:val="clear" w:color="auto" w:fill="FFFFFF"/>
        </w:rPr>
        <w:t>较轻</w:t>
      </w:r>
      <w:r>
        <w:rPr>
          <w:color w:val="auto"/>
          <w:sz w:val="28"/>
          <w:szCs w:val="28"/>
          <w:shd w:val="clear" w:color="auto" w:fill="FFFFFF"/>
        </w:rPr>
        <w:t>。</w:t>
      </w:r>
    </w:p>
    <w:p>
      <w:pPr>
        <w:ind w:firstLine="560"/>
        <w:rPr>
          <w:color w:val="auto"/>
          <w:sz w:val="28"/>
          <w:szCs w:val="28"/>
          <w:shd w:val="clear" w:color="auto" w:fill="FFFFFF"/>
        </w:rPr>
      </w:pPr>
      <w:r>
        <w:rPr>
          <w:rFonts w:hint="eastAsia"/>
          <w:color w:val="auto"/>
          <w:sz w:val="28"/>
          <w:szCs w:val="28"/>
          <w:shd w:val="clear" w:color="auto" w:fill="FFFFFF"/>
          <w:lang w:val="en-US" w:eastAsia="zh-CN"/>
        </w:rPr>
        <w:t>2）</w:t>
      </w:r>
      <w:r>
        <w:rPr>
          <w:color w:val="auto"/>
          <w:sz w:val="28"/>
          <w:szCs w:val="28"/>
          <w:shd w:val="clear" w:color="auto" w:fill="FFFFFF"/>
        </w:rPr>
        <w:t>一般防治区</w:t>
      </w:r>
    </w:p>
    <w:p>
      <w:pPr>
        <w:rPr>
          <w:color w:val="auto"/>
        </w:rPr>
      </w:pPr>
      <w:r>
        <w:rPr>
          <w:color w:val="auto"/>
        </w:rPr>
        <w:t>评估范围内次重点防治区以外的其它地区为一般防治区，面积为</w:t>
      </w:r>
      <w:r>
        <w:rPr>
          <w:rFonts w:hint="eastAsia"/>
          <w:color w:val="auto"/>
        </w:rPr>
        <w:t>**.****</w:t>
      </w:r>
      <w:r>
        <w:rPr>
          <w:color w:val="auto"/>
        </w:rPr>
        <w:t>hm</w:t>
      </w:r>
      <w:r>
        <w:rPr>
          <w:color w:val="auto"/>
          <w:vertAlign w:val="superscript"/>
        </w:rPr>
        <w:t>2</w:t>
      </w:r>
      <w:r>
        <w:rPr>
          <w:color w:val="auto"/>
        </w:rPr>
        <w:t>，占总评估面积的</w:t>
      </w:r>
      <w:r>
        <w:rPr>
          <w:rFonts w:hint="eastAsia"/>
          <w:color w:val="auto"/>
        </w:rPr>
        <w:t>61.90</w:t>
      </w:r>
      <w:r>
        <w:rPr>
          <w:color w:val="auto"/>
          <w:sz w:val="28"/>
          <w:szCs w:val="28"/>
          <w:shd w:val="clear" w:color="auto" w:fill="FFFFFF"/>
        </w:rPr>
        <w:t>%</w:t>
      </w:r>
      <w:r>
        <w:rPr>
          <w:color w:val="auto"/>
        </w:rPr>
        <w:t>。该区域矿业活动对地质环境影响“较轻”，仍保留原有地貌景观，采矿工程活动基本对该区无影响</w:t>
      </w:r>
      <w:r>
        <w:rPr>
          <w:rFonts w:hint="eastAsia"/>
          <w:color w:val="auto"/>
          <w:lang w:eastAsia="zh-CN"/>
        </w:rPr>
        <w:t>或</w:t>
      </w:r>
      <w:r>
        <w:rPr>
          <w:color w:val="auto"/>
        </w:rPr>
        <w:t>影响甚微。今后工作的重点是加强保护，禁止违章在该区新建采矿工程及与其相关工程，同时加强地灾监测，对可能出现的问题进行及时处理和修复，最大限度</w:t>
      </w:r>
      <w:r>
        <w:rPr>
          <w:rFonts w:hint="eastAsia"/>
          <w:color w:val="auto"/>
          <w:lang w:eastAsia="zh-CN"/>
        </w:rPr>
        <w:t>地</w:t>
      </w:r>
      <w:r>
        <w:rPr>
          <w:color w:val="auto"/>
        </w:rPr>
        <w:t>减小采矿活动对地质环境的负面影响。</w:t>
      </w:r>
    </w:p>
    <w:bookmarkEnd w:id="43"/>
    <w:bookmarkEnd w:id="44"/>
    <w:p>
      <w:pPr>
        <w:pStyle w:val="3"/>
        <w:bidi w:val="0"/>
      </w:pPr>
      <w:bookmarkStart w:id="53" w:name="_Toc6813"/>
      <w:bookmarkStart w:id="54" w:name="_Toc25875"/>
      <w:r>
        <w:t>二、生态修复可行性分析</w:t>
      </w:r>
      <w:bookmarkEnd w:id="53"/>
      <w:bookmarkEnd w:id="54"/>
    </w:p>
    <w:p>
      <w:pPr>
        <w:pStyle w:val="4"/>
        <w:bidi w:val="0"/>
      </w:pPr>
      <w:r>
        <w:t>（一）技术经济可行性分析</w:t>
      </w:r>
    </w:p>
    <w:p>
      <w:pPr>
        <w:pStyle w:val="5"/>
        <w:bidi w:val="0"/>
        <w:rPr>
          <w:rFonts w:hint="eastAsia"/>
        </w:rPr>
      </w:pPr>
      <w:r>
        <w:rPr>
          <w:rFonts w:hint="eastAsia"/>
          <w:lang w:val="en-US" w:eastAsia="zh-CN"/>
        </w:rPr>
        <w:t>1.</w:t>
      </w:r>
      <w:r>
        <w:rPr>
          <w:rFonts w:hint="eastAsia"/>
        </w:rPr>
        <w:t>技术可行性分析</w:t>
      </w:r>
    </w:p>
    <w:p>
      <w:pPr>
        <w:bidi w:val="0"/>
        <w:rPr>
          <w:rFonts w:hint="eastAsia"/>
        </w:rPr>
      </w:pPr>
      <w:r>
        <w:rPr>
          <w:rFonts w:hint="eastAsia"/>
        </w:rPr>
        <w:t>经过采取恢复治理与土地复垦工程措施，可减少或预防采矿活动引发的崩塌、滑坡和泥石流等地质灾害，避免或尽可能地减少矿山地质灾害对</w:t>
      </w:r>
      <w:r>
        <w:rPr>
          <w:rFonts w:hint="eastAsia"/>
          <w:lang w:eastAsia="zh-CN"/>
        </w:rPr>
        <w:t>矿区</w:t>
      </w:r>
      <w:r>
        <w:rPr>
          <w:rFonts w:hint="eastAsia"/>
        </w:rPr>
        <w:t>及周围矿山地质环境的危害，确保矿区周边人民群众生命和财产安全；同时使土地利用结构更加合理，技术是可行的。</w:t>
      </w:r>
    </w:p>
    <w:p>
      <w:pPr>
        <w:pStyle w:val="5"/>
        <w:bidi w:val="0"/>
        <w:rPr>
          <w:rFonts w:hint="eastAsia"/>
        </w:rPr>
      </w:pPr>
      <w:r>
        <w:rPr>
          <w:rFonts w:hint="eastAsia"/>
          <w:lang w:val="en-US" w:eastAsia="zh-CN"/>
        </w:rPr>
        <w:t>2.</w:t>
      </w:r>
      <w:r>
        <w:rPr>
          <w:rFonts w:hint="eastAsia"/>
        </w:rPr>
        <w:t>经济可行性分析</w:t>
      </w:r>
    </w:p>
    <w:p>
      <w:pPr>
        <w:bidi w:val="0"/>
        <w:rPr>
          <w:rFonts w:hint="eastAsia"/>
        </w:rPr>
      </w:pPr>
      <w:r>
        <w:rPr>
          <w:rFonts w:hint="eastAsia"/>
        </w:rPr>
        <w:t>本方案矿山地质环境治理工程主要包括地质灾害防治工程、地形地貌景观破坏恢复治理工程以及监测工程。对于矿山地质环境问题进行综合分析预算，预算金额范围在矿山可承受范围之内，矿山已按规定建立了矿山环境治理保证金制度，并且，本方案治理项目启动后，矿山地质环境治理工程实施和后期维护都需要相当大量的机械设备和劳动力，可在一段时间内解决当地的部分劳动力就业问题，增加当地居民收入。因此，综合分析其在经济上可行。</w:t>
      </w:r>
    </w:p>
    <w:p>
      <w:pPr>
        <w:pStyle w:val="5"/>
        <w:bidi w:val="0"/>
        <w:rPr>
          <w:rFonts w:hint="eastAsia"/>
        </w:rPr>
      </w:pPr>
      <w:r>
        <w:rPr>
          <w:rFonts w:hint="eastAsia"/>
          <w:lang w:val="en-US" w:eastAsia="zh-CN"/>
        </w:rPr>
        <w:t>3.</w:t>
      </w:r>
      <w:r>
        <w:rPr>
          <w:rFonts w:hint="eastAsia"/>
        </w:rPr>
        <w:t>生态环境协调性分析</w:t>
      </w:r>
    </w:p>
    <w:p>
      <w:pPr>
        <w:bidi w:val="0"/>
        <w:rPr>
          <w:rFonts w:hint="eastAsia" w:eastAsia="宋体"/>
          <w:lang w:val="en-US" w:eastAsia="zh-CN"/>
        </w:rPr>
      </w:pPr>
      <w:r>
        <w:t>通过</w:t>
      </w:r>
      <w:r>
        <w:rPr>
          <w:rFonts w:hint="eastAsia"/>
        </w:rPr>
        <w:t>恢复治理与土地复垦</w:t>
      </w:r>
      <w:r>
        <w:t>，将有效改善项目区</w:t>
      </w:r>
      <w:r>
        <w:rPr>
          <w:rFonts w:hint="eastAsia"/>
        </w:rPr>
        <w:t>地质灾害、</w:t>
      </w:r>
      <w:r>
        <w:t>土壤的理化性质以及土壤圈的生态环境，恢复地表植被，同时减少区域内的</w:t>
      </w:r>
      <w:r>
        <w:rPr>
          <w:rFonts w:hint="eastAsia"/>
        </w:rPr>
        <w:t>水土侵蚀</w:t>
      </w:r>
      <w:r>
        <w:t>。</w:t>
      </w:r>
      <w:r>
        <w:rPr>
          <w:rFonts w:hint="eastAsia"/>
        </w:rPr>
        <w:t>恢复治理与土地</w:t>
      </w:r>
      <w:r>
        <w:t>复垦项目实施之后较实施之前植被覆盖率得到明显提高，将有效遏制项目区及周边</w:t>
      </w:r>
      <w:r>
        <w:rPr>
          <w:rFonts w:hint="eastAsia"/>
        </w:rPr>
        <w:t>地质</w:t>
      </w:r>
      <w:r>
        <w:t>环境的恶化，在合理管护的基础上能够最终实现植物生态系统的多样性与稳定性，吸引周边动物群落的回迁，增加动物群落多样性，达到植物动物群落的动态平衡</w:t>
      </w:r>
      <w:r>
        <w:rPr>
          <w:rFonts w:hint="eastAsia"/>
        </w:rPr>
        <w:t>。</w:t>
      </w:r>
    </w:p>
    <w:p>
      <w:pPr>
        <w:pStyle w:val="4"/>
        <w:bidi w:val="0"/>
      </w:pPr>
      <w:r>
        <w:t>（二）目标方向可行性分析</w:t>
      </w:r>
    </w:p>
    <w:p>
      <w:pPr>
        <w:pStyle w:val="5"/>
        <w:bidi w:val="0"/>
      </w:pPr>
      <w:bookmarkStart w:id="55" w:name="_Toc28807"/>
      <w:bookmarkStart w:id="56" w:name="_Toc9824"/>
      <w:bookmarkStart w:id="57" w:name="_Toc26569"/>
      <w:bookmarkStart w:id="58" w:name="_Toc13920"/>
      <w:bookmarkStart w:id="59" w:name="_Toc29827"/>
      <w:r>
        <w:t>1.生态修复区土地利用现状</w:t>
      </w:r>
      <w:bookmarkEnd w:id="55"/>
      <w:bookmarkEnd w:id="56"/>
      <w:bookmarkEnd w:id="57"/>
      <w:bookmarkEnd w:id="58"/>
      <w:bookmarkEnd w:id="59"/>
    </w:p>
    <w:p>
      <w:pPr>
        <w:bidi w:val="0"/>
        <w:rPr>
          <w:rFonts w:hint="eastAsia"/>
        </w:rPr>
      </w:pPr>
      <w:r>
        <w:rPr>
          <w:rFonts w:hint="eastAsia"/>
        </w:rPr>
        <w:t>参照全国土地利用现状调查技术规程、《土地利用现状分类》（GB/T 21010-20</w:t>
      </w:r>
      <w:r>
        <w:rPr>
          <w:rFonts w:hint="eastAsia"/>
          <w:lang w:val="en-US" w:eastAsia="zh-CN"/>
        </w:rPr>
        <w:t>1</w:t>
      </w:r>
      <w:r>
        <w:rPr>
          <w:rFonts w:hint="eastAsia"/>
        </w:rPr>
        <w:t>7）、</w:t>
      </w:r>
      <w:r>
        <w:rPr>
          <w:rFonts w:hint="eastAsia"/>
          <w:lang w:val="en-US" w:eastAsia="zh-CN"/>
        </w:rPr>
        <w:t>桦川县自然资源局</w:t>
      </w:r>
      <w:r>
        <w:rPr>
          <w:rFonts w:hint="eastAsia"/>
        </w:rPr>
        <w:t>提供的土地利用现状图件以及现场实际调查情况，</w:t>
      </w:r>
      <w:r>
        <w:rPr>
          <w:rFonts w:hint="eastAsia"/>
          <w:lang w:val="en-US" w:eastAsia="zh-CN"/>
        </w:rPr>
        <w:t>马库力山采石场</w:t>
      </w:r>
      <w:r>
        <w:rPr>
          <w:rFonts w:hint="eastAsia"/>
        </w:rPr>
        <w:t>复垦区为采掘场及工业广场区</w:t>
      </w:r>
      <w:r>
        <w:rPr>
          <w:rFonts w:hint="eastAsia"/>
          <w:lang w:val="en-US" w:eastAsia="zh-CN"/>
        </w:rPr>
        <w:t>以及影响区</w:t>
      </w:r>
      <w:r>
        <w:rPr>
          <w:rFonts w:hint="eastAsia"/>
        </w:rPr>
        <w:t>，占用土地利用类型详见表</w:t>
      </w:r>
      <w:r>
        <w:rPr>
          <w:rFonts w:hint="eastAsia"/>
          <w:lang w:val="en-US" w:eastAsia="zh-CN"/>
        </w:rPr>
        <w:t>3</w:t>
      </w:r>
      <w:r>
        <w:rPr>
          <w:rFonts w:hint="eastAsia"/>
        </w:rPr>
        <w:t>-</w:t>
      </w:r>
      <w:r>
        <w:rPr>
          <w:rFonts w:hint="eastAsia"/>
          <w:lang w:val="en-US" w:eastAsia="zh-CN"/>
        </w:rPr>
        <w:t>7</w:t>
      </w:r>
      <w:r>
        <w:rPr>
          <w:rFonts w:hint="eastAsia"/>
        </w:rPr>
        <w:t>。</w:t>
      </w:r>
    </w:p>
    <w:p>
      <w:pPr>
        <w:pStyle w:val="8"/>
        <w:rPr>
          <w:rFonts w:hint="eastAsia" w:eastAsia="黑体"/>
          <w:lang w:val="en-US" w:eastAsia="zh-CN"/>
        </w:rPr>
      </w:pPr>
      <w:r>
        <w:t xml:space="preserve">表 </w:t>
      </w:r>
      <w:r>
        <w:rPr>
          <w:rFonts w:hint="eastAsia"/>
          <w:lang w:val="en-US" w:eastAsia="zh-CN"/>
        </w:rPr>
        <w:t xml:space="preserve">3-9 </w:t>
      </w:r>
      <w:r>
        <w:rPr>
          <w:rFonts w:hint="eastAsia"/>
          <w:b w:val="0"/>
          <w:bCs w:val="0"/>
        </w:rPr>
        <w:t>矿山复垦区土地利用现状表</w:t>
      </w:r>
    </w:p>
    <w:tbl>
      <w:tblPr>
        <w:tblStyle w:val="16"/>
        <w:tblW w:w="96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0"/>
        <w:gridCol w:w="1775"/>
        <w:gridCol w:w="1014"/>
        <w:gridCol w:w="1714"/>
        <w:gridCol w:w="1439"/>
        <w:gridCol w:w="1278"/>
        <w:gridCol w:w="12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935" w:type="dxa"/>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一级地类</w:t>
            </w:r>
          </w:p>
        </w:tc>
        <w:tc>
          <w:tcPr>
            <w:tcW w:w="2728" w:type="dxa"/>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二级地类</w:t>
            </w:r>
          </w:p>
        </w:tc>
        <w:tc>
          <w:tcPr>
            <w:tcW w:w="1439" w:type="dxa"/>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面积（hm</w:t>
            </w:r>
            <w:r>
              <w:rPr>
                <w:rFonts w:hint="eastAsia"/>
                <w:vertAlign w:val="superscript"/>
                <w:lang w:val="en-US" w:eastAsia="zh-CN"/>
              </w:rPr>
              <w:t>2）</w:t>
            </w:r>
          </w:p>
        </w:tc>
        <w:tc>
          <w:tcPr>
            <w:tcW w:w="255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占面积</w:t>
            </w:r>
            <w:r>
              <w:rPr>
                <w:rFonts w:hint="eastAsia"/>
                <w:lang w:val="en-US" w:eastAsia="zh-CN"/>
              </w:rPr>
              <w:br w:type="textWrapping"/>
            </w:r>
            <w:r>
              <w:rPr>
                <w:rFonts w:hint="eastAsia"/>
                <w:lang w:val="en-US" w:eastAsia="zh-CN"/>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116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编码</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编码</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名称</w:t>
            </w:r>
          </w:p>
        </w:tc>
        <w:tc>
          <w:tcPr>
            <w:tcW w:w="1439" w:type="dxa"/>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255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耕地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0103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旱地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林地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0301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乔木林地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0404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其他草地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工矿仓储用地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采矿用地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92.68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交通运输用地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农村道路</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2.05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水域及水利设施用地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1104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坑塘水面</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0.87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0" w:type="auto"/>
            <w:gridSpan w:val="4"/>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100.00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100.00 </w:t>
            </w:r>
          </w:p>
        </w:tc>
      </w:tr>
    </w:tbl>
    <w:p/>
    <w:p>
      <w:pPr>
        <w:pStyle w:val="5"/>
        <w:bidi w:val="0"/>
      </w:pPr>
      <w:bookmarkStart w:id="60" w:name="_Toc4174"/>
      <w:bookmarkStart w:id="61" w:name="_Toc4147"/>
      <w:bookmarkStart w:id="62" w:name="_Toc8661"/>
      <w:bookmarkStart w:id="63" w:name="_Toc23790"/>
      <w:bookmarkStart w:id="64" w:name="_Toc5583"/>
      <w:bookmarkStart w:id="65" w:name="_Toc9024"/>
      <w:bookmarkStart w:id="66" w:name="_Toc1700"/>
      <w:r>
        <w:t>2.生态修复适宜性评价</w:t>
      </w:r>
    </w:p>
    <w:p>
      <w:pPr>
        <w:bidi w:val="0"/>
      </w:pPr>
      <w:r>
        <w:t>生态修复适宜性评价是根据项目区损毁土地调查结果，依据矿山生产年限、开发利用方式、生产工艺流程分析预测项目最终损毁土地状况，按照生态修复技术要求，以及对损毁土地的调查和预测，对损毁的单元修复进行综合评价，对生态修复进行类比分析，提出了生态修复技术路线和方法，合理确定生态修复最佳方案。</w:t>
      </w:r>
    </w:p>
    <w:p>
      <w:pPr>
        <w:bidi w:val="0"/>
        <w:rPr>
          <w:rFonts w:hint="default"/>
          <w:lang w:val="en-US" w:eastAsia="zh-CN"/>
        </w:rPr>
      </w:pPr>
      <w:r>
        <w:rPr>
          <w:rFonts w:hint="eastAsia"/>
          <w:lang w:val="en-US" w:eastAsia="zh-CN"/>
        </w:rPr>
        <w:t>（1）</w:t>
      </w:r>
      <w:r>
        <w:t>评价原则</w:t>
      </w:r>
      <w:r>
        <w:rPr>
          <w:rFonts w:hint="eastAsia"/>
          <w:lang w:val="en-US" w:eastAsia="zh-CN"/>
        </w:rPr>
        <w:t>及依据</w:t>
      </w:r>
    </w:p>
    <w:p>
      <w:pPr>
        <w:bidi w:val="0"/>
        <w:rPr>
          <w:rFonts w:hint="eastAsia"/>
          <w:lang w:eastAsia="zh-CN"/>
        </w:rPr>
      </w:pPr>
      <w:r>
        <w:rPr>
          <w:rFonts w:hint="eastAsia"/>
          <w:lang w:val="en-US" w:eastAsia="zh-CN"/>
        </w:rPr>
        <w:t>1</w:t>
      </w:r>
      <w:r>
        <w:rPr>
          <w:rFonts w:hint="eastAsia"/>
          <w:lang w:eastAsia="zh-CN"/>
        </w:rPr>
        <w:t>）</w:t>
      </w:r>
      <w:r>
        <w:t>评价原则</w:t>
      </w:r>
    </w:p>
    <w:p>
      <w:pPr>
        <w:bidi w:val="0"/>
        <w:rPr>
          <w:rFonts w:hint="eastAsia"/>
          <w:szCs w:val="28"/>
        </w:rPr>
      </w:pPr>
      <w:r>
        <w:rPr>
          <w:sz w:val="28"/>
          <w:szCs w:val="28"/>
          <w:shd w:val="clear" w:color="auto" w:fill="FFFFFF"/>
        </w:rPr>
        <w:t>①</w:t>
      </w:r>
      <w:r>
        <w:rPr>
          <w:rFonts w:hint="eastAsia"/>
          <w:szCs w:val="28"/>
        </w:rPr>
        <w:t>最佳效益原则</w:t>
      </w:r>
    </w:p>
    <w:p>
      <w:pPr>
        <w:bidi w:val="0"/>
        <w:rPr>
          <w:rFonts w:hint="eastAsia"/>
          <w:szCs w:val="28"/>
        </w:rPr>
      </w:pPr>
      <w:r>
        <w:rPr>
          <w:rFonts w:hint="eastAsia"/>
          <w:szCs w:val="28"/>
        </w:rPr>
        <w:t>在充分考虑国家和矿山承受能力的基础上，以最小的复垦投入从待复垦土地中获取最佳的经济效益、生态效益和社会效益。</w:t>
      </w:r>
    </w:p>
    <w:p>
      <w:pPr>
        <w:bidi w:val="0"/>
        <w:rPr>
          <w:rFonts w:hint="eastAsia"/>
          <w:szCs w:val="28"/>
        </w:rPr>
      </w:pPr>
      <w:r>
        <w:rPr>
          <w:rFonts w:hint="eastAsia"/>
          <w:sz w:val="28"/>
          <w:szCs w:val="28"/>
          <w:shd w:val="clear" w:color="auto" w:fill="FFFFFF"/>
          <w:lang w:val="en-US" w:eastAsia="zh-CN"/>
        </w:rPr>
        <w:t>②</w:t>
      </w:r>
      <w:r>
        <w:rPr>
          <w:rFonts w:hint="eastAsia"/>
          <w:szCs w:val="28"/>
        </w:rPr>
        <w:t>综合分析与主导因素相结合，以主导因素为主的原则</w:t>
      </w:r>
    </w:p>
    <w:p>
      <w:pPr>
        <w:bidi w:val="0"/>
        <w:rPr>
          <w:rFonts w:hint="eastAsia"/>
          <w:szCs w:val="28"/>
        </w:rPr>
      </w:pPr>
      <w:r>
        <w:rPr>
          <w:rFonts w:hint="eastAsia"/>
          <w:szCs w:val="28"/>
        </w:rPr>
        <w:t>影响待复垦土地利用方向的因素很多，包括自然条件、土壤性质、原利用类型、破坏状况和社会需求等多方面，但各种因素对土地复垦利用的影响程度不同，应选择其中的主导因素作为评价的主要依据。</w:t>
      </w:r>
    </w:p>
    <w:p>
      <w:pPr>
        <w:bidi w:val="0"/>
        <w:rPr>
          <w:rFonts w:hint="eastAsia"/>
          <w:szCs w:val="28"/>
        </w:rPr>
      </w:pPr>
      <w:r>
        <w:rPr>
          <w:rFonts w:hint="eastAsia"/>
          <w:szCs w:val="28"/>
          <w:lang w:val="en-US" w:eastAsia="zh-CN"/>
        </w:rPr>
        <w:t>③</w:t>
      </w:r>
      <w:r>
        <w:rPr>
          <w:rFonts w:hint="eastAsia"/>
          <w:szCs w:val="28"/>
        </w:rPr>
        <w:t>因地制宜的原则</w:t>
      </w:r>
    </w:p>
    <w:p>
      <w:pPr>
        <w:bidi w:val="0"/>
        <w:rPr>
          <w:rFonts w:hint="eastAsia"/>
          <w:szCs w:val="28"/>
        </w:rPr>
      </w:pPr>
      <w:r>
        <w:rPr>
          <w:rFonts w:hint="eastAsia"/>
          <w:szCs w:val="28"/>
        </w:rPr>
        <w:t>土地利用受周围环境条件制约，一种利用方式必须有与之相应的配套设施和环境特征相适应。根据破坏前后土地拥有的基础设施，特别是破坏现状，扬长避短，发挥优势，确定合理的利用方向。复垦后的土地，根据土地利用总体规划和生态建设规划</w:t>
      </w:r>
      <w:r>
        <w:rPr>
          <w:rFonts w:hint="eastAsia"/>
          <w:szCs w:val="28"/>
          <w:lang w:eastAsia="zh-CN"/>
        </w:rPr>
        <w:t>，在</w:t>
      </w:r>
      <w:r>
        <w:rPr>
          <w:rFonts w:hint="eastAsia"/>
          <w:szCs w:val="28"/>
        </w:rPr>
        <w:t>尊重权利人意愿的基础上，宜农则农、宜林则林、宜牧则牧。</w:t>
      </w:r>
    </w:p>
    <w:p>
      <w:pPr>
        <w:bidi w:val="0"/>
        <w:rPr>
          <w:rFonts w:hint="eastAsia"/>
          <w:szCs w:val="28"/>
        </w:rPr>
      </w:pPr>
      <w:r>
        <w:rPr>
          <w:rFonts w:hint="eastAsia"/>
          <w:szCs w:val="28"/>
          <w:lang w:val="en-US" w:eastAsia="zh-CN"/>
        </w:rPr>
        <w:t>④</w:t>
      </w:r>
      <w:r>
        <w:rPr>
          <w:rFonts w:hint="eastAsia"/>
          <w:szCs w:val="28"/>
        </w:rPr>
        <w:t>理论分析与实践检验相结合的原则</w:t>
      </w:r>
    </w:p>
    <w:p>
      <w:pPr>
        <w:bidi w:val="0"/>
        <w:rPr>
          <w:rFonts w:hint="eastAsia" w:eastAsia="宋体"/>
          <w:lang w:eastAsia="zh-CN"/>
        </w:rPr>
      </w:pPr>
      <w:r>
        <w:rPr>
          <w:rFonts w:hint="eastAsia"/>
        </w:rPr>
        <w:t>对被破坏的土地进行适宜性时，要根据已有的资料</w:t>
      </w:r>
      <w:r>
        <w:rPr>
          <w:rFonts w:hint="eastAsia"/>
          <w:lang w:eastAsia="zh-CN"/>
        </w:rPr>
        <w:t>做</w:t>
      </w:r>
      <w:r>
        <w:rPr>
          <w:rFonts w:hint="eastAsia"/>
        </w:rPr>
        <w:t>综合的理论分析，确定复垦土地的利用方向，但结论是否正确还需通过实践检验，着眼于发展的原则</w:t>
      </w:r>
      <w:r>
        <w:rPr>
          <w:rFonts w:hint="eastAsia"/>
          <w:lang w:eastAsia="zh-CN"/>
        </w:rPr>
        <w:t>。</w:t>
      </w:r>
    </w:p>
    <w:p>
      <w:pPr>
        <w:bidi w:val="0"/>
        <w:rPr>
          <w:rFonts w:hint="eastAsia"/>
        </w:rPr>
      </w:pPr>
      <w:r>
        <w:rPr>
          <w:rFonts w:hint="eastAsia"/>
          <w:lang w:val="en-US" w:eastAsia="zh-CN"/>
        </w:rPr>
        <w:t>⑤</w:t>
      </w:r>
      <w:r>
        <w:rPr>
          <w:rFonts w:hint="eastAsia"/>
        </w:rPr>
        <w:t>与佳木斯市区土地总体规划、城市规划、生态功能区划等相协调的原则</w:t>
      </w:r>
    </w:p>
    <w:p>
      <w:pPr>
        <w:bidi w:val="0"/>
        <w:rPr>
          <w:rFonts w:hint="eastAsia"/>
          <w:szCs w:val="28"/>
        </w:rPr>
      </w:pPr>
      <w:r>
        <w:rPr>
          <w:rFonts w:hint="eastAsia"/>
          <w:szCs w:val="28"/>
        </w:rPr>
        <w:t>在确定待复垦土地的适宜性时，不仅要考虑被评价土地的自然条件和破坏状况，还应考虑区域性的土地利用总体规划和城市规划等，统筹考虑本地区的社会经济和矿区的生产建设发展。</w:t>
      </w:r>
    </w:p>
    <w:p>
      <w:pPr>
        <w:bidi w:val="0"/>
        <w:rPr>
          <w:rFonts w:hint="eastAsia"/>
        </w:rPr>
      </w:pPr>
      <w:r>
        <w:rPr>
          <w:rFonts w:hint="eastAsia"/>
          <w:lang w:val="en-US" w:eastAsia="zh-CN"/>
        </w:rPr>
        <w:t>2）</w:t>
      </w:r>
      <w:r>
        <w:rPr>
          <w:rFonts w:hint="eastAsia"/>
        </w:rPr>
        <w:t>评价依据</w:t>
      </w:r>
    </w:p>
    <w:p>
      <w:pPr>
        <w:bidi w:val="0"/>
        <w:rPr>
          <w:rFonts w:hint="eastAsia"/>
          <w:szCs w:val="28"/>
        </w:rPr>
      </w:pPr>
      <w:r>
        <w:rPr>
          <w:rFonts w:hint="eastAsia"/>
          <w:szCs w:val="28"/>
          <w:lang w:val="en-US" w:eastAsia="zh-CN"/>
        </w:rPr>
        <w:t>①</w:t>
      </w:r>
      <w:r>
        <w:rPr>
          <w:rFonts w:hint="eastAsia"/>
          <w:szCs w:val="28"/>
        </w:rPr>
        <w:t>土地复垦的相关规程和标准</w:t>
      </w:r>
    </w:p>
    <w:p>
      <w:pPr>
        <w:bidi w:val="0"/>
        <w:rPr>
          <w:rFonts w:hint="eastAsia"/>
          <w:szCs w:val="28"/>
        </w:rPr>
      </w:pPr>
      <w:r>
        <w:rPr>
          <w:rFonts w:hint="eastAsia"/>
          <w:szCs w:val="28"/>
        </w:rPr>
        <w:t>包括</w:t>
      </w:r>
      <w:r>
        <w:rPr>
          <w:rFonts w:hint="eastAsia"/>
          <w:szCs w:val="28"/>
          <w:lang w:eastAsia="zh-CN"/>
        </w:rPr>
        <w:t>《土地复垦技术标准（试行）》《</w:t>
      </w:r>
      <w:r>
        <w:rPr>
          <w:rFonts w:hint="eastAsia"/>
          <w:szCs w:val="28"/>
        </w:rPr>
        <w:t>矿山地质环境保护与恢复治理方案编制规程》（DZ/T0223-2011）、《土地开发整理规划编制规程》（2000年）、《耕地地力调查与质量评价技术规程》（NY/T 1634-2008）、《土地复垦质量控制标准》（TD/T 1036-2013）、《耕地后备资源调查与评价技术规程》（TD/T 1007-2003）、《黑龙江省土地开发整理工程建设标准》等相关规程和标准。</w:t>
      </w:r>
    </w:p>
    <w:p>
      <w:pPr>
        <w:bidi w:val="0"/>
        <w:rPr>
          <w:rFonts w:hint="eastAsia"/>
          <w:szCs w:val="28"/>
        </w:rPr>
      </w:pPr>
      <w:r>
        <w:rPr>
          <w:rFonts w:hint="eastAsia"/>
          <w:szCs w:val="28"/>
          <w:lang w:val="en-US" w:eastAsia="zh-CN"/>
        </w:rPr>
        <w:t>②</w:t>
      </w:r>
      <w:r>
        <w:rPr>
          <w:rFonts w:hint="eastAsia"/>
          <w:szCs w:val="28"/>
        </w:rPr>
        <w:t>土地利用的相关法规和规划</w:t>
      </w:r>
    </w:p>
    <w:p>
      <w:pPr>
        <w:bidi w:val="0"/>
        <w:rPr>
          <w:rFonts w:hint="eastAsia"/>
          <w:szCs w:val="28"/>
        </w:rPr>
      </w:pPr>
      <w:r>
        <w:rPr>
          <w:rFonts w:hint="eastAsia"/>
          <w:szCs w:val="28"/>
        </w:rPr>
        <w:t>包括项目所在地区的</w:t>
      </w:r>
      <w:r>
        <w:rPr>
          <w:rFonts w:hint="eastAsia"/>
          <w:szCs w:val="28"/>
          <w:lang w:val="en-US" w:eastAsia="zh-CN"/>
        </w:rPr>
        <w:t>国土空间规划</w:t>
      </w:r>
      <w:r>
        <w:rPr>
          <w:rFonts w:hint="eastAsia"/>
          <w:szCs w:val="28"/>
        </w:rPr>
        <w:t>等。</w:t>
      </w:r>
    </w:p>
    <w:p>
      <w:pPr>
        <w:bidi w:val="0"/>
        <w:rPr>
          <w:rFonts w:hint="eastAsia"/>
          <w:szCs w:val="28"/>
        </w:rPr>
      </w:pPr>
      <w:r>
        <w:rPr>
          <w:rFonts w:hint="eastAsia"/>
          <w:szCs w:val="28"/>
          <w:lang w:val="en-US" w:eastAsia="zh-CN"/>
        </w:rPr>
        <w:t>③</w:t>
      </w:r>
      <w:r>
        <w:rPr>
          <w:rFonts w:hint="eastAsia"/>
          <w:szCs w:val="28"/>
        </w:rPr>
        <w:t>其他</w:t>
      </w:r>
    </w:p>
    <w:p>
      <w:pPr>
        <w:bidi w:val="0"/>
        <w:rPr>
          <w:szCs w:val="28"/>
        </w:rPr>
      </w:pPr>
      <w:r>
        <w:rPr>
          <w:rFonts w:hint="eastAsia"/>
          <w:szCs w:val="28"/>
        </w:rPr>
        <w:t>包括项目区及复垦责任范围内自然社会经济状况、土地损毁分析结果、土地损毁前后的土地利用状况、公众参与意见等。</w:t>
      </w:r>
    </w:p>
    <w:p>
      <w:pPr>
        <w:bidi w:val="0"/>
      </w:pPr>
      <w:r>
        <w:rPr>
          <w:rFonts w:hint="eastAsia"/>
        </w:rPr>
        <w:t>（</w:t>
      </w:r>
      <w:r>
        <w:rPr>
          <w:rFonts w:hint="eastAsia"/>
          <w:lang w:val="en-US" w:eastAsia="zh-CN"/>
        </w:rPr>
        <w:t>3</w:t>
      </w:r>
      <w:r>
        <w:rPr>
          <w:rFonts w:hint="eastAsia"/>
        </w:rPr>
        <w:t>）</w:t>
      </w:r>
      <w:r>
        <w:t>确定评价方法和适宜性标准</w:t>
      </w:r>
    </w:p>
    <w:p>
      <w:pPr>
        <w:bidi w:val="0"/>
      </w:pPr>
      <w:r>
        <w:rPr>
          <w:rFonts w:hint="eastAsia"/>
          <w:lang w:val="en-US" w:eastAsia="zh-CN"/>
        </w:rPr>
        <w:t>1</w:t>
      </w:r>
      <w:r>
        <w:rPr>
          <w:rFonts w:hint="eastAsia"/>
        </w:rPr>
        <w:t>）</w:t>
      </w:r>
      <w:r>
        <w:t>确定评价对象</w:t>
      </w:r>
    </w:p>
    <w:p>
      <w:pPr>
        <w:ind w:firstLine="560"/>
        <w:rPr>
          <w:sz w:val="28"/>
          <w:szCs w:val="28"/>
        </w:rPr>
      </w:pPr>
      <w:r>
        <w:rPr>
          <w:sz w:val="28"/>
          <w:szCs w:val="28"/>
        </w:rPr>
        <w:t>评价对象和单元是指矿山开采工艺过程损毁的土地类型和范围，它们具有各自的独立性和损毁性质程度的差异性，又具有产生的关联性。根据方案服务期内土地损毁分析及预测结果，评价范围为实际生态修复范围，即</w:t>
      </w:r>
      <w:r>
        <w:rPr>
          <w:rFonts w:hint="eastAsia"/>
          <w:sz w:val="28"/>
          <w:szCs w:val="28"/>
        </w:rPr>
        <w:t>评价单元采掘场基底</w:t>
      </w:r>
      <w:r>
        <w:rPr>
          <w:rFonts w:hint="eastAsia"/>
          <w:sz w:val="28"/>
          <w:szCs w:val="28"/>
          <w:lang w:eastAsia="zh-CN"/>
        </w:rPr>
        <w:t>、</w:t>
      </w:r>
      <w:r>
        <w:rPr>
          <w:rFonts w:hint="eastAsia"/>
          <w:sz w:val="28"/>
          <w:szCs w:val="28"/>
        </w:rPr>
        <w:t>台阶</w:t>
      </w:r>
      <w:r>
        <w:rPr>
          <w:rFonts w:hint="eastAsia"/>
          <w:sz w:val="28"/>
          <w:szCs w:val="28"/>
          <w:lang w:eastAsia="zh-CN"/>
        </w:rPr>
        <w:t>、</w:t>
      </w:r>
      <w:r>
        <w:rPr>
          <w:rFonts w:hint="eastAsia"/>
          <w:sz w:val="28"/>
          <w:szCs w:val="28"/>
        </w:rPr>
        <w:t>边坡</w:t>
      </w:r>
      <w:r>
        <w:rPr>
          <w:rFonts w:hint="eastAsia"/>
          <w:sz w:val="28"/>
          <w:szCs w:val="28"/>
          <w:lang w:eastAsia="zh-CN"/>
        </w:rPr>
        <w:t>、</w:t>
      </w:r>
      <w:r>
        <w:rPr>
          <w:rFonts w:hint="eastAsia"/>
          <w:sz w:val="28"/>
          <w:szCs w:val="28"/>
        </w:rPr>
        <w:t>办公室</w:t>
      </w:r>
      <w:r>
        <w:rPr>
          <w:rFonts w:hint="eastAsia"/>
          <w:sz w:val="28"/>
          <w:szCs w:val="28"/>
          <w:lang w:eastAsia="zh-CN"/>
        </w:rPr>
        <w:t>、</w:t>
      </w:r>
      <w:r>
        <w:rPr>
          <w:rFonts w:hint="eastAsia"/>
          <w:sz w:val="28"/>
          <w:szCs w:val="28"/>
        </w:rPr>
        <w:t>工业广场</w:t>
      </w:r>
      <w:r>
        <w:rPr>
          <w:rFonts w:hint="eastAsia"/>
          <w:sz w:val="28"/>
          <w:szCs w:val="28"/>
          <w:lang w:val="en-US" w:eastAsia="zh-CN"/>
        </w:rPr>
        <w:t>5</w:t>
      </w:r>
      <w:r>
        <w:rPr>
          <w:rFonts w:hint="eastAsia"/>
          <w:sz w:val="28"/>
          <w:szCs w:val="28"/>
        </w:rPr>
        <w:t>个单元作为评价对象</w:t>
      </w:r>
      <w:r>
        <w:rPr>
          <w:sz w:val="28"/>
          <w:szCs w:val="28"/>
        </w:rPr>
        <w:t>。</w:t>
      </w:r>
    </w:p>
    <w:p>
      <w:pPr>
        <w:bidi w:val="0"/>
        <w:rPr>
          <w:rFonts w:hint="default"/>
        </w:rPr>
      </w:pPr>
      <w:r>
        <w:rPr>
          <w:rFonts w:hint="eastAsia"/>
        </w:rPr>
        <w:t>2）评价单元的划分</w:t>
      </w:r>
    </w:p>
    <w:p>
      <w:pPr>
        <w:ind w:firstLine="560"/>
        <w:rPr>
          <w:sz w:val="28"/>
          <w:szCs w:val="28"/>
        </w:rPr>
      </w:pPr>
      <w:r>
        <w:rPr>
          <w:rFonts w:hint="eastAsia"/>
          <w:sz w:val="28"/>
          <w:szCs w:val="28"/>
        </w:rPr>
        <w:t>在对本项目进行土地复垦适宜性评价划分评价单元时应当以土地损毁类型、限制性因素和人工复垦整治措施等各因素综合影响作为划分依据。由于本适宜性评价的评价对象为</w:t>
      </w:r>
      <w:r>
        <w:rPr>
          <w:rFonts w:hint="eastAsia"/>
          <w:lang w:val="en-US" w:eastAsia="zh-CN"/>
        </w:rPr>
        <w:t>采掘场基底</w:t>
      </w:r>
      <w:r>
        <w:rPr>
          <w:rFonts w:hint="eastAsia"/>
          <w:sz w:val="28"/>
          <w:szCs w:val="28"/>
        </w:rPr>
        <w:t>、边坡及</w:t>
      </w:r>
      <w:r>
        <w:rPr>
          <w:rFonts w:hint="eastAsia"/>
          <w:sz w:val="28"/>
          <w:szCs w:val="28"/>
          <w:lang w:val="en-US" w:eastAsia="zh-CN"/>
        </w:rPr>
        <w:t>办公</w:t>
      </w:r>
      <w:r>
        <w:rPr>
          <w:rFonts w:hint="eastAsia"/>
          <w:lang w:val="en-US" w:eastAsia="zh-CN"/>
        </w:rPr>
        <w:t>室</w:t>
      </w:r>
      <w:r>
        <w:rPr>
          <w:rFonts w:hint="eastAsia"/>
          <w:sz w:val="28"/>
          <w:szCs w:val="28"/>
          <w:lang w:val="en-US" w:eastAsia="zh-CN"/>
        </w:rPr>
        <w:t>、</w:t>
      </w:r>
      <w:r>
        <w:rPr>
          <w:rFonts w:hint="eastAsia"/>
          <w:sz w:val="28"/>
          <w:szCs w:val="28"/>
        </w:rPr>
        <w:t>工业广场影响区</w:t>
      </w:r>
      <w:r>
        <w:rPr>
          <w:rFonts w:hint="eastAsia"/>
          <w:sz w:val="28"/>
          <w:szCs w:val="28"/>
          <w:lang w:val="en-US" w:eastAsia="zh-CN"/>
        </w:rPr>
        <w:t>5</w:t>
      </w:r>
      <w:r>
        <w:rPr>
          <w:rFonts w:hint="eastAsia"/>
          <w:sz w:val="28"/>
          <w:szCs w:val="28"/>
        </w:rPr>
        <w:t>个评价单元。评价单元划分具体情况见下表</w:t>
      </w:r>
      <w:r>
        <w:rPr>
          <w:rFonts w:hint="eastAsia"/>
          <w:sz w:val="28"/>
          <w:szCs w:val="28"/>
          <w:lang w:val="en-US" w:eastAsia="zh-CN"/>
        </w:rPr>
        <w:t>3</w:t>
      </w:r>
      <w:r>
        <w:rPr>
          <w:rFonts w:hint="eastAsia"/>
          <w:sz w:val="28"/>
          <w:szCs w:val="28"/>
        </w:rPr>
        <w:t>-</w:t>
      </w:r>
      <w:r>
        <w:rPr>
          <w:rFonts w:hint="eastAsia"/>
          <w:sz w:val="28"/>
          <w:szCs w:val="28"/>
          <w:lang w:val="en-US" w:eastAsia="zh-CN"/>
        </w:rPr>
        <w:t>8</w:t>
      </w:r>
      <w:r>
        <w:rPr>
          <w:rFonts w:hint="eastAsia"/>
          <w:sz w:val="28"/>
          <w:szCs w:val="28"/>
        </w:rPr>
        <w:t>。</w:t>
      </w:r>
    </w:p>
    <w:p>
      <w:pPr>
        <w:pStyle w:val="8"/>
        <w:bidi w:val="0"/>
        <w:rPr>
          <w:rFonts w:hint="default"/>
        </w:rPr>
      </w:pPr>
      <w:r>
        <w:rPr>
          <w:rFonts w:hint="eastAsia"/>
        </w:rPr>
        <w:t>表</w:t>
      </w:r>
      <w:r>
        <w:rPr>
          <w:rFonts w:hint="eastAsia"/>
          <w:lang w:val="en-US" w:eastAsia="zh-CN"/>
        </w:rPr>
        <w:t>3</w:t>
      </w:r>
      <w:r>
        <w:rPr>
          <w:rFonts w:hint="eastAsia"/>
        </w:rPr>
        <w:t>-</w:t>
      </w:r>
      <w:r>
        <w:rPr>
          <w:rFonts w:hint="eastAsia"/>
          <w:lang w:val="en-US" w:eastAsia="zh-CN"/>
        </w:rPr>
        <w:t>10</w:t>
      </w:r>
      <w:r>
        <w:rPr>
          <w:rFonts w:hint="eastAsia"/>
        </w:rPr>
        <w:t xml:space="preserve"> </w:t>
      </w:r>
      <w:r>
        <w:rPr>
          <w:rFonts w:hint="eastAsia"/>
          <w:lang w:val="en-US" w:eastAsia="zh-CN"/>
        </w:rPr>
        <w:t>马库力山采石场</w:t>
      </w:r>
      <w:r>
        <w:rPr>
          <w:rFonts w:hint="eastAsia"/>
        </w:rPr>
        <w:t>评价单元情况表</w:t>
      </w:r>
    </w:p>
    <w:tbl>
      <w:tblPr>
        <w:tblStyle w:val="16"/>
        <w:tblW w:w="97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8"/>
        <w:gridCol w:w="3595"/>
        <w:gridCol w:w="2085"/>
        <w:gridCol w:w="2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评价单元</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原有土地地类</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损毁土地面积（</w:t>
            </w:r>
            <w:r>
              <w:rPr>
                <w:rFonts w:hint="default"/>
                <w:lang w:val="en-US" w:eastAsia="zh-CN"/>
              </w:rPr>
              <w:t>hm</w:t>
            </w:r>
            <w:r>
              <w:rPr>
                <w:rFonts w:hint="default"/>
                <w:vertAlign w:val="superscript"/>
                <w:lang w:val="en-US" w:eastAsia="zh-CN"/>
              </w:rPr>
              <w:t>2</w:t>
            </w:r>
            <w:r>
              <w:rPr>
                <w:rFonts w:hint="eastAsia"/>
                <w:lang w:val="en-US" w:eastAsia="zh-CN"/>
              </w:rPr>
              <w:t>）</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损毁形式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采掘场基底</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挖损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台阶</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挖损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边坡</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挖损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办公室</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旱地、乔木林地</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压占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99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工业广场</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旱地、乔木林地、其他草地、采矿用地、农村道路、坑塘水面</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压占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99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影响区</w:t>
            </w:r>
          </w:p>
        </w:tc>
        <w:tc>
          <w:tcPr>
            <w:tcW w:w="35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乔木林地、采矿用地、农村道路</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rPr>
            </w:pPr>
            <w:r>
              <w:rPr>
                <w:rFonts w:hint="eastAsia"/>
                <w:lang w:val="en-US" w:eastAsia="zh-CN"/>
              </w:rPr>
              <w:t>挖损/压占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93" w:type="dxa"/>
            <w:gridSpan w:val="2"/>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208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bl>
    <w:p>
      <w:pPr>
        <w:ind w:firstLine="560"/>
        <w:rPr>
          <w:rFonts w:hint="eastAsia"/>
          <w:sz w:val="28"/>
          <w:szCs w:val="28"/>
        </w:rPr>
      </w:pPr>
    </w:p>
    <w:p>
      <w:pPr>
        <w:ind w:firstLine="560"/>
        <w:rPr>
          <w:rFonts w:hint="eastAsia"/>
          <w:sz w:val="28"/>
          <w:szCs w:val="28"/>
        </w:rPr>
      </w:pPr>
      <w:r>
        <w:rPr>
          <w:rFonts w:hint="eastAsia"/>
          <w:sz w:val="28"/>
          <w:szCs w:val="28"/>
        </w:rPr>
        <w:t>3）评价体系和评价方法</w:t>
      </w:r>
    </w:p>
    <w:p>
      <w:pPr>
        <w:bidi w:val="0"/>
        <w:rPr>
          <w:rFonts w:hint="eastAsia"/>
        </w:rPr>
      </w:pPr>
      <w:r>
        <w:rPr>
          <w:rFonts w:hint="eastAsia"/>
          <w:lang w:val="en-US" w:eastAsia="zh-CN"/>
        </w:rPr>
        <w:t>①</w:t>
      </w:r>
      <w:r>
        <w:rPr>
          <w:rFonts w:hint="eastAsia"/>
        </w:rPr>
        <w:t>评价体系</w:t>
      </w:r>
    </w:p>
    <w:p>
      <w:pPr>
        <w:bidi w:val="0"/>
        <w:rPr>
          <w:rFonts w:hint="eastAsia"/>
        </w:rPr>
      </w:pPr>
      <w:r>
        <w:rPr>
          <w:rFonts w:hint="eastAsia"/>
        </w:rPr>
        <w:t>采用二级评价体系，分为适宜类和适宜等，适宜类</w:t>
      </w:r>
      <w:r>
        <w:rPr>
          <w:rFonts w:hint="eastAsia"/>
          <w:lang w:eastAsia="zh-CN"/>
        </w:rPr>
        <w:t>分为</w:t>
      </w:r>
      <w:r>
        <w:rPr>
          <w:rFonts w:hint="eastAsia"/>
        </w:rPr>
        <w:t>适宜和不适宜，适宜等</w:t>
      </w:r>
      <w:r>
        <w:rPr>
          <w:rFonts w:hint="eastAsia"/>
          <w:lang w:eastAsia="zh-CN"/>
        </w:rPr>
        <w:t>再</w:t>
      </w:r>
      <w:r>
        <w:rPr>
          <w:rFonts w:hint="eastAsia"/>
        </w:rPr>
        <w:t>分为一等地、二等地和三等地。</w:t>
      </w:r>
    </w:p>
    <w:p>
      <w:pPr>
        <w:bidi w:val="0"/>
        <w:rPr>
          <w:rFonts w:hint="eastAsia"/>
        </w:rPr>
      </w:pPr>
      <w:r>
        <w:rPr>
          <w:rFonts w:hint="eastAsia"/>
          <w:lang w:val="en-US" w:eastAsia="zh-CN"/>
        </w:rPr>
        <w:t>②</w:t>
      </w:r>
      <w:r>
        <w:rPr>
          <w:rFonts w:hint="eastAsia"/>
        </w:rPr>
        <w:t>评价方法</w:t>
      </w:r>
    </w:p>
    <w:p>
      <w:pPr>
        <w:bidi w:val="0"/>
        <w:rPr>
          <w:rFonts w:hint="eastAsia"/>
        </w:rPr>
      </w:pPr>
      <w:r>
        <w:rPr>
          <w:rFonts w:hint="eastAsia"/>
        </w:rPr>
        <w:t>本方案采用极限法对复垦区进行宜耕、宜林、宜草适宜性评价，即按土地类型基本要求，对比采矿破坏土地的特征，并结合附近矿区土地复垦经验和科学经济的复垦措施，将需复垦的土地分为适宜和不适宜两类，其中适宜类为破坏前已利用的土地和自然属性较好的其他用地（包括宜耕、宜林、宜草，各种宜利用土地适宜性按破坏程度和可垦性进行分级评价），不适宜为破坏前受到破坏严重、目前技术经济条件下不宜复垦的土地。</w:t>
      </w:r>
    </w:p>
    <w:p>
      <w:pPr>
        <w:bidi w:val="0"/>
        <w:rPr>
          <w:rFonts w:hint="eastAsia"/>
        </w:rPr>
      </w:pPr>
      <w:r>
        <w:rPr>
          <w:rFonts w:hint="eastAsia"/>
        </w:rPr>
        <w:t>极限法是基于系统工程中“木桶原理”，即分类单元的最终质量取决于条件最差的因子的质量。其计算公式为：</w:t>
      </w:r>
    </w:p>
    <w:p>
      <w:pPr>
        <w:bidi w:val="0"/>
        <w:rPr>
          <w:rFonts w:hint="eastAsia"/>
        </w:rPr>
      </w:pPr>
      <w:r>
        <w:rPr>
          <w:rFonts w:hint="eastAsia"/>
        </w:rPr>
        <w:t xml:space="preserve">Yi=min(Yij)                </w:t>
      </w:r>
      <w:r>
        <w:rPr>
          <w:rFonts w:hint="eastAsia"/>
          <w:lang w:val="en-US" w:eastAsia="zh-CN"/>
        </w:rPr>
        <w:t xml:space="preserve">                         </w:t>
      </w:r>
      <w:r>
        <w:rPr>
          <w:rFonts w:hint="eastAsia"/>
        </w:rPr>
        <w:t xml:space="preserve">     </w:t>
      </w:r>
      <w:r>
        <w:rPr>
          <w:rFonts w:hint="eastAsia"/>
          <w:lang w:eastAsia="zh-CN"/>
        </w:rPr>
        <w:t>（</w:t>
      </w:r>
      <w:r>
        <w:rPr>
          <w:rFonts w:hint="eastAsia"/>
        </w:rPr>
        <w:t>公式4-1</w:t>
      </w:r>
      <w:r>
        <w:rPr>
          <w:rFonts w:hint="eastAsia"/>
          <w:lang w:eastAsia="zh-CN"/>
        </w:rPr>
        <w:t>）</w:t>
      </w:r>
    </w:p>
    <w:p>
      <w:pPr>
        <w:bidi w:val="0"/>
        <w:rPr>
          <w:rFonts w:hint="eastAsia"/>
        </w:rPr>
      </w:pPr>
      <w:r>
        <w:rPr>
          <w:rFonts w:hint="eastAsia"/>
        </w:rPr>
        <w:t>式中：</w:t>
      </w:r>
    </w:p>
    <w:p>
      <w:pPr>
        <w:bidi w:val="0"/>
        <w:rPr>
          <w:rFonts w:hint="eastAsia"/>
        </w:rPr>
      </w:pPr>
      <w:r>
        <w:rPr>
          <w:rFonts w:hint="eastAsia"/>
        </w:rPr>
        <w:t>Yi——第i个评价单元的最终分值</w:t>
      </w:r>
    </w:p>
    <w:p>
      <w:pPr>
        <w:bidi w:val="0"/>
        <w:rPr>
          <w:rFonts w:hint="eastAsia"/>
        </w:rPr>
      </w:pPr>
      <w:r>
        <w:rPr>
          <w:rFonts w:hint="eastAsia"/>
        </w:rPr>
        <w:t>Yij——第i个评价单元中第j参评因子的分值</w:t>
      </w:r>
    </w:p>
    <w:p>
      <w:pPr>
        <w:bidi w:val="0"/>
        <w:rPr>
          <w:rFonts w:hint="eastAsia"/>
        </w:rPr>
      </w:pPr>
      <w:r>
        <w:rPr>
          <w:rFonts w:hint="eastAsia"/>
        </w:rPr>
        <w:t>4）评价指标体系及标准的建立</w:t>
      </w:r>
    </w:p>
    <w:p>
      <w:pPr>
        <w:bidi w:val="0"/>
        <w:rPr>
          <w:rFonts w:hint="eastAsia"/>
        </w:rPr>
      </w:pPr>
      <w:r>
        <w:rPr>
          <w:rFonts w:hint="eastAsia"/>
          <w:lang w:val="en-US" w:eastAsia="zh-CN"/>
        </w:rPr>
        <w:t>①</w:t>
      </w:r>
      <w:r>
        <w:rPr>
          <w:rFonts w:hint="eastAsia"/>
        </w:rPr>
        <w:t>评价指标的选取：</w:t>
      </w:r>
    </w:p>
    <w:p>
      <w:pPr>
        <w:bidi w:val="0"/>
        <w:rPr>
          <w:rFonts w:hint="eastAsia"/>
          <w:lang w:val="zh-CN"/>
        </w:rPr>
      </w:pPr>
      <w:r>
        <w:rPr>
          <w:rFonts w:hint="eastAsia"/>
        </w:rPr>
        <w:t>单元评价指标选取</w:t>
      </w:r>
      <w:r>
        <w:rPr>
          <w:rFonts w:hint="eastAsia"/>
          <w:lang w:val="zh-CN"/>
        </w:rPr>
        <w:t>地形坡度、地表物质组成、土壤有机质、与周边环境适宜情况、水文与排水条件等指标作为评价指标。</w:t>
      </w:r>
    </w:p>
    <w:p>
      <w:pPr>
        <w:bidi w:val="0"/>
        <w:rPr>
          <w:rFonts w:hint="eastAsia"/>
        </w:rPr>
      </w:pPr>
      <w:r>
        <w:rPr>
          <w:rFonts w:hint="eastAsia"/>
          <w:lang w:val="en-US" w:eastAsia="zh-CN"/>
        </w:rPr>
        <w:t>②</w:t>
      </w:r>
      <w:r>
        <w:rPr>
          <w:rFonts w:hint="eastAsia"/>
        </w:rPr>
        <w:t>评价因素等级标准的确定</w:t>
      </w:r>
    </w:p>
    <w:p>
      <w:pPr>
        <w:bidi w:val="0"/>
        <w:rPr>
          <w:szCs w:val="28"/>
        </w:rPr>
      </w:pPr>
      <w:r>
        <w:rPr>
          <w:rFonts w:hint="eastAsia"/>
        </w:rPr>
        <w:t>根据《耕地后备资源调查与评价技术规程》（TD/T 1007-2003）、《农用地定级规程》（TD/T 1005-2003）、《土地复垦质量控制标准》（TD/T 1036-2013）及地方相关标准，结合自然、社会经济状况，建立土地复垦适宜性评价标准。</w:t>
      </w:r>
    </w:p>
    <w:p>
      <w:pPr>
        <w:pStyle w:val="8"/>
        <w:bidi w:val="0"/>
        <w:rPr>
          <w:rFonts w:hint="default"/>
        </w:rPr>
      </w:pPr>
      <w:r>
        <w:rPr>
          <w:rFonts w:hint="eastAsia"/>
        </w:rPr>
        <w:t>表</w:t>
      </w:r>
      <w:r>
        <w:rPr>
          <w:rFonts w:hint="eastAsia"/>
          <w:lang w:val="en-US" w:eastAsia="zh-CN"/>
        </w:rPr>
        <w:t xml:space="preserve"> 3</w:t>
      </w:r>
      <w:r>
        <w:rPr>
          <w:rFonts w:hint="eastAsia"/>
        </w:rPr>
        <w:t>-</w:t>
      </w:r>
      <w:r>
        <w:rPr>
          <w:rFonts w:hint="eastAsia"/>
          <w:lang w:val="en-US" w:eastAsia="zh-CN"/>
        </w:rPr>
        <w:t xml:space="preserve">11 </w:t>
      </w:r>
      <w:r>
        <w:rPr>
          <w:rFonts w:hint="eastAsia"/>
        </w:rPr>
        <w:t>土地适宜性评价限制因素分级标准</w:t>
      </w:r>
    </w:p>
    <w:tbl>
      <w:tblPr>
        <w:tblStyle w:val="16"/>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004"/>
        <w:gridCol w:w="3190"/>
        <w:gridCol w:w="825"/>
        <w:gridCol w:w="825"/>
        <w:gridCol w:w="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6020" w:type="dxa"/>
            <w:gridSpan w:val="3"/>
            <w:tcBorders>
              <w:tl2br w:val="nil"/>
              <w:tr2bl w:val="nil"/>
            </w:tcBorders>
            <w:noWrap w:val="0"/>
            <w:vAlign w:val="center"/>
          </w:tcPr>
          <w:p>
            <w:pPr>
              <w:pStyle w:val="27"/>
              <w:bidi w:val="0"/>
              <w:rPr>
                <w:rFonts w:hint="eastAsia"/>
              </w:rPr>
            </w:pPr>
            <w:r>
              <w:rPr>
                <w:rFonts w:hint="eastAsia"/>
              </w:rPr>
              <w:t>适宜性评价限制因素分级</w:t>
            </w:r>
          </w:p>
        </w:tc>
        <w:tc>
          <w:tcPr>
            <w:tcW w:w="2479" w:type="dxa"/>
            <w:gridSpan w:val="3"/>
            <w:tcBorders>
              <w:tl2br w:val="nil"/>
              <w:tr2bl w:val="nil"/>
            </w:tcBorders>
            <w:noWrap w:val="0"/>
            <w:vAlign w:val="center"/>
          </w:tcPr>
          <w:p>
            <w:pPr>
              <w:pStyle w:val="27"/>
              <w:bidi w:val="0"/>
              <w:rPr>
                <w:rFonts w:hint="eastAsia"/>
              </w:rPr>
            </w:pPr>
            <w:r>
              <w:rPr>
                <w:rFonts w:hint="eastAsia"/>
              </w:rPr>
              <w:t>适宜性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26" w:type="dxa"/>
            <w:tcBorders>
              <w:tl2br w:val="nil"/>
              <w:tr2bl w:val="nil"/>
            </w:tcBorders>
            <w:noWrap w:val="0"/>
            <w:vAlign w:val="center"/>
          </w:tcPr>
          <w:p>
            <w:pPr>
              <w:pStyle w:val="27"/>
              <w:bidi w:val="0"/>
              <w:rPr>
                <w:rFonts w:hint="default"/>
              </w:rPr>
            </w:pPr>
            <w:r>
              <w:rPr>
                <w:rFonts w:hint="eastAsia"/>
              </w:rPr>
              <w:t>序号</w:t>
            </w:r>
          </w:p>
        </w:tc>
        <w:tc>
          <w:tcPr>
            <w:tcW w:w="2004" w:type="dxa"/>
            <w:tcBorders>
              <w:tl2br w:val="nil"/>
              <w:tr2bl w:val="nil"/>
            </w:tcBorders>
            <w:noWrap w:val="0"/>
            <w:vAlign w:val="center"/>
          </w:tcPr>
          <w:p>
            <w:pPr>
              <w:pStyle w:val="27"/>
              <w:bidi w:val="0"/>
              <w:rPr>
                <w:rFonts w:hint="default"/>
              </w:rPr>
            </w:pPr>
            <w:r>
              <w:rPr>
                <w:rFonts w:hint="eastAsia"/>
              </w:rPr>
              <w:t>限制因素</w:t>
            </w:r>
          </w:p>
        </w:tc>
        <w:tc>
          <w:tcPr>
            <w:tcW w:w="3190" w:type="dxa"/>
            <w:tcBorders>
              <w:tl2br w:val="nil"/>
              <w:tr2bl w:val="nil"/>
            </w:tcBorders>
            <w:noWrap w:val="0"/>
            <w:vAlign w:val="center"/>
          </w:tcPr>
          <w:p>
            <w:pPr>
              <w:pStyle w:val="27"/>
              <w:bidi w:val="0"/>
              <w:rPr>
                <w:rFonts w:hint="default"/>
              </w:rPr>
            </w:pPr>
            <w:r>
              <w:rPr>
                <w:rFonts w:hint="eastAsia"/>
              </w:rPr>
              <w:t>分级</w:t>
            </w:r>
          </w:p>
        </w:tc>
        <w:tc>
          <w:tcPr>
            <w:tcW w:w="825" w:type="dxa"/>
            <w:tcBorders>
              <w:tl2br w:val="nil"/>
              <w:tr2bl w:val="nil"/>
            </w:tcBorders>
            <w:noWrap w:val="0"/>
            <w:vAlign w:val="center"/>
          </w:tcPr>
          <w:p>
            <w:pPr>
              <w:pStyle w:val="27"/>
              <w:bidi w:val="0"/>
              <w:rPr>
                <w:rFonts w:hint="default"/>
              </w:rPr>
            </w:pPr>
            <w:r>
              <w:rPr>
                <w:rFonts w:hint="eastAsia"/>
              </w:rPr>
              <w:t>宜耕</w:t>
            </w:r>
          </w:p>
        </w:tc>
        <w:tc>
          <w:tcPr>
            <w:tcW w:w="825" w:type="dxa"/>
            <w:tcBorders>
              <w:tl2br w:val="nil"/>
              <w:tr2bl w:val="nil"/>
            </w:tcBorders>
            <w:noWrap w:val="0"/>
            <w:vAlign w:val="center"/>
          </w:tcPr>
          <w:p>
            <w:pPr>
              <w:pStyle w:val="27"/>
              <w:bidi w:val="0"/>
              <w:rPr>
                <w:rFonts w:hint="default"/>
              </w:rPr>
            </w:pPr>
            <w:r>
              <w:rPr>
                <w:rFonts w:hint="eastAsia"/>
              </w:rPr>
              <w:t>宜林</w:t>
            </w:r>
          </w:p>
        </w:tc>
        <w:tc>
          <w:tcPr>
            <w:tcW w:w="829" w:type="dxa"/>
            <w:tcBorders>
              <w:tl2br w:val="nil"/>
              <w:tr2bl w:val="nil"/>
            </w:tcBorders>
            <w:noWrap w:val="0"/>
            <w:vAlign w:val="center"/>
          </w:tcPr>
          <w:p>
            <w:pPr>
              <w:pStyle w:val="27"/>
              <w:bidi w:val="0"/>
              <w:rPr>
                <w:rFonts w:hint="default"/>
              </w:rPr>
            </w:pPr>
            <w:r>
              <w:rPr>
                <w:rFonts w:hint="eastAsia"/>
              </w:rPr>
              <w:t>宜草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1</w:t>
            </w:r>
          </w:p>
        </w:tc>
        <w:tc>
          <w:tcPr>
            <w:tcW w:w="2004" w:type="dxa"/>
            <w:vMerge w:val="restart"/>
            <w:tcBorders>
              <w:tl2br w:val="nil"/>
              <w:tr2bl w:val="nil"/>
            </w:tcBorders>
            <w:noWrap w:val="0"/>
            <w:vAlign w:val="center"/>
          </w:tcPr>
          <w:p>
            <w:pPr>
              <w:pStyle w:val="27"/>
              <w:bidi w:val="0"/>
              <w:rPr>
                <w:rFonts w:hint="default"/>
              </w:rPr>
            </w:pPr>
            <w:r>
              <w:rPr>
                <w:rFonts w:hint="eastAsia"/>
              </w:rPr>
              <w:t>坡度（</w:t>
            </w:r>
            <w:r>
              <w:rPr>
                <w:rFonts w:hint="default"/>
              </w:rPr>
              <w:t>°</w:t>
            </w:r>
            <w:r>
              <w:rPr>
                <w:rFonts w:hint="eastAsia"/>
              </w:rPr>
              <w:t>）</w:t>
            </w:r>
          </w:p>
        </w:tc>
        <w:tc>
          <w:tcPr>
            <w:tcW w:w="3190" w:type="dxa"/>
            <w:tcBorders>
              <w:tl2br w:val="nil"/>
              <w:tr2bl w:val="nil"/>
            </w:tcBorders>
            <w:noWrap w:val="0"/>
            <w:vAlign w:val="center"/>
          </w:tcPr>
          <w:p>
            <w:pPr>
              <w:pStyle w:val="27"/>
              <w:bidi w:val="0"/>
              <w:rPr>
                <w:rFonts w:hint="default"/>
              </w:rPr>
            </w:pPr>
            <w:r>
              <w:rPr>
                <w:rFonts w:hint="default"/>
              </w:rPr>
              <w:t>&lt;5</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default"/>
              </w:rPr>
              <w:t>5</w:t>
            </w:r>
            <w:r>
              <w:rPr>
                <w:rFonts w:hint="eastAsia"/>
                <w:lang w:eastAsia="zh-CN"/>
              </w:rPr>
              <w:t>-</w:t>
            </w:r>
            <w:r>
              <w:rPr>
                <w:rFonts w:hint="default"/>
              </w:rPr>
              <w:t>25</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w:t>
            </w: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2</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default"/>
              </w:rPr>
              <w:t>25~45</w:t>
            </w:r>
          </w:p>
        </w:tc>
        <w:tc>
          <w:tcPr>
            <w:tcW w:w="825" w:type="dxa"/>
            <w:tcBorders>
              <w:tl2br w:val="nil"/>
              <w:tr2bl w:val="nil"/>
            </w:tcBorders>
            <w:noWrap w:val="0"/>
            <w:vAlign w:val="center"/>
          </w:tcPr>
          <w:p>
            <w:pPr>
              <w:pStyle w:val="27"/>
              <w:bidi w:val="0"/>
              <w:rPr>
                <w:rFonts w:hint="default"/>
              </w:rPr>
            </w:pP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2</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2</w:t>
            </w:r>
          </w:p>
        </w:tc>
        <w:tc>
          <w:tcPr>
            <w:tcW w:w="2004" w:type="dxa"/>
            <w:vMerge w:val="restart"/>
            <w:tcBorders>
              <w:tl2br w:val="nil"/>
              <w:tr2bl w:val="nil"/>
            </w:tcBorders>
            <w:noWrap w:val="0"/>
            <w:vAlign w:val="center"/>
          </w:tcPr>
          <w:p>
            <w:pPr>
              <w:pStyle w:val="27"/>
              <w:bidi w:val="0"/>
              <w:rPr>
                <w:rFonts w:hint="default"/>
              </w:rPr>
            </w:pPr>
            <w:r>
              <w:rPr>
                <w:rFonts w:hint="eastAsia"/>
              </w:rPr>
              <w:t>地表物质组成</w:t>
            </w:r>
          </w:p>
        </w:tc>
        <w:tc>
          <w:tcPr>
            <w:tcW w:w="3190" w:type="dxa"/>
            <w:tcBorders>
              <w:tl2br w:val="nil"/>
              <w:tr2bl w:val="nil"/>
            </w:tcBorders>
            <w:noWrap w:val="0"/>
            <w:vAlign w:val="center"/>
          </w:tcPr>
          <w:p>
            <w:pPr>
              <w:pStyle w:val="27"/>
              <w:bidi w:val="0"/>
              <w:rPr>
                <w:rFonts w:hint="default"/>
              </w:rPr>
            </w:pPr>
            <w:r>
              <w:rPr>
                <w:rFonts w:hint="eastAsia"/>
              </w:rPr>
              <w:t>壤土、砂壤土</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岩土混合物</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或3</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或3</w:t>
            </w:r>
          </w:p>
        </w:tc>
        <w:tc>
          <w:tcPr>
            <w:tcW w:w="829" w:type="dxa"/>
            <w:tcBorders>
              <w:tl2br w:val="nil"/>
              <w:tr2bl w:val="nil"/>
            </w:tcBorders>
            <w:noWrap w:val="0"/>
            <w:vAlign w:val="center"/>
          </w:tcPr>
          <w:p>
            <w:pPr>
              <w:pStyle w:val="27"/>
              <w:bidi w:val="0"/>
              <w:rPr>
                <w:rFonts w:hint="default"/>
              </w:rPr>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砂土、砾质</w:t>
            </w:r>
          </w:p>
        </w:tc>
        <w:tc>
          <w:tcPr>
            <w:tcW w:w="825" w:type="dxa"/>
            <w:tcBorders>
              <w:tl2br w:val="nil"/>
              <w:tr2bl w:val="nil"/>
            </w:tcBorders>
            <w:noWrap w:val="0"/>
            <w:vAlign w:val="center"/>
          </w:tcPr>
          <w:p>
            <w:pPr>
              <w:pStyle w:val="27"/>
              <w:bidi w:val="0"/>
              <w:rPr>
                <w:rFonts w:hint="default"/>
              </w:rPr>
            </w:pPr>
            <w:r>
              <w:rPr>
                <w:rFonts w:hint="default"/>
              </w:rPr>
              <w:t>3</w:t>
            </w:r>
          </w:p>
        </w:tc>
        <w:tc>
          <w:tcPr>
            <w:tcW w:w="825" w:type="dxa"/>
            <w:tcBorders>
              <w:tl2br w:val="nil"/>
              <w:tr2bl w:val="nil"/>
            </w:tcBorders>
            <w:noWrap w:val="0"/>
            <w:vAlign w:val="center"/>
          </w:tcPr>
          <w:p>
            <w:pPr>
              <w:pStyle w:val="27"/>
              <w:bidi w:val="0"/>
              <w:rPr>
                <w:rFonts w:hint="default"/>
              </w:rPr>
            </w:pPr>
            <w:r>
              <w:rPr>
                <w:rFonts w:hint="eastAsia"/>
              </w:rPr>
              <w:t>4</w:t>
            </w:r>
          </w:p>
        </w:tc>
        <w:tc>
          <w:tcPr>
            <w:tcW w:w="829" w:type="dxa"/>
            <w:tcBorders>
              <w:tl2br w:val="nil"/>
              <w:tr2bl w:val="nil"/>
            </w:tcBorders>
            <w:noWrap w:val="0"/>
            <w:vAlign w:val="center"/>
          </w:tcPr>
          <w:p>
            <w:pPr>
              <w:pStyle w:val="27"/>
              <w:bidi w:val="0"/>
              <w:rPr>
                <w:rFonts w:hint="default"/>
              </w:rPr>
            </w:pPr>
            <w:r>
              <w:rPr>
                <w:rFonts w:hint="default"/>
              </w:rPr>
              <w:t>2</w:t>
            </w:r>
            <w:r>
              <w:rPr>
                <w:rFonts w:hint="eastAsia"/>
              </w:rPr>
              <w:t>或3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砾质</w:t>
            </w:r>
          </w:p>
        </w:tc>
        <w:tc>
          <w:tcPr>
            <w:tcW w:w="825" w:type="dxa"/>
            <w:tcBorders>
              <w:tl2br w:val="nil"/>
              <w:tr2bl w:val="nil"/>
            </w:tcBorders>
            <w:noWrap w:val="0"/>
            <w:vAlign w:val="center"/>
          </w:tcPr>
          <w:p>
            <w:pPr>
              <w:pStyle w:val="27"/>
              <w:bidi w:val="0"/>
              <w:rPr>
                <w:rFonts w:hint="default"/>
              </w:rPr>
            </w:pPr>
            <w:r>
              <w:rPr>
                <w:rFonts w:hint="default"/>
              </w:rPr>
              <w:t>4</w:t>
            </w:r>
          </w:p>
        </w:tc>
        <w:tc>
          <w:tcPr>
            <w:tcW w:w="825" w:type="dxa"/>
            <w:tcBorders>
              <w:tl2br w:val="nil"/>
              <w:tr2bl w:val="nil"/>
            </w:tcBorders>
            <w:noWrap w:val="0"/>
            <w:vAlign w:val="center"/>
          </w:tcPr>
          <w:p>
            <w:pPr>
              <w:pStyle w:val="27"/>
              <w:bidi w:val="0"/>
              <w:rPr>
                <w:rFonts w:hint="default"/>
              </w:rPr>
            </w:pPr>
            <w:r>
              <w:rPr>
                <w:rFonts w:hint="default"/>
              </w:rPr>
              <w:t>3</w:t>
            </w:r>
          </w:p>
        </w:tc>
        <w:tc>
          <w:tcPr>
            <w:tcW w:w="829" w:type="dxa"/>
            <w:tcBorders>
              <w:tl2br w:val="nil"/>
              <w:tr2bl w:val="nil"/>
            </w:tcBorders>
            <w:noWrap w:val="0"/>
            <w:vAlign w:val="center"/>
          </w:tcPr>
          <w:p>
            <w:pPr>
              <w:pStyle w:val="27"/>
              <w:bidi w:val="0"/>
              <w:rPr>
                <w:rFonts w:hint="default"/>
              </w:rPr>
            </w:pPr>
            <w:r>
              <w:rPr>
                <w:rFonts w:hint="default"/>
              </w:rPr>
              <w:t>2</w:t>
            </w:r>
            <w:r>
              <w:rPr>
                <w:rFonts w:hint="eastAsia"/>
              </w:rPr>
              <w:t>或</w:t>
            </w: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石质</w:t>
            </w:r>
          </w:p>
        </w:tc>
        <w:tc>
          <w:tcPr>
            <w:tcW w:w="825" w:type="dxa"/>
            <w:tcBorders>
              <w:tl2br w:val="nil"/>
              <w:tr2bl w:val="nil"/>
            </w:tcBorders>
            <w:noWrap w:val="0"/>
            <w:vAlign w:val="center"/>
          </w:tcPr>
          <w:p>
            <w:pPr>
              <w:pStyle w:val="27"/>
              <w:bidi w:val="0"/>
              <w:rPr>
                <w:rFonts w:hint="default"/>
              </w:rPr>
            </w:pPr>
            <w:r>
              <w:rPr>
                <w:rFonts w:hint="eastAsia"/>
              </w:rPr>
              <w:t>4</w:t>
            </w:r>
          </w:p>
        </w:tc>
        <w:tc>
          <w:tcPr>
            <w:tcW w:w="825" w:type="dxa"/>
            <w:tcBorders>
              <w:tl2br w:val="nil"/>
              <w:tr2bl w:val="nil"/>
            </w:tcBorders>
            <w:noWrap w:val="0"/>
            <w:vAlign w:val="center"/>
          </w:tcPr>
          <w:p>
            <w:pPr>
              <w:pStyle w:val="27"/>
              <w:bidi w:val="0"/>
              <w:rPr>
                <w:rFonts w:hint="default"/>
              </w:rPr>
            </w:pPr>
            <w:r>
              <w:rPr>
                <w:rFonts w:hint="eastAsia"/>
              </w:rPr>
              <w:t>4</w:t>
            </w:r>
          </w:p>
        </w:tc>
        <w:tc>
          <w:tcPr>
            <w:tcW w:w="829" w:type="dxa"/>
            <w:tcBorders>
              <w:tl2br w:val="nil"/>
              <w:tr2bl w:val="nil"/>
            </w:tcBorders>
            <w:noWrap w:val="0"/>
            <w:vAlign w:val="center"/>
          </w:tcPr>
          <w:p>
            <w:pPr>
              <w:pStyle w:val="27"/>
              <w:bidi w:val="0"/>
              <w:rPr>
                <w:rFonts w:hint="default"/>
              </w:rPr>
            </w:pPr>
            <w:r>
              <w:rPr>
                <w:rFonts w:hint="eastAsi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3</w:t>
            </w:r>
          </w:p>
        </w:tc>
        <w:tc>
          <w:tcPr>
            <w:tcW w:w="2004" w:type="dxa"/>
            <w:vMerge w:val="restart"/>
            <w:tcBorders>
              <w:tl2br w:val="nil"/>
              <w:tr2bl w:val="nil"/>
            </w:tcBorders>
            <w:noWrap w:val="0"/>
            <w:vAlign w:val="center"/>
          </w:tcPr>
          <w:p>
            <w:pPr>
              <w:pStyle w:val="27"/>
              <w:bidi w:val="0"/>
              <w:rPr>
                <w:rFonts w:hint="default"/>
              </w:rPr>
            </w:pPr>
            <w:r>
              <w:rPr>
                <w:rFonts w:hint="eastAsia"/>
              </w:rPr>
              <w:t>土壤有机质</w:t>
            </w:r>
            <w:r>
              <w:rPr>
                <w:rFonts w:hint="default"/>
              </w:rPr>
              <w:t>%</w:t>
            </w:r>
          </w:p>
        </w:tc>
        <w:tc>
          <w:tcPr>
            <w:tcW w:w="3190" w:type="dxa"/>
            <w:tcBorders>
              <w:tl2br w:val="nil"/>
              <w:tr2bl w:val="nil"/>
            </w:tcBorders>
            <w:noWrap w:val="0"/>
            <w:vAlign w:val="center"/>
          </w:tcPr>
          <w:p>
            <w:pPr>
              <w:pStyle w:val="27"/>
              <w:bidi w:val="0"/>
              <w:rPr>
                <w:rFonts w:hint="default"/>
              </w:rPr>
            </w:pPr>
            <w:r>
              <w:rPr>
                <w:rFonts w:hint="eastAsia"/>
                <w:lang w:eastAsia="zh-CN"/>
              </w:rPr>
              <w:t>&gt;</w:t>
            </w:r>
            <w:r>
              <w:rPr>
                <w:rFonts w:hint="default"/>
              </w:rPr>
              <w:t>10</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default"/>
              </w:rPr>
              <w:t>10-6</w:t>
            </w:r>
          </w:p>
        </w:tc>
        <w:tc>
          <w:tcPr>
            <w:tcW w:w="825" w:type="dxa"/>
            <w:tcBorders>
              <w:tl2br w:val="nil"/>
              <w:tr2bl w:val="nil"/>
            </w:tcBorders>
            <w:noWrap w:val="0"/>
            <w:vAlign w:val="center"/>
          </w:tcPr>
          <w:p>
            <w:pPr>
              <w:pStyle w:val="27"/>
              <w:bidi w:val="0"/>
              <w:rPr>
                <w:rFonts w:hint="default"/>
              </w:rPr>
            </w:pPr>
            <w:r>
              <w:rPr>
                <w:rFonts w:hint="default"/>
              </w:rPr>
              <w:t>2</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w:t>
            </w:r>
            <w:r>
              <w:rPr>
                <w:rFonts w:hint="default"/>
              </w:rPr>
              <w:t>6</w:t>
            </w:r>
          </w:p>
        </w:tc>
        <w:tc>
          <w:tcPr>
            <w:tcW w:w="825" w:type="dxa"/>
            <w:tcBorders>
              <w:tl2br w:val="nil"/>
              <w:tr2bl w:val="nil"/>
            </w:tcBorders>
            <w:noWrap w:val="0"/>
            <w:vAlign w:val="center"/>
          </w:tcPr>
          <w:p>
            <w:pPr>
              <w:pStyle w:val="27"/>
              <w:bidi w:val="0"/>
              <w:rPr>
                <w:rFonts w:hint="default"/>
              </w:rPr>
            </w:pP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3</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4</w:t>
            </w:r>
          </w:p>
        </w:tc>
        <w:tc>
          <w:tcPr>
            <w:tcW w:w="2004" w:type="dxa"/>
            <w:vMerge w:val="restart"/>
            <w:tcBorders>
              <w:tl2br w:val="nil"/>
              <w:tr2bl w:val="nil"/>
            </w:tcBorders>
            <w:noWrap w:val="0"/>
            <w:vAlign w:val="center"/>
          </w:tcPr>
          <w:p>
            <w:pPr>
              <w:pStyle w:val="27"/>
              <w:bidi w:val="0"/>
              <w:rPr>
                <w:rFonts w:hint="default"/>
              </w:rPr>
            </w:pPr>
            <w:r>
              <w:rPr>
                <w:rFonts w:hint="eastAsia"/>
              </w:rPr>
              <w:t>周边环境适宜性</w:t>
            </w:r>
          </w:p>
        </w:tc>
        <w:tc>
          <w:tcPr>
            <w:tcW w:w="3190" w:type="dxa"/>
            <w:tcBorders>
              <w:tl2br w:val="nil"/>
              <w:tr2bl w:val="nil"/>
            </w:tcBorders>
            <w:noWrap w:val="0"/>
            <w:vAlign w:val="center"/>
          </w:tcPr>
          <w:p>
            <w:pPr>
              <w:pStyle w:val="27"/>
              <w:bidi w:val="0"/>
              <w:rPr>
                <w:rFonts w:hint="default"/>
              </w:rPr>
            </w:pPr>
            <w:r>
              <w:rPr>
                <w:rFonts w:hint="eastAsia"/>
              </w:rPr>
              <w:t>一致</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可适应</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w:t>
            </w: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w:t>
            </w:r>
            <w:r>
              <w:rPr>
                <w:rFonts w:hint="default"/>
              </w:rPr>
              <w:t>3</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不适应</w:t>
            </w:r>
          </w:p>
        </w:tc>
        <w:tc>
          <w:tcPr>
            <w:tcW w:w="825" w:type="dxa"/>
            <w:tcBorders>
              <w:tl2br w:val="nil"/>
              <w:tr2bl w:val="nil"/>
            </w:tcBorders>
            <w:noWrap w:val="0"/>
            <w:vAlign w:val="center"/>
          </w:tcPr>
          <w:p>
            <w:pPr>
              <w:pStyle w:val="27"/>
              <w:bidi w:val="0"/>
              <w:rPr>
                <w:rFonts w:hint="default"/>
              </w:rPr>
            </w:pPr>
            <w:r>
              <w:rPr>
                <w:rFonts w:hint="default"/>
              </w:rPr>
              <w:t>4</w:t>
            </w:r>
          </w:p>
        </w:tc>
        <w:tc>
          <w:tcPr>
            <w:tcW w:w="825" w:type="dxa"/>
            <w:tcBorders>
              <w:tl2br w:val="nil"/>
              <w:tr2bl w:val="nil"/>
            </w:tcBorders>
            <w:noWrap w:val="0"/>
            <w:vAlign w:val="center"/>
          </w:tcPr>
          <w:p>
            <w:pPr>
              <w:pStyle w:val="27"/>
              <w:bidi w:val="0"/>
              <w:rPr>
                <w:rFonts w:hint="default"/>
              </w:rPr>
            </w:pPr>
            <w:r>
              <w:rPr>
                <w:rFonts w:hint="default"/>
              </w:rPr>
              <w:t>4</w:t>
            </w:r>
          </w:p>
        </w:tc>
        <w:tc>
          <w:tcPr>
            <w:tcW w:w="829" w:type="dxa"/>
            <w:tcBorders>
              <w:tl2br w:val="nil"/>
              <w:tr2bl w:val="nil"/>
            </w:tcBorders>
            <w:noWrap w:val="0"/>
            <w:vAlign w:val="center"/>
          </w:tcPr>
          <w:p>
            <w:pPr>
              <w:pStyle w:val="27"/>
              <w:bidi w:val="0"/>
              <w:rPr>
                <w:rFonts w:hint="default"/>
              </w:rPr>
            </w:pPr>
            <w:r>
              <w:rPr>
                <w:rFonts w:hint="defaul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5</w:t>
            </w:r>
          </w:p>
        </w:tc>
        <w:tc>
          <w:tcPr>
            <w:tcW w:w="2004" w:type="dxa"/>
            <w:vMerge w:val="restart"/>
            <w:tcBorders>
              <w:tl2br w:val="nil"/>
              <w:tr2bl w:val="nil"/>
            </w:tcBorders>
            <w:noWrap w:val="0"/>
            <w:vAlign w:val="center"/>
          </w:tcPr>
          <w:p>
            <w:pPr>
              <w:pStyle w:val="27"/>
              <w:bidi w:val="0"/>
              <w:rPr>
                <w:rFonts w:hint="default"/>
              </w:rPr>
            </w:pPr>
            <w:r>
              <w:rPr>
                <w:rFonts w:hint="eastAsia"/>
              </w:rPr>
              <w:t>水文与排水条件</w:t>
            </w:r>
          </w:p>
        </w:tc>
        <w:tc>
          <w:tcPr>
            <w:tcW w:w="3190" w:type="dxa"/>
            <w:tcBorders>
              <w:tl2br w:val="nil"/>
              <w:tr2bl w:val="nil"/>
            </w:tcBorders>
            <w:noWrap w:val="0"/>
            <w:vAlign w:val="center"/>
          </w:tcPr>
          <w:p>
            <w:pPr>
              <w:pStyle w:val="27"/>
              <w:bidi w:val="0"/>
              <w:rPr>
                <w:rFonts w:hint="default"/>
              </w:rPr>
            </w:pPr>
            <w:r>
              <w:rPr>
                <w:rFonts w:hint="eastAsia"/>
              </w:rPr>
              <w:t>不淹没或偶然淹没、排水条件好</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季节性短期淹没、排水条件较好</w:t>
            </w:r>
          </w:p>
        </w:tc>
        <w:tc>
          <w:tcPr>
            <w:tcW w:w="825" w:type="dxa"/>
            <w:tcBorders>
              <w:tl2br w:val="nil"/>
              <w:tr2bl w:val="nil"/>
            </w:tcBorders>
            <w:noWrap w:val="0"/>
            <w:vAlign w:val="center"/>
          </w:tcPr>
          <w:p>
            <w:pPr>
              <w:pStyle w:val="27"/>
              <w:bidi w:val="0"/>
              <w:rPr>
                <w:rFonts w:hint="default"/>
              </w:rPr>
            </w:pPr>
            <w:r>
              <w:rPr>
                <w:rFonts w:hint="default"/>
              </w:rPr>
              <w:t>2</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季节性长期淹没、排水条件较差</w:t>
            </w:r>
          </w:p>
        </w:tc>
        <w:tc>
          <w:tcPr>
            <w:tcW w:w="825" w:type="dxa"/>
            <w:tcBorders>
              <w:tl2br w:val="nil"/>
              <w:tr2bl w:val="nil"/>
            </w:tcBorders>
            <w:noWrap w:val="0"/>
            <w:vAlign w:val="center"/>
          </w:tcPr>
          <w:p>
            <w:pPr>
              <w:pStyle w:val="27"/>
              <w:bidi w:val="0"/>
              <w:rPr>
                <w:rFonts w:hint="default"/>
              </w:rPr>
            </w:pP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2</w:t>
            </w:r>
          </w:p>
        </w:tc>
        <w:tc>
          <w:tcPr>
            <w:tcW w:w="829" w:type="dxa"/>
            <w:tcBorders>
              <w:tl2br w:val="nil"/>
              <w:tr2bl w:val="nil"/>
            </w:tcBorders>
            <w:noWrap w:val="0"/>
            <w:vAlign w:val="center"/>
          </w:tcPr>
          <w:p>
            <w:pPr>
              <w:pStyle w:val="27"/>
              <w:bidi w:val="0"/>
              <w:rPr>
                <w:rFonts w:hint="default"/>
              </w:rPr>
            </w:pPr>
            <w:r>
              <w:rPr>
                <w:rFonts w:hint="defaul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rPr>
              <w:t>长期淹没、排水条件很差</w:t>
            </w:r>
          </w:p>
        </w:tc>
        <w:tc>
          <w:tcPr>
            <w:tcW w:w="825" w:type="dxa"/>
            <w:tcBorders>
              <w:tl2br w:val="nil"/>
              <w:tr2bl w:val="nil"/>
            </w:tcBorders>
            <w:noWrap w:val="0"/>
            <w:vAlign w:val="center"/>
          </w:tcPr>
          <w:p>
            <w:pPr>
              <w:pStyle w:val="27"/>
              <w:bidi w:val="0"/>
              <w:rPr>
                <w:rFonts w:hint="default"/>
              </w:rPr>
            </w:pPr>
            <w:r>
              <w:rPr>
                <w:rFonts w:hint="default"/>
              </w:rPr>
              <w:t>4</w:t>
            </w:r>
          </w:p>
        </w:tc>
        <w:tc>
          <w:tcPr>
            <w:tcW w:w="825" w:type="dxa"/>
            <w:tcBorders>
              <w:tl2br w:val="nil"/>
              <w:tr2bl w:val="nil"/>
            </w:tcBorders>
            <w:noWrap w:val="0"/>
            <w:vAlign w:val="center"/>
          </w:tcPr>
          <w:p>
            <w:pPr>
              <w:pStyle w:val="27"/>
              <w:bidi w:val="0"/>
              <w:rPr>
                <w:rFonts w:hint="default"/>
              </w:rPr>
            </w:pPr>
            <w:r>
              <w:rPr>
                <w:rFonts w:hint="default"/>
              </w:rPr>
              <w:t>4</w:t>
            </w:r>
          </w:p>
        </w:tc>
        <w:tc>
          <w:tcPr>
            <w:tcW w:w="829" w:type="dxa"/>
            <w:tcBorders>
              <w:tl2br w:val="nil"/>
              <w:tr2bl w:val="nil"/>
            </w:tcBorders>
            <w:noWrap w:val="0"/>
            <w:vAlign w:val="center"/>
          </w:tcPr>
          <w:p>
            <w:pPr>
              <w:pStyle w:val="27"/>
              <w:bidi w:val="0"/>
              <w:rPr>
                <w:rFonts w:hint="default"/>
              </w:rPr>
            </w:pPr>
            <w:r>
              <w:rPr>
                <w:rFonts w:hint="defaul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restart"/>
            <w:tcBorders>
              <w:tl2br w:val="nil"/>
              <w:tr2bl w:val="nil"/>
            </w:tcBorders>
            <w:noWrap w:val="0"/>
            <w:vAlign w:val="center"/>
          </w:tcPr>
          <w:p>
            <w:pPr>
              <w:pStyle w:val="27"/>
              <w:bidi w:val="0"/>
              <w:rPr>
                <w:rFonts w:hint="default"/>
              </w:rPr>
            </w:pPr>
            <w:r>
              <w:rPr>
                <w:rFonts w:hint="default"/>
              </w:rPr>
              <w:t>6</w:t>
            </w:r>
          </w:p>
        </w:tc>
        <w:tc>
          <w:tcPr>
            <w:tcW w:w="2004" w:type="dxa"/>
            <w:vMerge w:val="restart"/>
            <w:tcBorders>
              <w:tl2br w:val="nil"/>
              <w:tr2bl w:val="nil"/>
            </w:tcBorders>
            <w:noWrap w:val="0"/>
            <w:vAlign w:val="center"/>
          </w:tcPr>
          <w:p>
            <w:pPr>
              <w:pStyle w:val="27"/>
              <w:bidi w:val="0"/>
              <w:rPr>
                <w:rFonts w:hint="default"/>
              </w:rPr>
            </w:pPr>
            <w:r>
              <w:rPr>
                <w:rFonts w:hint="eastAsia"/>
              </w:rPr>
              <w:t>土源保证率</w:t>
            </w:r>
            <w:r>
              <w:rPr>
                <w:rFonts w:hint="default"/>
              </w:rPr>
              <w:t>%</w:t>
            </w:r>
          </w:p>
        </w:tc>
        <w:tc>
          <w:tcPr>
            <w:tcW w:w="3190" w:type="dxa"/>
            <w:tcBorders>
              <w:tl2br w:val="nil"/>
              <w:tr2bl w:val="nil"/>
            </w:tcBorders>
            <w:noWrap w:val="0"/>
            <w:vAlign w:val="center"/>
          </w:tcPr>
          <w:p>
            <w:pPr>
              <w:pStyle w:val="27"/>
              <w:bidi w:val="0"/>
              <w:rPr>
                <w:rFonts w:hint="default"/>
              </w:rPr>
            </w:pPr>
            <w:r>
              <w:rPr>
                <w:rFonts w:hint="default"/>
              </w:rPr>
              <w:t>80</w:t>
            </w:r>
            <w:r>
              <w:rPr>
                <w:rFonts w:hint="eastAsia"/>
                <w:lang w:eastAsia="zh-CN"/>
              </w:rPr>
              <w:t>-</w:t>
            </w:r>
            <w:r>
              <w:rPr>
                <w:rFonts w:hint="default"/>
              </w:rPr>
              <w:t>100</w:t>
            </w:r>
          </w:p>
        </w:tc>
        <w:tc>
          <w:tcPr>
            <w:tcW w:w="825" w:type="dxa"/>
            <w:tcBorders>
              <w:tl2br w:val="nil"/>
              <w:tr2bl w:val="nil"/>
            </w:tcBorders>
            <w:noWrap w:val="0"/>
            <w:vAlign w:val="center"/>
          </w:tcPr>
          <w:p>
            <w:pPr>
              <w:pStyle w:val="27"/>
              <w:bidi w:val="0"/>
              <w:rPr>
                <w:rFonts w:hint="default"/>
              </w:rPr>
            </w:pPr>
            <w:r>
              <w:rPr>
                <w:rFonts w:hint="default"/>
              </w:rPr>
              <w:t>1</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default"/>
              </w:rPr>
              <w:t>60</w:t>
            </w:r>
            <w:r>
              <w:rPr>
                <w:rFonts w:hint="eastAsia"/>
                <w:lang w:eastAsia="zh-CN"/>
              </w:rPr>
              <w:t>-</w:t>
            </w:r>
            <w:r>
              <w:rPr>
                <w:rFonts w:hint="default"/>
              </w:rPr>
              <w:t>80</w:t>
            </w:r>
          </w:p>
        </w:tc>
        <w:tc>
          <w:tcPr>
            <w:tcW w:w="825" w:type="dxa"/>
            <w:tcBorders>
              <w:tl2br w:val="nil"/>
              <w:tr2bl w:val="nil"/>
            </w:tcBorders>
            <w:noWrap w:val="0"/>
            <w:vAlign w:val="center"/>
          </w:tcPr>
          <w:p>
            <w:pPr>
              <w:pStyle w:val="27"/>
              <w:bidi w:val="0"/>
              <w:rPr>
                <w:rFonts w:hint="default"/>
              </w:rPr>
            </w:pPr>
            <w:r>
              <w:rPr>
                <w:rFonts w:hint="default"/>
              </w:rPr>
              <w:t>1</w:t>
            </w:r>
            <w:r>
              <w:rPr>
                <w:rFonts w:hint="eastAsia"/>
              </w:rPr>
              <w:t>或</w:t>
            </w:r>
            <w:r>
              <w:rPr>
                <w:rFonts w:hint="default"/>
              </w:rPr>
              <w:t>2</w:t>
            </w:r>
          </w:p>
        </w:tc>
        <w:tc>
          <w:tcPr>
            <w:tcW w:w="825" w:type="dxa"/>
            <w:tcBorders>
              <w:tl2br w:val="nil"/>
              <w:tr2bl w:val="nil"/>
            </w:tcBorders>
            <w:noWrap w:val="0"/>
            <w:vAlign w:val="center"/>
          </w:tcPr>
          <w:p>
            <w:pPr>
              <w:pStyle w:val="27"/>
              <w:bidi w:val="0"/>
              <w:rPr>
                <w:rFonts w:hint="default"/>
              </w:rPr>
            </w:pPr>
            <w:r>
              <w:rPr>
                <w:rFonts w:hint="default"/>
              </w:rPr>
              <w:t>1</w:t>
            </w:r>
          </w:p>
        </w:tc>
        <w:tc>
          <w:tcPr>
            <w:tcW w:w="829" w:type="dxa"/>
            <w:tcBorders>
              <w:tl2br w:val="nil"/>
              <w:tr2bl w:val="nil"/>
            </w:tcBorders>
            <w:noWrap w:val="0"/>
            <w:vAlign w:val="center"/>
          </w:tcPr>
          <w:p>
            <w:pPr>
              <w:pStyle w:val="27"/>
              <w:bidi w:val="0"/>
              <w:rPr>
                <w:rFonts w:hint="default"/>
              </w:rPr>
            </w:pPr>
            <w:r>
              <w:rPr>
                <w:rFonts w:hint="defaul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default"/>
              </w:rPr>
              <w:t>40</w:t>
            </w:r>
            <w:r>
              <w:rPr>
                <w:rFonts w:hint="eastAsia"/>
                <w:lang w:eastAsia="zh-CN"/>
              </w:rPr>
              <w:t>-</w:t>
            </w:r>
            <w:r>
              <w:rPr>
                <w:rFonts w:hint="default"/>
              </w:rPr>
              <w:t>60</w:t>
            </w:r>
          </w:p>
        </w:tc>
        <w:tc>
          <w:tcPr>
            <w:tcW w:w="825" w:type="dxa"/>
            <w:tcBorders>
              <w:tl2br w:val="nil"/>
              <w:tr2bl w:val="nil"/>
            </w:tcBorders>
            <w:noWrap w:val="0"/>
            <w:vAlign w:val="center"/>
          </w:tcPr>
          <w:p>
            <w:pPr>
              <w:pStyle w:val="27"/>
              <w:bidi w:val="0"/>
              <w:rPr>
                <w:rFonts w:hint="default"/>
              </w:rPr>
            </w:pPr>
            <w:r>
              <w:rPr>
                <w:rFonts w:hint="default"/>
              </w:rPr>
              <w:t>3</w:t>
            </w:r>
          </w:p>
        </w:tc>
        <w:tc>
          <w:tcPr>
            <w:tcW w:w="825" w:type="dxa"/>
            <w:tcBorders>
              <w:tl2br w:val="nil"/>
              <w:tr2bl w:val="nil"/>
            </w:tcBorders>
            <w:noWrap w:val="0"/>
            <w:vAlign w:val="center"/>
          </w:tcPr>
          <w:p>
            <w:pPr>
              <w:pStyle w:val="27"/>
              <w:bidi w:val="0"/>
              <w:rPr>
                <w:rFonts w:hint="default"/>
              </w:rPr>
            </w:pPr>
            <w:r>
              <w:rPr>
                <w:rFonts w:hint="default"/>
              </w:rPr>
              <w:t>2</w:t>
            </w:r>
            <w:r>
              <w:rPr>
                <w:rFonts w:hint="eastAsia"/>
              </w:rPr>
              <w:t>或</w:t>
            </w:r>
            <w:r>
              <w:rPr>
                <w:rFonts w:hint="default"/>
              </w:rPr>
              <w:t>3</w:t>
            </w:r>
          </w:p>
        </w:tc>
        <w:tc>
          <w:tcPr>
            <w:tcW w:w="829" w:type="dxa"/>
            <w:tcBorders>
              <w:tl2br w:val="nil"/>
              <w:tr2bl w:val="nil"/>
            </w:tcBorders>
            <w:noWrap w:val="0"/>
            <w:vAlign w:val="center"/>
          </w:tcPr>
          <w:p>
            <w:pPr>
              <w:pStyle w:val="27"/>
              <w:bidi w:val="0"/>
              <w:rPr>
                <w:rFonts w:hint="default"/>
              </w:rPr>
            </w:pPr>
            <w:r>
              <w:rPr>
                <w:rFonts w:hint="default"/>
              </w:rPr>
              <w:t>2</w:t>
            </w:r>
            <w:r>
              <w:rPr>
                <w:rFonts w:hint="eastAsia"/>
              </w:rPr>
              <w:t>或3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26" w:type="dxa"/>
            <w:vMerge w:val="continue"/>
            <w:tcBorders>
              <w:tl2br w:val="nil"/>
              <w:tr2bl w:val="nil"/>
            </w:tcBorders>
            <w:noWrap w:val="0"/>
            <w:vAlign w:val="center"/>
          </w:tcPr>
          <w:p>
            <w:pPr>
              <w:pStyle w:val="27"/>
              <w:bidi w:val="0"/>
              <w:rPr>
                <w:rFonts w:hint="default"/>
              </w:rPr>
            </w:pPr>
          </w:p>
        </w:tc>
        <w:tc>
          <w:tcPr>
            <w:tcW w:w="2004" w:type="dxa"/>
            <w:vMerge w:val="continue"/>
            <w:tcBorders>
              <w:tl2br w:val="nil"/>
              <w:tr2bl w:val="nil"/>
            </w:tcBorders>
            <w:noWrap w:val="0"/>
            <w:vAlign w:val="center"/>
          </w:tcPr>
          <w:p>
            <w:pPr>
              <w:pStyle w:val="27"/>
              <w:bidi w:val="0"/>
              <w:rPr>
                <w:rFonts w:hint="default"/>
              </w:rPr>
            </w:pPr>
          </w:p>
        </w:tc>
        <w:tc>
          <w:tcPr>
            <w:tcW w:w="3190" w:type="dxa"/>
            <w:tcBorders>
              <w:tl2br w:val="nil"/>
              <w:tr2bl w:val="nil"/>
            </w:tcBorders>
            <w:noWrap w:val="0"/>
            <w:vAlign w:val="center"/>
          </w:tcPr>
          <w:p>
            <w:pPr>
              <w:pStyle w:val="27"/>
              <w:bidi w:val="0"/>
              <w:rPr>
                <w:rFonts w:hint="default"/>
              </w:rPr>
            </w:pPr>
            <w:r>
              <w:rPr>
                <w:rFonts w:hint="eastAsia"/>
                <w:lang w:eastAsia="zh-CN"/>
              </w:rPr>
              <w:t>&lt;</w:t>
            </w:r>
            <w:r>
              <w:rPr>
                <w:rFonts w:hint="default"/>
              </w:rPr>
              <w:t>40</w:t>
            </w:r>
          </w:p>
        </w:tc>
        <w:tc>
          <w:tcPr>
            <w:tcW w:w="825" w:type="dxa"/>
            <w:tcBorders>
              <w:tl2br w:val="nil"/>
              <w:tr2bl w:val="nil"/>
            </w:tcBorders>
            <w:noWrap w:val="0"/>
            <w:vAlign w:val="center"/>
          </w:tcPr>
          <w:p>
            <w:pPr>
              <w:pStyle w:val="27"/>
              <w:bidi w:val="0"/>
              <w:rPr>
                <w:rFonts w:hint="default"/>
              </w:rPr>
            </w:pPr>
            <w:r>
              <w:rPr>
                <w:rFonts w:hint="default"/>
              </w:rPr>
              <w:t>4</w:t>
            </w:r>
          </w:p>
        </w:tc>
        <w:tc>
          <w:tcPr>
            <w:tcW w:w="825" w:type="dxa"/>
            <w:tcBorders>
              <w:tl2br w:val="nil"/>
              <w:tr2bl w:val="nil"/>
            </w:tcBorders>
            <w:noWrap w:val="0"/>
            <w:vAlign w:val="center"/>
          </w:tcPr>
          <w:p>
            <w:pPr>
              <w:pStyle w:val="27"/>
              <w:bidi w:val="0"/>
              <w:rPr>
                <w:rFonts w:hint="default"/>
              </w:rPr>
            </w:pPr>
            <w:r>
              <w:rPr>
                <w:rFonts w:hint="default"/>
              </w:rPr>
              <w:t>4</w:t>
            </w:r>
          </w:p>
        </w:tc>
        <w:tc>
          <w:tcPr>
            <w:tcW w:w="829" w:type="dxa"/>
            <w:tcBorders>
              <w:tl2br w:val="nil"/>
              <w:tr2bl w:val="nil"/>
            </w:tcBorders>
            <w:noWrap w:val="0"/>
            <w:vAlign w:val="center"/>
          </w:tcPr>
          <w:p>
            <w:pPr>
              <w:pStyle w:val="27"/>
              <w:bidi w:val="0"/>
              <w:rPr>
                <w:rFonts w:hint="default"/>
              </w:rPr>
            </w:pPr>
            <w:r>
              <w:rPr>
                <w:rFonts w:hint="defaul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exact"/>
          <w:jc w:val="center"/>
        </w:trPr>
        <w:tc>
          <w:tcPr>
            <w:tcW w:w="8499" w:type="dxa"/>
            <w:gridSpan w:val="6"/>
            <w:tcBorders>
              <w:tl2br w:val="nil"/>
              <w:tr2bl w:val="nil"/>
            </w:tcBorders>
            <w:noWrap w:val="0"/>
            <w:vAlign w:val="center"/>
          </w:tcPr>
          <w:p>
            <w:pPr>
              <w:pStyle w:val="27"/>
              <w:bidi w:val="0"/>
              <w:rPr>
                <w:rFonts w:hint="default"/>
              </w:rPr>
            </w:pPr>
            <w:r>
              <w:rPr>
                <w:rFonts w:hint="eastAsia"/>
              </w:rPr>
              <w:t>说明：</w:t>
            </w:r>
            <w:r>
              <w:rPr>
                <w:rFonts w:hint="default"/>
              </w:rPr>
              <w:t>1</w:t>
            </w:r>
            <w:r>
              <w:rPr>
                <w:rFonts w:hint="eastAsia"/>
              </w:rPr>
              <w:t>代表适宜，</w:t>
            </w:r>
            <w:r>
              <w:rPr>
                <w:rFonts w:hint="default"/>
              </w:rPr>
              <w:t>2</w:t>
            </w:r>
            <w:r>
              <w:rPr>
                <w:rFonts w:hint="eastAsia"/>
              </w:rPr>
              <w:t>代表基本适宜，</w:t>
            </w:r>
            <w:r>
              <w:rPr>
                <w:rFonts w:hint="default"/>
              </w:rPr>
              <w:t>3</w:t>
            </w:r>
            <w:r>
              <w:rPr>
                <w:rFonts w:hint="eastAsia"/>
              </w:rPr>
              <w:t>代表临界适宜，</w:t>
            </w:r>
            <w:r>
              <w:rPr>
                <w:rFonts w:hint="default"/>
              </w:rPr>
              <w:t>4</w:t>
            </w:r>
            <w:r>
              <w:rPr>
                <w:rFonts w:hint="eastAsia"/>
              </w:rPr>
              <w:t>代表不适宜</w:t>
            </w:r>
          </w:p>
        </w:tc>
      </w:tr>
    </w:tbl>
    <w:p>
      <w:pPr>
        <w:bidi w:val="0"/>
        <w:rPr>
          <w:rFonts w:hint="eastAsia"/>
        </w:rPr>
      </w:pPr>
      <w:r>
        <w:rPr>
          <w:rFonts w:hint="eastAsia"/>
        </w:rPr>
        <w:t>5）适宜性等级的评定</w:t>
      </w:r>
    </w:p>
    <w:p>
      <w:pPr>
        <w:bidi w:val="0"/>
        <w:rPr>
          <w:rFonts w:hint="eastAsia"/>
        </w:rPr>
      </w:pPr>
      <w:r>
        <w:rPr>
          <w:rFonts w:hint="eastAsia"/>
        </w:rPr>
        <w:t>结合上述评定等级标准划分，参评单元各限制因素现状详见下表：</w:t>
      </w:r>
    </w:p>
    <w:p>
      <w:pPr>
        <w:pStyle w:val="8"/>
        <w:bidi w:val="0"/>
        <w:rPr>
          <w:rFonts w:hint="default"/>
        </w:rPr>
      </w:pPr>
      <w:r>
        <w:rPr>
          <w:rFonts w:hint="eastAsia"/>
        </w:rPr>
        <w:t>表</w:t>
      </w:r>
      <w:r>
        <w:rPr>
          <w:rFonts w:hint="eastAsia"/>
          <w:lang w:val="en-US" w:eastAsia="zh-CN"/>
        </w:rPr>
        <w:t>3</w:t>
      </w:r>
      <w:r>
        <w:rPr>
          <w:rFonts w:hint="eastAsia"/>
        </w:rPr>
        <w:t>-</w:t>
      </w:r>
      <w:r>
        <w:rPr>
          <w:rFonts w:hint="eastAsia"/>
          <w:lang w:val="en-US" w:eastAsia="zh-CN"/>
        </w:rPr>
        <w:t>12</w:t>
      </w:r>
      <w:r>
        <w:rPr>
          <w:rFonts w:hint="eastAsia"/>
        </w:rPr>
        <w:t xml:space="preserve"> 参评单元土地复垦主要限制因素现状表</w:t>
      </w:r>
    </w:p>
    <w:tbl>
      <w:tblPr>
        <w:tblStyle w:val="16"/>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941"/>
        <w:gridCol w:w="1662"/>
        <w:gridCol w:w="1213"/>
        <w:gridCol w:w="1787"/>
        <w:gridCol w:w="1194"/>
        <w:gridCol w:w="1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exact"/>
          <w:jc w:val="center"/>
        </w:trPr>
        <w:tc>
          <w:tcPr>
            <w:tcW w:w="1230" w:type="dxa"/>
            <w:tcBorders>
              <w:tl2br w:val="nil"/>
              <w:tr2bl w:val="nil"/>
            </w:tcBorders>
            <w:noWrap w:val="0"/>
            <w:vAlign w:val="center"/>
          </w:tcPr>
          <w:p>
            <w:pPr>
              <w:pStyle w:val="27"/>
              <w:bidi w:val="0"/>
              <w:rPr>
                <w:rFonts w:hint="eastAsia"/>
              </w:rPr>
            </w:pPr>
            <w:r>
              <w:rPr>
                <w:rFonts w:hint="eastAsia"/>
              </w:rPr>
              <w:t>评价单元</w:t>
            </w:r>
          </w:p>
        </w:tc>
        <w:tc>
          <w:tcPr>
            <w:tcW w:w="941" w:type="dxa"/>
            <w:tcBorders>
              <w:tl2br w:val="nil"/>
              <w:tr2bl w:val="nil"/>
            </w:tcBorders>
            <w:noWrap w:val="0"/>
            <w:vAlign w:val="center"/>
          </w:tcPr>
          <w:p>
            <w:pPr>
              <w:pStyle w:val="27"/>
              <w:bidi w:val="0"/>
              <w:rPr>
                <w:rFonts w:hint="eastAsia"/>
              </w:rPr>
            </w:pPr>
            <w:r>
              <w:rPr>
                <w:rFonts w:hint="eastAsia"/>
              </w:rPr>
              <w:t>地表坡度（°）</w:t>
            </w:r>
          </w:p>
        </w:tc>
        <w:tc>
          <w:tcPr>
            <w:tcW w:w="1662" w:type="dxa"/>
            <w:tcBorders>
              <w:tl2br w:val="nil"/>
              <w:tr2bl w:val="nil"/>
            </w:tcBorders>
            <w:noWrap w:val="0"/>
            <w:vAlign w:val="center"/>
          </w:tcPr>
          <w:p>
            <w:pPr>
              <w:pStyle w:val="27"/>
              <w:bidi w:val="0"/>
              <w:rPr>
                <w:rFonts w:hint="eastAsia"/>
              </w:rPr>
            </w:pPr>
            <w:r>
              <w:rPr>
                <w:rFonts w:hint="eastAsia"/>
              </w:rPr>
              <w:t>地表物质组成</w:t>
            </w:r>
          </w:p>
        </w:tc>
        <w:tc>
          <w:tcPr>
            <w:tcW w:w="1213" w:type="dxa"/>
            <w:tcBorders>
              <w:tl2br w:val="nil"/>
              <w:tr2bl w:val="nil"/>
            </w:tcBorders>
            <w:noWrap w:val="0"/>
            <w:vAlign w:val="center"/>
          </w:tcPr>
          <w:p>
            <w:pPr>
              <w:pStyle w:val="27"/>
              <w:bidi w:val="0"/>
              <w:rPr>
                <w:rFonts w:hint="eastAsia"/>
              </w:rPr>
            </w:pPr>
            <w:r>
              <w:rPr>
                <w:rFonts w:hint="eastAsia"/>
              </w:rPr>
              <w:t>土壤有机质（%）</w:t>
            </w:r>
          </w:p>
        </w:tc>
        <w:tc>
          <w:tcPr>
            <w:tcW w:w="1787" w:type="dxa"/>
            <w:tcBorders>
              <w:tl2br w:val="nil"/>
              <w:tr2bl w:val="nil"/>
            </w:tcBorders>
            <w:noWrap w:val="0"/>
            <w:vAlign w:val="center"/>
          </w:tcPr>
          <w:p>
            <w:pPr>
              <w:pStyle w:val="27"/>
              <w:bidi w:val="0"/>
              <w:rPr>
                <w:rFonts w:hint="eastAsia"/>
              </w:rPr>
            </w:pPr>
            <w:r>
              <w:rPr>
                <w:rFonts w:hint="eastAsia"/>
              </w:rPr>
              <w:t>周边用地类型</w:t>
            </w:r>
          </w:p>
        </w:tc>
        <w:tc>
          <w:tcPr>
            <w:tcW w:w="1194" w:type="dxa"/>
            <w:tcBorders>
              <w:tl2br w:val="nil"/>
              <w:tr2bl w:val="nil"/>
            </w:tcBorders>
            <w:noWrap w:val="0"/>
            <w:vAlign w:val="center"/>
          </w:tcPr>
          <w:p>
            <w:pPr>
              <w:pStyle w:val="27"/>
              <w:bidi w:val="0"/>
              <w:rPr>
                <w:rFonts w:hint="eastAsia"/>
              </w:rPr>
            </w:pPr>
            <w:r>
              <w:rPr>
                <w:rFonts w:hint="eastAsia"/>
              </w:rPr>
              <w:t>土源保证率（%）</w:t>
            </w:r>
          </w:p>
        </w:tc>
        <w:tc>
          <w:tcPr>
            <w:tcW w:w="1489" w:type="dxa"/>
            <w:tcBorders>
              <w:tl2br w:val="nil"/>
              <w:tr2bl w:val="nil"/>
            </w:tcBorders>
            <w:noWrap w:val="0"/>
            <w:vAlign w:val="center"/>
          </w:tcPr>
          <w:p>
            <w:pPr>
              <w:pStyle w:val="27"/>
              <w:bidi w:val="0"/>
              <w:rPr>
                <w:rFonts w:hint="eastAsia"/>
              </w:rPr>
            </w:pPr>
            <w:r>
              <w:rPr>
                <w:rFonts w:hint="eastAsia"/>
              </w:rPr>
              <w:t>水文与排水条件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1230" w:type="dxa"/>
            <w:tcBorders>
              <w:tl2br w:val="nil"/>
              <w:tr2bl w:val="nil"/>
            </w:tcBorders>
            <w:noWrap w:val="0"/>
            <w:vAlign w:val="center"/>
          </w:tcPr>
          <w:p>
            <w:pPr>
              <w:pStyle w:val="27"/>
              <w:bidi w:val="0"/>
              <w:rPr>
                <w:rFonts w:hint="eastAsia"/>
              </w:rPr>
            </w:pPr>
            <w:r>
              <w:rPr>
                <w:rFonts w:hint="eastAsia"/>
                <w:lang w:val="en-US" w:eastAsia="zh-CN"/>
              </w:rPr>
              <w:t>采掘场基底</w:t>
            </w:r>
          </w:p>
        </w:tc>
        <w:tc>
          <w:tcPr>
            <w:tcW w:w="941" w:type="dxa"/>
            <w:tcBorders>
              <w:tl2br w:val="nil"/>
              <w:tr2bl w:val="nil"/>
            </w:tcBorders>
            <w:noWrap w:val="0"/>
            <w:vAlign w:val="center"/>
          </w:tcPr>
          <w:p>
            <w:pPr>
              <w:pStyle w:val="27"/>
              <w:bidi w:val="0"/>
              <w:rPr>
                <w:rFonts w:hint="eastAsia"/>
              </w:rPr>
            </w:pPr>
            <w:r>
              <w:rPr>
                <w:rFonts w:hint="eastAsia"/>
              </w:rPr>
              <w:t>&lt;5</w:t>
            </w:r>
          </w:p>
        </w:tc>
        <w:tc>
          <w:tcPr>
            <w:tcW w:w="1662" w:type="dxa"/>
            <w:tcBorders>
              <w:tl2br w:val="nil"/>
              <w:tr2bl w:val="nil"/>
            </w:tcBorders>
            <w:noWrap w:val="0"/>
            <w:vAlign w:val="center"/>
          </w:tcPr>
          <w:p>
            <w:pPr>
              <w:pStyle w:val="27"/>
              <w:bidi w:val="0"/>
              <w:rPr>
                <w:rFonts w:hint="eastAsia"/>
              </w:rPr>
            </w:pPr>
            <w:r>
              <w:rPr>
                <w:rFonts w:hint="eastAsia"/>
              </w:rPr>
              <w:t>岩石</w:t>
            </w:r>
          </w:p>
        </w:tc>
        <w:tc>
          <w:tcPr>
            <w:tcW w:w="1213" w:type="dxa"/>
            <w:tcBorders>
              <w:tl2br w:val="nil"/>
              <w:tr2bl w:val="nil"/>
            </w:tcBorders>
            <w:noWrap w:val="0"/>
            <w:vAlign w:val="center"/>
          </w:tcPr>
          <w:p>
            <w:pPr>
              <w:pStyle w:val="27"/>
              <w:bidi w:val="0"/>
              <w:rPr>
                <w:rFonts w:hint="eastAsia"/>
              </w:rPr>
            </w:pPr>
            <w:r>
              <w:rPr>
                <w:rFonts w:hint="eastAsia"/>
              </w:rPr>
              <w:t>/</w:t>
            </w: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default"/>
                <w:lang w:val="en-US" w:eastAsia="zh-CN"/>
              </w:rPr>
            </w:pPr>
            <w:r>
              <w:rPr>
                <w:rFonts w:hint="eastAsia"/>
              </w:rPr>
              <w:t>较好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230" w:type="dxa"/>
            <w:tcBorders>
              <w:tl2br w:val="nil"/>
              <w:tr2bl w:val="nil"/>
            </w:tcBorders>
            <w:noWrap w:val="0"/>
            <w:vAlign w:val="center"/>
          </w:tcPr>
          <w:p>
            <w:pPr>
              <w:pStyle w:val="27"/>
              <w:bidi w:val="0"/>
              <w:rPr>
                <w:rFonts w:hint="default"/>
                <w:lang w:val="en-US" w:eastAsia="zh-CN"/>
              </w:rPr>
            </w:pPr>
            <w:r>
              <w:rPr>
                <w:rFonts w:hint="eastAsia"/>
                <w:lang w:val="en-US" w:eastAsia="zh-CN"/>
              </w:rPr>
              <w:t>台阶</w:t>
            </w:r>
          </w:p>
        </w:tc>
        <w:tc>
          <w:tcPr>
            <w:tcW w:w="941" w:type="dxa"/>
            <w:tcBorders>
              <w:tl2br w:val="nil"/>
              <w:tr2bl w:val="nil"/>
            </w:tcBorders>
            <w:noWrap w:val="0"/>
            <w:vAlign w:val="center"/>
          </w:tcPr>
          <w:p>
            <w:pPr>
              <w:pStyle w:val="27"/>
              <w:bidi w:val="0"/>
              <w:rPr>
                <w:rFonts w:hint="eastAsia"/>
                <w:lang w:val="en-US" w:eastAsia="zh-CN"/>
              </w:rPr>
            </w:pPr>
            <w:r>
              <w:rPr>
                <w:rFonts w:hint="eastAsia"/>
              </w:rPr>
              <w:t>&lt;5</w:t>
            </w:r>
          </w:p>
        </w:tc>
        <w:tc>
          <w:tcPr>
            <w:tcW w:w="1662" w:type="dxa"/>
            <w:tcBorders>
              <w:tl2br w:val="nil"/>
              <w:tr2bl w:val="nil"/>
            </w:tcBorders>
            <w:noWrap w:val="0"/>
            <w:vAlign w:val="center"/>
          </w:tcPr>
          <w:p>
            <w:pPr>
              <w:pStyle w:val="27"/>
              <w:bidi w:val="0"/>
              <w:rPr>
                <w:rFonts w:hint="eastAsia"/>
              </w:rPr>
            </w:pPr>
            <w:r>
              <w:rPr>
                <w:rFonts w:hint="eastAsia"/>
              </w:rPr>
              <w:t>岩石</w:t>
            </w:r>
          </w:p>
        </w:tc>
        <w:tc>
          <w:tcPr>
            <w:tcW w:w="1213" w:type="dxa"/>
            <w:tcBorders>
              <w:tl2br w:val="nil"/>
              <w:tr2bl w:val="nil"/>
            </w:tcBorders>
            <w:noWrap w:val="0"/>
            <w:vAlign w:val="center"/>
          </w:tcPr>
          <w:p>
            <w:pPr>
              <w:pStyle w:val="27"/>
              <w:bidi w:val="0"/>
              <w:rPr>
                <w:rFonts w:hint="eastAsia"/>
              </w:rPr>
            </w:pP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lang w:val="en-US" w:eastAsia="zh-CN"/>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eastAsia"/>
              </w:rPr>
            </w:pPr>
            <w:r>
              <w:rPr>
                <w:rFonts w:hint="eastAsia"/>
              </w:rPr>
              <w:t>较好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230" w:type="dxa"/>
            <w:tcBorders>
              <w:tl2br w:val="nil"/>
              <w:tr2bl w:val="nil"/>
            </w:tcBorders>
            <w:noWrap w:val="0"/>
            <w:vAlign w:val="center"/>
          </w:tcPr>
          <w:p>
            <w:pPr>
              <w:pStyle w:val="27"/>
              <w:bidi w:val="0"/>
              <w:rPr>
                <w:rFonts w:hint="eastAsia"/>
              </w:rPr>
            </w:pPr>
            <w:r>
              <w:rPr>
                <w:rFonts w:hint="eastAsia"/>
                <w:lang w:val="en-US" w:eastAsia="zh-CN"/>
              </w:rPr>
              <w:t>边坡</w:t>
            </w:r>
          </w:p>
        </w:tc>
        <w:tc>
          <w:tcPr>
            <w:tcW w:w="941" w:type="dxa"/>
            <w:tcBorders>
              <w:tl2br w:val="nil"/>
              <w:tr2bl w:val="nil"/>
            </w:tcBorders>
            <w:noWrap w:val="0"/>
            <w:vAlign w:val="center"/>
          </w:tcPr>
          <w:p>
            <w:pPr>
              <w:pStyle w:val="27"/>
              <w:bidi w:val="0"/>
              <w:rPr>
                <w:rFonts w:hint="default"/>
                <w:lang w:val="en-US" w:eastAsia="zh-CN"/>
              </w:rPr>
            </w:pPr>
            <w:r>
              <w:rPr>
                <w:rFonts w:hint="eastAsia"/>
                <w:lang w:val="en-US" w:eastAsia="zh-CN"/>
              </w:rPr>
              <w:t>50-70</w:t>
            </w:r>
          </w:p>
        </w:tc>
        <w:tc>
          <w:tcPr>
            <w:tcW w:w="1662" w:type="dxa"/>
            <w:tcBorders>
              <w:tl2br w:val="nil"/>
              <w:tr2bl w:val="nil"/>
            </w:tcBorders>
            <w:noWrap w:val="0"/>
            <w:vAlign w:val="center"/>
          </w:tcPr>
          <w:p>
            <w:pPr>
              <w:pStyle w:val="27"/>
              <w:bidi w:val="0"/>
              <w:rPr>
                <w:rFonts w:hint="eastAsia"/>
              </w:rPr>
            </w:pPr>
            <w:r>
              <w:rPr>
                <w:rFonts w:hint="eastAsia"/>
              </w:rPr>
              <w:t>岩石</w:t>
            </w:r>
          </w:p>
        </w:tc>
        <w:tc>
          <w:tcPr>
            <w:tcW w:w="1213" w:type="dxa"/>
            <w:tcBorders>
              <w:tl2br w:val="nil"/>
              <w:tr2bl w:val="nil"/>
            </w:tcBorders>
            <w:noWrap w:val="0"/>
            <w:vAlign w:val="center"/>
          </w:tcPr>
          <w:p>
            <w:pPr>
              <w:pStyle w:val="27"/>
              <w:bidi w:val="0"/>
              <w:rPr>
                <w:rFonts w:hint="eastAsia"/>
              </w:rPr>
            </w:pPr>
            <w:r>
              <w:rPr>
                <w:rFonts w:hint="eastAsia"/>
              </w:rPr>
              <w:t>/</w:t>
            </w: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eastAsia"/>
              </w:rPr>
            </w:pPr>
            <w:r>
              <w:rPr>
                <w:rFonts w:hint="eastAsia"/>
              </w:rPr>
              <w:t>较好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jc w:val="center"/>
        </w:trPr>
        <w:tc>
          <w:tcPr>
            <w:tcW w:w="1230" w:type="dxa"/>
            <w:tcBorders>
              <w:tl2br w:val="nil"/>
              <w:tr2bl w:val="nil"/>
            </w:tcBorders>
            <w:noWrap w:val="0"/>
            <w:vAlign w:val="center"/>
          </w:tcPr>
          <w:p>
            <w:pPr>
              <w:pStyle w:val="27"/>
              <w:bidi w:val="0"/>
              <w:rPr>
                <w:rFonts w:hint="eastAsia"/>
              </w:rPr>
            </w:pPr>
            <w:r>
              <w:rPr>
                <w:rFonts w:hint="eastAsia"/>
                <w:lang w:val="en-US" w:eastAsia="zh-CN"/>
              </w:rPr>
              <w:t>办公室</w:t>
            </w:r>
          </w:p>
        </w:tc>
        <w:tc>
          <w:tcPr>
            <w:tcW w:w="941" w:type="dxa"/>
            <w:tcBorders>
              <w:tl2br w:val="nil"/>
              <w:tr2bl w:val="nil"/>
            </w:tcBorders>
            <w:noWrap w:val="0"/>
            <w:vAlign w:val="center"/>
          </w:tcPr>
          <w:p>
            <w:pPr>
              <w:pStyle w:val="27"/>
              <w:bidi w:val="0"/>
              <w:rPr>
                <w:rFonts w:hint="eastAsia"/>
              </w:rPr>
            </w:pPr>
            <w:r>
              <w:rPr>
                <w:rFonts w:hint="eastAsia"/>
              </w:rPr>
              <w:t>&lt;5</w:t>
            </w:r>
          </w:p>
        </w:tc>
        <w:tc>
          <w:tcPr>
            <w:tcW w:w="1662" w:type="dxa"/>
            <w:tcBorders>
              <w:tl2br w:val="nil"/>
              <w:tr2bl w:val="nil"/>
            </w:tcBorders>
            <w:noWrap w:val="0"/>
            <w:vAlign w:val="center"/>
          </w:tcPr>
          <w:p>
            <w:pPr>
              <w:pStyle w:val="27"/>
              <w:bidi w:val="0"/>
              <w:rPr>
                <w:rFonts w:hint="eastAsia" w:eastAsia="宋体"/>
                <w:lang w:eastAsia="zh-CN"/>
              </w:rPr>
            </w:pPr>
            <w:r>
              <w:rPr>
                <w:rFonts w:hint="eastAsia"/>
              </w:rPr>
              <w:t>岩土混合物</w:t>
            </w:r>
          </w:p>
        </w:tc>
        <w:tc>
          <w:tcPr>
            <w:tcW w:w="1213" w:type="dxa"/>
            <w:tcBorders>
              <w:tl2br w:val="nil"/>
              <w:tr2bl w:val="nil"/>
            </w:tcBorders>
            <w:noWrap w:val="0"/>
            <w:vAlign w:val="center"/>
          </w:tcPr>
          <w:p>
            <w:pPr>
              <w:pStyle w:val="27"/>
              <w:bidi w:val="0"/>
              <w:rPr>
                <w:rFonts w:hint="eastAsia"/>
              </w:rPr>
            </w:pPr>
            <w:r>
              <w:rPr>
                <w:rFonts w:hint="eastAsia"/>
              </w:rPr>
              <w:t>/</w:t>
            </w: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eastAsia"/>
              </w:rPr>
            </w:pPr>
            <w:r>
              <w:rPr>
                <w:rFonts w:hint="eastAsia"/>
              </w:rPr>
              <w:t>较好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exact"/>
          <w:jc w:val="center"/>
        </w:trPr>
        <w:tc>
          <w:tcPr>
            <w:tcW w:w="1230" w:type="dxa"/>
            <w:tcBorders>
              <w:tl2br w:val="nil"/>
              <w:tr2bl w:val="nil"/>
            </w:tcBorders>
            <w:noWrap w:val="0"/>
            <w:vAlign w:val="center"/>
          </w:tcPr>
          <w:p>
            <w:pPr>
              <w:pStyle w:val="27"/>
              <w:bidi w:val="0"/>
              <w:rPr>
                <w:rFonts w:hint="eastAsia"/>
              </w:rPr>
            </w:pPr>
            <w:r>
              <w:rPr>
                <w:rFonts w:hint="eastAsia"/>
                <w:lang w:val="en-US" w:eastAsia="zh-CN"/>
              </w:rPr>
              <w:t>工业广场</w:t>
            </w:r>
          </w:p>
        </w:tc>
        <w:tc>
          <w:tcPr>
            <w:tcW w:w="941" w:type="dxa"/>
            <w:tcBorders>
              <w:tl2br w:val="nil"/>
              <w:tr2bl w:val="nil"/>
            </w:tcBorders>
            <w:noWrap w:val="0"/>
            <w:vAlign w:val="center"/>
          </w:tcPr>
          <w:p>
            <w:pPr>
              <w:pStyle w:val="27"/>
              <w:bidi w:val="0"/>
              <w:rPr>
                <w:rFonts w:hint="default"/>
                <w:lang w:val="en-US" w:eastAsia="zh-CN"/>
              </w:rPr>
            </w:pPr>
            <w:r>
              <w:rPr>
                <w:rFonts w:hint="eastAsia"/>
                <w:lang w:val="en-US" w:eastAsia="zh-CN"/>
              </w:rPr>
              <w:t>2-30</w:t>
            </w:r>
          </w:p>
        </w:tc>
        <w:tc>
          <w:tcPr>
            <w:tcW w:w="1662" w:type="dxa"/>
            <w:tcBorders>
              <w:tl2br w:val="nil"/>
              <w:tr2bl w:val="nil"/>
            </w:tcBorders>
            <w:noWrap w:val="0"/>
            <w:vAlign w:val="center"/>
          </w:tcPr>
          <w:p>
            <w:pPr>
              <w:pStyle w:val="27"/>
              <w:bidi w:val="0"/>
              <w:rPr>
                <w:rFonts w:hint="eastAsia"/>
              </w:rPr>
            </w:pPr>
            <w:r>
              <w:rPr>
                <w:rFonts w:hint="eastAsia"/>
              </w:rPr>
              <w:t>岩土混合物</w:t>
            </w:r>
          </w:p>
        </w:tc>
        <w:tc>
          <w:tcPr>
            <w:tcW w:w="1213" w:type="dxa"/>
            <w:tcBorders>
              <w:tl2br w:val="nil"/>
              <w:tr2bl w:val="nil"/>
            </w:tcBorders>
            <w:noWrap w:val="0"/>
            <w:vAlign w:val="center"/>
          </w:tcPr>
          <w:p>
            <w:pPr>
              <w:pStyle w:val="27"/>
              <w:bidi w:val="0"/>
              <w:rPr>
                <w:rFonts w:hint="eastAsia"/>
              </w:rPr>
            </w:pPr>
            <w:r>
              <w:rPr>
                <w:rFonts w:hint="eastAsia"/>
              </w:rPr>
              <w:t>/</w:t>
            </w: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eastAsia"/>
              </w:rPr>
            </w:pPr>
            <w:r>
              <w:rPr>
                <w:rFonts w:hint="eastAsia"/>
              </w:rPr>
              <w:t>较好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exact"/>
          <w:jc w:val="center"/>
        </w:trPr>
        <w:tc>
          <w:tcPr>
            <w:tcW w:w="1230" w:type="dxa"/>
            <w:tcBorders>
              <w:tl2br w:val="nil"/>
              <w:tr2bl w:val="nil"/>
            </w:tcBorders>
            <w:noWrap w:val="0"/>
            <w:vAlign w:val="center"/>
          </w:tcPr>
          <w:p>
            <w:pPr>
              <w:pStyle w:val="27"/>
              <w:bidi w:val="0"/>
              <w:rPr>
                <w:rFonts w:hint="eastAsia"/>
                <w:lang w:val="en-US" w:eastAsia="zh-CN"/>
              </w:rPr>
            </w:pPr>
            <w:r>
              <w:rPr>
                <w:rFonts w:hint="eastAsia"/>
                <w:lang w:val="en-US" w:eastAsia="zh-CN"/>
              </w:rPr>
              <w:t>影响区</w:t>
            </w:r>
          </w:p>
        </w:tc>
        <w:tc>
          <w:tcPr>
            <w:tcW w:w="941" w:type="dxa"/>
            <w:tcBorders>
              <w:tl2br w:val="nil"/>
              <w:tr2bl w:val="nil"/>
            </w:tcBorders>
            <w:noWrap w:val="0"/>
            <w:vAlign w:val="center"/>
          </w:tcPr>
          <w:p>
            <w:pPr>
              <w:pStyle w:val="27"/>
              <w:bidi w:val="0"/>
              <w:rPr>
                <w:rFonts w:hint="default"/>
                <w:lang w:val="en-US" w:eastAsia="zh-CN"/>
              </w:rPr>
            </w:pPr>
            <w:r>
              <w:rPr>
                <w:rFonts w:hint="eastAsia"/>
                <w:lang w:val="en-US" w:eastAsia="zh-CN"/>
              </w:rPr>
              <w:t>2-70</w:t>
            </w:r>
          </w:p>
        </w:tc>
        <w:tc>
          <w:tcPr>
            <w:tcW w:w="1662" w:type="dxa"/>
            <w:tcBorders>
              <w:tl2br w:val="nil"/>
              <w:tr2bl w:val="nil"/>
            </w:tcBorders>
            <w:noWrap w:val="0"/>
            <w:vAlign w:val="center"/>
          </w:tcPr>
          <w:p>
            <w:pPr>
              <w:pStyle w:val="27"/>
              <w:bidi w:val="0"/>
              <w:rPr>
                <w:rFonts w:hint="eastAsia"/>
              </w:rPr>
            </w:pPr>
            <w:r>
              <w:rPr>
                <w:rFonts w:hint="eastAsia"/>
              </w:rPr>
              <w:t>岩土混合物</w:t>
            </w:r>
          </w:p>
        </w:tc>
        <w:tc>
          <w:tcPr>
            <w:tcW w:w="1213" w:type="dxa"/>
            <w:tcBorders>
              <w:tl2br w:val="nil"/>
              <w:tr2bl w:val="nil"/>
            </w:tcBorders>
            <w:noWrap w:val="0"/>
            <w:vAlign w:val="center"/>
          </w:tcPr>
          <w:p>
            <w:pPr>
              <w:pStyle w:val="27"/>
              <w:bidi w:val="0"/>
              <w:rPr>
                <w:rFonts w:hint="eastAsia"/>
              </w:rPr>
            </w:pPr>
            <w:r>
              <w:rPr>
                <w:rFonts w:hint="eastAsia"/>
              </w:rPr>
              <w:t>/</w:t>
            </w:r>
          </w:p>
        </w:tc>
        <w:tc>
          <w:tcPr>
            <w:tcW w:w="1787" w:type="dxa"/>
            <w:tcBorders>
              <w:tl2br w:val="nil"/>
              <w:tr2bl w:val="nil"/>
            </w:tcBorders>
            <w:noWrap w:val="0"/>
            <w:vAlign w:val="center"/>
          </w:tcPr>
          <w:p>
            <w:pPr>
              <w:pStyle w:val="27"/>
              <w:bidi w:val="0"/>
              <w:rPr>
                <w:rFonts w:hint="eastAsia"/>
              </w:rPr>
            </w:pPr>
            <w:r>
              <w:rPr>
                <w:rFonts w:hint="eastAsia"/>
              </w:rPr>
              <w:t>耕地、林地</w:t>
            </w:r>
          </w:p>
        </w:tc>
        <w:tc>
          <w:tcPr>
            <w:tcW w:w="1194" w:type="dxa"/>
            <w:tcBorders>
              <w:tl2br w:val="nil"/>
              <w:tr2bl w:val="nil"/>
            </w:tcBorders>
            <w:noWrap w:val="0"/>
            <w:vAlign w:val="center"/>
          </w:tcPr>
          <w:p>
            <w:pPr>
              <w:pStyle w:val="27"/>
              <w:bidi w:val="0"/>
              <w:rPr>
                <w:rFonts w:hint="eastAsia"/>
                <w:lang w:val="en-US" w:eastAsia="zh-CN"/>
              </w:rPr>
            </w:pPr>
            <w:r>
              <w:rPr>
                <w:rFonts w:hint="eastAsia"/>
                <w:lang w:val="en-US" w:eastAsia="zh-CN"/>
              </w:rPr>
              <w:t>80</w:t>
            </w:r>
            <w:r>
              <w:rPr>
                <w:rFonts w:hint="eastAsia"/>
              </w:rPr>
              <w:t>-100</w:t>
            </w:r>
          </w:p>
        </w:tc>
        <w:tc>
          <w:tcPr>
            <w:tcW w:w="1489" w:type="dxa"/>
            <w:tcBorders>
              <w:tl2br w:val="nil"/>
              <w:tr2bl w:val="nil"/>
            </w:tcBorders>
            <w:noWrap w:val="0"/>
            <w:vAlign w:val="center"/>
          </w:tcPr>
          <w:p>
            <w:pPr>
              <w:pStyle w:val="27"/>
              <w:bidi w:val="0"/>
              <w:rPr>
                <w:rFonts w:hint="eastAsia"/>
              </w:rPr>
            </w:pPr>
            <w:r>
              <w:rPr>
                <w:rFonts w:hint="eastAsia"/>
              </w:rPr>
              <w:t>较好</w:t>
            </w:r>
          </w:p>
        </w:tc>
      </w:tr>
    </w:tbl>
    <w:p>
      <w:pPr>
        <w:bidi w:val="0"/>
        <w:rPr>
          <w:rFonts w:hint="default"/>
        </w:rPr>
      </w:pPr>
      <w:r>
        <w:rPr>
          <w:rFonts w:hint="eastAsia"/>
        </w:rPr>
        <w:t>在土地质量调查的基础上，将参评单元的土地质量与复垦土地主要限制因素的农林牧评价等级标准对比，若限制最大，适宜性等级最低的土地质量参评项目决定该单元的土地适宜等级。结果见下表。</w:t>
      </w:r>
    </w:p>
    <w:p>
      <w:pPr>
        <w:pStyle w:val="8"/>
        <w:bidi w:val="0"/>
        <w:rPr>
          <w:rFonts w:hint="default"/>
        </w:rPr>
      </w:pPr>
      <w:r>
        <w:rPr>
          <w:rFonts w:hint="eastAsia"/>
        </w:rPr>
        <w:t>表</w:t>
      </w:r>
      <w:r>
        <w:rPr>
          <w:rFonts w:hint="eastAsia"/>
          <w:lang w:val="en-US" w:eastAsia="zh-CN"/>
        </w:rPr>
        <w:t>3</w:t>
      </w:r>
      <w:r>
        <w:rPr>
          <w:rFonts w:hint="eastAsia"/>
        </w:rPr>
        <w:t>-</w:t>
      </w:r>
      <w:r>
        <w:rPr>
          <w:rFonts w:hint="eastAsia"/>
          <w:lang w:val="en-US" w:eastAsia="zh-CN"/>
        </w:rPr>
        <w:t>13</w:t>
      </w:r>
      <w:r>
        <w:rPr>
          <w:rFonts w:hint="eastAsia"/>
        </w:rPr>
        <w:t>土地适宜性评价结果表</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1"/>
        <w:gridCol w:w="1220"/>
        <w:gridCol w:w="988"/>
        <w:gridCol w:w="2093"/>
        <w:gridCol w:w="2296"/>
        <w:gridCol w:w="1019"/>
        <w:gridCol w:w="1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评价单元</w:t>
            </w:r>
          </w:p>
        </w:tc>
        <w:tc>
          <w:tcPr>
            <w:tcW w:w="12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地类评价</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适宜性</w:t>
            </w:r>
          </w:p>
        </w:tc>
        <w:tc>
          <w:tcPr>
            <w:tcW w:w="2093"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主要限制因子</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原地类</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面积（</w:t>
            </w:r>
            <w:r>
              <w:rPr>
                <w:rFonts w:hint="default"/>
                <w:lang w:val="en-US" w:eastAsia="zh-CN"/>
              </w:rPr>
              <w:t>hm2</w:t>
            </w:r>
            <w:r>
              <w:rPr>
                <w:rFonts w:hint="eastAsia"/>
                <w:lang w:val="en-US" w:eastAsia="zh-CN"/>
              </w:rPr>
              <w:t>）</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209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采掘场基底</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水文与排水条件</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宜林、宜草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3</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水文与排水条件</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水文与排水条件</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台阶</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周边环境适宜性</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宜林、宜草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3</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周边环境适宜性</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周边环境适宜性</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边坡</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坡度</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不适应复垦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坡度</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坡度</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办公室</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地表物质组成</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旱地、乔木林地</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宜林、宜耕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地表物质组成</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地表物质组成</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工业广场</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旱地、乔木林地、其他草地、采矿用地、农村道路、坑塘水面</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宜林、宜草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影响区</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3</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土源保证率/坡度</w:t>
            </w:r>
          </w:p>
        </w:tc>
        <w:tc>
          <w:tcPr>
            <w:tcW w:w="22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乔木林地、采矿用地、农村道路</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12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宜林、宜草、不适应复垦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土源保证率/坡度</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1"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草地评价</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r>
              <w:rPr>
                <w:rFonts w:hint="eastAsia"/>
                <w:lang w:val="en-US" w:eastAsia="zh-CN"/>
              </w:rPr>
              <w:t>等</w:t>
            </w:r>
          </w:p>
        </w:tc>
        <w:tc>
          <w:tcPr>
            <w:tcW w:w="209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土源保证率/坡度</w:t>
            </w:r>
          </w:p>
        </w:tc>
        <w:tc>
          <w:tcPr>
            <w:tcW w:w="2296"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bl>
    <w:p>
      <w:pPr>
        <w:spacing w:beforeLines="50"/>
        <w:ind w:firstLine="560"/>
        <w:rPr>
          <w:rFonts w:hint="eastAsia"/>
        </w:rPr>
      </w:pPr>
    </w:p>
    <w:p>
      <w:pPr>
        <w:spacing w:beforeLines="50"/>
        <w:ind w:firstLine="560"/>
        <w:rPr>
          <w:rFonts w:hint="eastAsia"/>
        </w:rPr>
      </w:pPr>
      <w:r>
        <w:rPr>
          <w:rFonts w:hint="eastAsia"/>
        </w:rPr>
        <w:t>注：1代表适宜，2代表基本适宜，3代表临界适宜，4代表不适宜</w:t>
      </w:r>
    </w:p>
    <w:p>
      <w:pPr>
        <w:bidi w:val="0"/>
      </w:pPr>
      <w:r>
        <w:rPr>
          <w:rFonts w:hint="eastAsia"/>
          <w:lang w:val="en-US" w:eastAsia="zh-CN"/>
        </w:rPr>
        <w:t>6）</w:t>
      </w:r>
      <w:r>
        <w:t>修复方向的最终确定</w:t>
      </w:r>
    </w:p>
    <w:p>
      <w:pPr>
        <w:bidi w:val="0"/>
        <w:rPr>
          <w:rFonts w:hint="eastAsia"/>
          <w:lang w:val="en-US" w:eastAsia="zh-CN"/>
        </w:rPr>
      </w:pPr>
      <w:r>
        <w:rPr>
          <w:rFonts w:hint="eastAsia"/>
        </w:rPr>
        <w:t>依据适宜性等级评定结果，对于</w:t>
      </w:r>
      <w:r>
        <w:rPr>
          <w:rFonts w:hint="eastAsia"/>
          <w:lang w:eastAsia="zh-CN"/>
        </w:rPr>
        <w:t>适宜</w:t>
      </w:r>
      <w:r>
        <w:rPr>
          <w:rFonts w:hint="eastAsia"/>
        </w:rPr>
        <w:t>性的评价单元，需综合分析当地自然条件、社会条件、土地复垦类比分析和工程施工难易程度等</w:t>
      </w:r>
      <w:r>
        <w:rPr>
          <w:rFonts w:hint="eastAsia"/>
          <w:lang w:val="zh-CN"/>
        </w:rPr>
        <w:t>多种影响因素后，</w:t>
      </w:r>
      <w:r>
        <w:rPr>
          <w:rFonts w:hint="eastAsia"/>
        </w:rPr>
        <w:t>结合</w:t>
      </w:r>
      <w:r>
        <w:rPr>
          <w:rFonts w:hint="eastAsia"/>
          <w:lang w:val="zh-CN"/>
        </w:rPr>
        <w:t>土地利用总体规划、复垦区原土地利用类型、周边地理环境以及</w:t>
      </w:r>
      <w:r>
        <w:rPr>
          <w:rFonts w:hint="eastAsia"/>
        </w:rPr>
        <w:t>土地权属人和使用权人的复垦</w:t>
      </w:r>
      <w:r>
        <w:rPr>
          <w:rFonts w:hint="eastAsia"/>
          <w:lang w:val="zh-CN"/>
        </w:rPr>
        <w:t>意见</w:t>
      </w:r>
      <w:r>
        <w:rPr>
          <w:rFonts w:hint="eastAsia"/>
        </w:rPr>
        <w:t>，最终确定复垦方向</w:t>
      </w:r>
      <w:r>
        <w:rPr>
          <w:rFonts w:hint="eastAsia"/>
          <w:lang w:val="en-US" w:eastAsia="zh-CN"/>
        </w:rPr>
        <w:t>如下表：</w:t>
      </w:r>
    </w:p>
    <w:p>
      <w:pPr>
        <w:pStyle w:val="8"/>
        <w:rPr>
          <w:rFonts w:hint="default" w:eastAsia="黑体"/>
          <w:lang w:val="en-US" w:eastAsia="zh-CN"/>
        </w:rPr>
      </w:pPr>
      <w:r>
        <w:t xml:space="preserve">表 </w:t>
      </w:r>
      <w:r>
        <w:rPr>
          <w:rFonts w:hint="eastAsia"/>
          <w:lang w:val="en-US" w:eastAsia="zh-CN"/>
        </w:rPr>
        <w:t xml:space="preserve">3-14 </w:t>
      </w:r>
      <w:r>
        <w:rPr>
          <w:rFonts w:hint="eastAsia"/>
        </w:rPr>
        <w:t>土地复垦方向表</w:t>
      </w:r>
    </w:p>
    <w:tbl>
      <w:tblPr>
        <w:tblStyle w:val="16"/>
        <w:tblW w:w="96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8"/>
        <w:gridCol w:w="1795"/>
        <w:gridCol w:w="1905"/>
        <w:gridCol w:w="1755"/>
        <w:gridCol w:w="25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63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评价单元</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土地利用现状</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复垦方向</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面积（</w:t>
            </w:r>
            <w:r>
              <w:rPr>
                <w:rFonts w:hint="default"/>
                <w:lang w:val="en-US" w:eastAsia="zh-CN"/>
              </w:rPr>
              <w:t>hm2</w:t>
            </w:r>
            <w:r>
              <w:rPr>
                <w:rFonts w:hint="eastAsia"/>
                <w:lang w:val="en-US" w:eastAsia="zh-CN"/>
              </w:rPr>
              <w:t>）</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163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采掘场基底</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lang w:val="en-US" w:eastAsia="zh-CN"/>
              </w:rPr>
              <w:t>将</w:t>
            </w:r>
            <w:r>
              <w:rPr>
                <w:rFonts w:hint="eastAsia"/>
                <w:lang w:val="en-US" w:eastAsia="zh-CN"/>
              </w:rPr>
              <w:t>弃土、壤土自下而上分层回填至采掘场基底，对其进行覆土工程整后，复垦为林地。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63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台阶</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废弃物清理、平整、复垦为林地。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63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边坡</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裸岩石砾地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复垦为裸岩石砾地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63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办公室</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地表清理、覆土复垦为耕地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63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地表清理、覆土复垦为林地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638" w:type="dxa"/>
            <w:vMerge w:val="restart"/>
            <w:tcBorders>
              <w:top w:val="single" w:color="000000" w:sz="4" w:space="0"/>
              <w:left w:val="single" w:color="000000" w:sz="4" w:space="0"/>
              <w:bottom w:val="nil"/>
              <w:right w:val="single" w:color="000000" w:sz="4" w:space="0"/>
            </w:tcBorders>
            <w:noWrap w:val="0"/>
            <w:vAlign w:val="center"/>
          </w:tcPr>
          <w:p>
            <w:pPr>
              <w:pStyle w:val="27"/>
              <w:bidi w:val="0"/>
              <w:rPr>
                <w:rFonts w:hint="eastAsia"/>
              </w:rPr>
            </w:pPr>
            <w:r>
              <w:rPr>
                <w:rFonts w:hint="eastAsia"/>
                <w:lang w:val="en-US" w:eastAsia="zh-CN"/>
              </w:rPr>
              <w:t>工业广场</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采矿用地、农村道路</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农村道路</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废弃物清理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638" w:type="dxa"/>
            <w:vMerge w:val="continue"/>
            <w:tcBorders>
              <w:top w:val="single" w:color="000000" w:sz="4" w:space="0"/>
              <w:left w:val="single" w:color="000000" w:sz="4" w:space="0"/>
              <w:bottom w:val="nil"/>
              <w:right w:val="single" w:color="000000" w:sz="4" w:space="0"/>
            </w:tcBorders>
            <w:noWrap w:val="0"/>
            <w:vAlign w:val="center"/>
          </w:tcPr>
          <w:p>
            <w:pPr>
              <w:pStyle w:val="27"/>
              <w:bidi w:val="0"/>
              <w:rPr>
                <w:rFonts w:hint="eastAsia"/>
              </w:rPr>
            </w:pP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旱地、乔木林地、其他草地、采矿用地、农村道路、坑塘水面</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废弃物清理、平整、复垦为林地。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638" w:type="dxa"/>
            <w:vMerge w:val="continue"/>
            <w:tcBorders>
              <w:top w:val="single" w:color="000000" w:sz="4" w:space="0"/>
              <w:left w:val="single" w:color="000000" w:sz="4" w:space="0"/>
              <w:bottom w:val="nil"/>
              <w:right w:val="single" w:color="000000" w:sz="4" w:space="0"/>
            </w:tcBorders>
            <w:noWrap w:val="0"/>
            <w:vAlign w:val="center"/>
          </w:tcPr>
          <w:p>
            <w:pPr>
              <w:pStyle w:val="27"/>
              <w:bidi w:val="0"/>
              <w:rPr>
                <w:rFonts w:hint="eastAsia"/>
              </w:rPr>
            </w:pPr>
          </w:p>
        </w:tc>
        <w:tc>
          <w:tcPr>
            <w:tcW w:w="1795" w:type="dxa"/>
            <w:tcBorders>
              <w:top w:val="single" w:color="000000" w:sz="4" w:space="0"/>
              <w:left w:val="single" w:color="000000" w:sz="4" w:space="0"/>
              <w:bottom w:val="nil"/>
              <w:right w:val="single" w:color="000000" w:sz="4" w:space="0"/>
            </w:tcBorders>
            <w:noWrap w:val="0"/>
            <w:vAlign w:val="center"/>
          </w:tcPr>
          <w:p>
            <w:pPr>
              <w:pStyle w:val="27"/>
              <w:bidi w:val="0"/>
              <w:rPr>
                <w:rFonts w:hint="eastAsia"/>
              </w:rPr>
            </w:pPr>
            <w:r>
              <w:rPr>
                <w:rFonts w:hint="eastAsia"/>
                <w:lang w:val="en-US" w:eastAsia="zh-CN"/>
              </w:rPr>
              <w:t>采矿用地、农村道路</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裸岩石砾地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63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影响区</w:t>
            </w:r>
          </w:p>
        </w:tc>
        <w:tc>
          <w:tcPr>
            <w:tcW w:w="1795"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乔木林地、采矿用地、农村道路</w:t>
            </w:r>
          </w:p>
        </w:tc>
        <w:tc>
          <w:tcPr>
            <w:tcW w:w="1905" w:type="dxa"/>
            <w:tcBorders>
              <w:top w:val="single" w:color="000000" w:sz="4" w:space="0"/>
              <w:left w:val="single" w:color="000000" w:sz="4" w:space="0"/>
              <w:bottom w:val="nil"/>
              <w:right w:val="single" w:color="000000" w:sz="4" w:space="0"/>
            </w:tcBorders>
            <w:noWrap w:val="0"/>
            <w:vAlign w:val="center"/>
          </w:tcPr>
          <w:p>
            <w:pPr>
              <w:pStyle w:val="27"/>
              <w:bidi w:val="0"/>
              <w:rPr>
                <w:rFonts w:hint="eastAsia"/>
              </w:rPr>
            </w:pPr>
            <w:r>
              <w:rPr>
                <w:rFonts w:hint="eastAsia"/>
                <w:lang w:val="en-US" w:eastAsia="zh-CN"/>
              </w:rPr>
              <w:t>其他草地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eastAsia="宋体"/>
                <w:lang w:val="en-US" w:eastAsia="zh-CN"/>
              </w:rPr>
            </w:pPr>
            <w:r>
              <w:rPr>
                <w:rFonts w:hint="eastAsia"/>
                <w:lang w:val="en-US" w:eastAsia="zh-CN"/>
              </w:rPr>
              <w:t>覆土撒播草籽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63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795"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裸岩石砾地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63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795"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63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795"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农村道路</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eastAsia="宋体"/>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63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合计</w:t>
            </w:r>
          </w:p>
        </w:tc>
        <w:tc>
          <w:tcPr>
            <w:tcW w:w="179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56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bl>
    <w:p>
      <w:pPr>
        <w:bidi w:val="0"/>
        <w:rPr>
          <w:rFonts w:hint="default"/>
          <w:lang w:val="en-US" w:eastAsia="zh-CN"/>
        </w:rPr>
      </w:pPr>
    </w:p>
    <w:p>
      <w:pPr>
        <w:pStyle w:val="5"/>
        <w:bidi w:val="0"/>
      </w:pPr>
      <w:r>
        <w:rPr>
          <w:rFonts w:hint="eastAsia"/>
          <w:lang w:val="en-US" w:eastAsia="zh-CN"/>
        </w:rPr>
        <w:t>3.</w:t>
      </w:r>
      <w:r>
        <w:t>水资源平衡分析</w:t>
      </w:r>
    </w:p>
    <w:p>
      <w:pPr>
        <w:ind w:firstLine="560"/>
        <w:rPr>
          <w:sz w:val="28"/>
          <w:szCs w:val="28"/>
        </w:rPr>
      </w:pPr>
      <w:r>
        <w:rPr>
          <w:sz w:val="28"/>
          <w:szCs w:val="28"/>
        </w:rPr>
        <w:t>矿区可利用水资源主要为降雨年平均降雨量</w:t>
      </w:r>
      <w:r>
        <w:rPr>
          <w:sz w:val="28"/>
          <w:szCs w:val="28"/>
          <w:shd w:val="clear" w:color="auto" w:fill="FFFFFF"/>
        </w:rPr>
        <w:t>512.9</w:t>
      </w:r>
      <w:r>
        <w:rPr>
          <w:sz w:val="28"/>
          <w:szCs w:val="28"/>
        </w:rPr>
        <w:t>mm。考虑到可修复区域自然地理环境特征，修复</w:t>
      </w:r>
      <w:r>
        <w:rPr>
          <w:rFonts w:hint="eastAsia"/>
          <w:sz w:val="28"/>
          <w:szCs w:val="28"/>
          <w:lang w:eastAsia="zh-CN"/>
        </w:rPr>
        <w:t>方向</w:t>
      </w:r>
      <w:r>
        <w:rPr>
          <w:sz w:val="28"/>
          <w:szCs w:val="28"/>
        </w:rPr>
        <w:t>主要为林地，且周边土地类型主要为旱地、林地，无需进行灌溉，所以不需修建灌排设施，水源供需可以达到平衡。通过修复管护措施及天然降水，保证生态修复的作物成活。</w:t>
      </w:r>
    </w:p>
    <w:p>
      <w:pPr>
        <w:pStyle w:val="5"/>
        <w:bidi w:val="0"/>
      </w:pPr>
      <w:r>
        <w:rPr>
          <w:rFonts w:hint="eastAsia"/>
          <w:lang w:val="en-US" w:eastAsia="zh-CN"/>
        </w:rPr>
        <w:t>4</w:t>
      </w:r>
      <w:r>
        <w:rPr>
          <w:rFonts w:hint="eastAsia"/>
        </w:rPr>
        <w:t>土地资源</w:t>
      </w:r>
      <w:r>
        <w:t>平衡分析</w:t>
      </w:r>
    </w:p>
    <w:p>
      <w:pPr>
        <w:bidi w:val="0"/>
      </w:pPr>
      <w:r>
        <w:rPr>
          <w:rFonts w:hint="eastAsia"/>
          <w:lang w:val="en-US" w:eastAsia="zh-CN"/>
        </w:rPr>
        <w:t>（1）</w:t>
      </w:r>
      <w:r>
        <w:t>表土剥离量</w:t>
      </w:r>
    </w:p>
    <w:p>
      <w:pPr>
        <w:bidi w:val="0"/>
        <w:rPr>
          <w:rFonts w:hint="eastAsia" w:ascii="Times New Roman" w:hAnsi="Times New Roman" w:eastAsia="宋体" w:cs="Times New Roman"/>
        </w:rPr>
      </w:pPr>
      <w:r>
        <w:rPr>
          <w:rFonts w:hint="eastAsia" w:ascii="Times New Roman" w:hAnsi="Times New Roman" w:eastAsia="宋体" w:cs="Times New Roman"/>
        </w:rPr>
        <w:t>因历史开采原因，地表可剥离再利用的表土极少</w:t>
      </w:r>
      <w:r>
        <w:rPr>
          <w:rFonts w:hint="eastAsia" w:cs="Times New Roman"/>
          <w:lang w:eastAsia="zh-CN"/>
        </w:rPr>
        <w:t>。</w:t>
      </w:r>
      <w:r>
        <w:rPr>
          <w:rFonts w:hint="eastAsia" w:ascii="Times New Roman" w:hAnsi="Times New Roman" w:eastAsia="宋体" w:cs="Times New Roman"/>
        </w:rPr>
        <w:t>矿山开采</w:t>
      </w:r>
      <w:r>
        <w:rPr>
          <w:rFonts w:hint="eastAsia" w:cs="Times New Roman"/>
          <w:lang w:val="en-US" w:eastAsia="zh-CN"/>
        </w:rPr>
        <w:t>过程中</w:t>
      </w:r>
      <w:r>
        <w:rPr>
          <w:rFonts w:hint="eastAsia" w:ascii="Times New Roman" w:hAnsi="Times New Roman" w:eastAsia="宋体" w:cs="Times New Roman"/>
        </w:rPr>
        <w:t>，</w:t>
      </w:r>
      <w:r>
        <w:rPr>
          <w:rFonts w:hint="eastAsia" w:cs="Times New Roman"/>
          <w:lang w:val="en-US" w:eastAsia="zh-CN"/>
        </w:rPr>
        <w:t>剥离而来，还有一部分为</w:t>
      </w:r>
      <w:r>
        <w:rPr>
          <w:rFonts w:hint="eastAsia" w:ascii="Times New Roman" w:hAnsi="Times New Roman" w:eastAsia="宋体" w:cs="Times New Roman"/>
        </w:rPr>
        <w:t>矿山企业收集</w:t>
      </w:r>
      <w:r>
        <w:rPr>
          <w:rFonts w:hint="eastAsia" w:cs="Times New Roman"/>
          <w:lang w:val="en-US" w:eastAsia="zh-CN"/>
        </w:rPr>
        <w:t>而来</w:t>
      </w:r>
      <w:r>
        <w:rPr>
          <w:rFonts w:hint="eastAsia" w:ascii="Times New Roman" w:hAnsi="Times New Roman" w:eastAsia="宋体" w:cs="Times New Roman"/>
        </w:rPr>
        <w:t>的周边的表土</w:t>
      </w:r>
      <w:r>
        <w:rPr>
          <w:rFonts w:hint="eastAsia" w:eastAsia="宋体" w:cs="Times New Roman"/>
          <w:lang w:eastAsia="zh-CN"/>
        </w:rPr>
        <w:t>。</w:t>
      </w:r>
      <w:r>
        <w:rPr>
          <w:rFonts w:hint="eastAsia" w:eastAsia="宋体" w:cs="Times New Roman"/>
          <w:lang w:val="en-US" w:eastAsia="zh-CN"/>
        </w:rPr>
        <w:t>现</w:t>
      </w:r>
      <w:r>
        <w:rPr>
          <w:rFonts w:hint="eastAsia" w:cs="Times New Roman"/>
          <w:lang w:val="en-US" w:eastAsia="zh-CN"/>
        </w:rPr>
        <w:t>堆放至矿区东侧，现有表土约3000m</w:t>
      </w:r>
      <w:r>
        <w:rPr>
          <w:rFonts w:hint="eastAsia" w:cs="Times New Roman"/>
          <w:vertAlign w:val="superscript"/>
          <w:lang w:val="en-US" w:eastAsia="zh-CN"/>
        </w:rPr>
        <w:t>3</w:t>
      </w:r>
      <w:r>
        <w:rPr>
          <w:rFonts w:hint="eastAsia" w:ascii="Times New Roman" w:hAnsi="Times New Roman" w:eastAsia="宋体" w:cs="Times New Roman"/>
        </w:rPr>
        <w:t>。</w:t>
      </w:r>
    </w:p>
    <w:p>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pict>
          <v:shape id="_x0000_i1037" o:spt="75" alt="7ad8291e2afdfdb718690c8c97a03951" type="#_x0000_t75" style="height:249.05pt;width:442.7pt;" filled="f" o:preferrelative="t" stroked="f" coordsize="21600,21600">
            <v:path/>
            <v:fill on="f" focussize="0,0"/>
            <v:stroke on="f"/>
            <v:imagedata r:id="rId35" o:title="7ad8291e2afdfdb718690c8c97a03951"/>
            <o:lock v:ext="edit" aspectratio="t"/>
            <w10:wrap type="none"/>
            <w10:anchorlock/>
          </v:shape>
        </w:pict>
      </w:r>
    </w:p>
    <w:p>
      <w:pPr>
        <w:pStyle w:val="8"/>
        <w:bidi w:val="0"/>
        <w:rPr>
          <w:rFonts w:hint="default" w:ascii="Times New Roman" w:hAnsi="Times New Roman" w:eastAsia="黑体" w:cs="Times New Roman"/>
          <w:lang w:val="en-US" w:eastAsia="zh-CN"/>
        </w:rPr>
      </w:pPr>
      <w:r>
        <w:t xml:space="preserve">图 </w:t>
      </w:r>
      <w:r>
        <w:rPr>
          <w:rFonts w:hint="eastAsia"/>
          <w:lang w:val="en-US" w:eastAsia="zh-CN"/>
        </w:rPr>
        <w:t>3-3 表土存储区</w:t>
      </w:r>
    </w:p>
    <w:p>
      <w:pPr>
        <w:bidi w:val="0"/>
      </w:pPr>
      <w:r>
        <w:rPr>
          <w:rFonts w:hint="eastAsia"/>
          <w:lang w:val="en-US" w:eastAsia="zh-CN"/>
        </w:rPr>
        <w:t>（2）</w:t>
      </w:r>
      <w:r>
        <w:t>表土覆盖量</w:t>
      </w:r>
    </w:p>
    <w:p>
      <w:pPr>
        <w:bidi w:val="0"/>
        <w:rPr>
          <w:rFonts w:hint="default"/>
          <w:lang w:val="en-US" w:eastAsia="zh-CN"/>
        </w:rPr>
      </w:pPr>
      <w:r>
        <w:t>对本项目复垦单元中</w:t>
      </w:r>
      <w:r>
        <w:rPr>
          <w:rFonts w:hint="eastAsia"/>
          <w:lang w:val="en-US" w:eastAsia="zh-CN"/>
        </w:rPr>
        <w:t>办公室复垦为耕地部分进行全面覆土，结合土壤质地情况，覆土厚度0.3m。</w:t>
      </w:r>
      <w:r>
        <w:t>复垦单元中</w:t>
      </w:r>
      <w:r>
        <w:rPr>
          <w:rFonts w:hint="eastAsia"/>
          <w:lang w:val="en-US" w:eastAsia="zh-CN"/>
        </w:rPr>
        <w:t>办公室复垦为林地部分、工业广场、台阶、采掘场基底，影响区面积共*.****hm</w:t>
      </w:r>
      <w:r>
        <w:rPr>
          <w:rFonts w:hint="eastAsia"/>
          <w:vertAlign w:val="superscript"/>
          <w:lang w:val="en-US" w:eastAsia="zh-CN"/>
        </w:rPr>
        <w:t>2</w:t>
      </w:r>
      <w:r>
        <w:rPr>
          <w:rFonts w:hint="eastAsia"/>
          <w:vertAlign w:val="baseline"/>
          <w:lang w:val="en-US" w:eastAsia="zh-CN"/>
        </w:rPr>
        <w:t>，采用</w:t>
      </w:r>
      <w:r>
        <w:rPr>
          <w:rFonts w:hint="eastAsia"/>
          <w:lang w:val="en-US" w:eastAsia="zh-CN"/>
        </w:rPr>
        <w:t>坑穴种植乔木、</w:t>
      </w:r>
      <w:r>
        <w:rPr>
          <w:rFonts w:hint="eastAsia" w:ascii="宋体" w:hAnsi="宋体" w:eastAsia="宋体" w:cs="宋体"/>
          <w:b w:val="0"/>
          <w:bCs w:val="0"/>
          <w:kern w:val="0"/>
          <w:sz w:val="28"/>
          <w:szCs w:val="28"/>
        </w:rPr>
        <w:t>株距：</w:t>
      </w:r>
      <w:r>
        <w:rPr>
          <w:rFonts w:hint="eastAsia" w:ascii="宋体" w:hAnsi="宋体" w:eastAsia="宋体" w:cs="宋体"/>
          <w:b w:val="0"/>
          <w:bCs w:val="0"/>
          <w:kern w:val="0"/>
          <w:sz w:val="28"/>
          <w:szCs w:val="28"/>
          <w:lang w:val="en-US" w:eastAsia="zh-CN"/>
        </w:rPr>
        <w:t>2</w:t>
      </w:r>
      <w:r>
        <w:rPr>
          <w:rFonts w:hint="eastAsia" w:ascii="宋体" w:hAnsi="宋体" w:eastAsia="宋体" w:cs="宋体"/>
          <w:b w:val="0"/>
          <w:bCs w:val="0"/>
          <w:kern w:val="0"/>
          <w:sz w:val="28"/>
          <w:szCs w:val="28"/>
        </w:rPr>
        <w:t>m</w:t>
      </w:r>
      <w:r>
        <w:rPr>
          <w:rFonts w:hint="eastAsia" w:ascii="宋体" w:hAnsi="宋体" w:eastAsia="宋体" w:cs="宋体"/>
          <w:b w:val="0"/>
          <w:bCs w:val="0"/>
          <w:kern w:val="0"/>
          <w:sz w:val="28"/>
          <w:szCs w:val="28"/>
          <w:lang w:val="en-US" w:eastAsia="zh-CN"/>
        </w:rPr>
        <w:t>×2m</w:t>
      </w:r>
      <w:r>
        <w:rPr>
          <w:rFonts w:hint="eastAsia" w:ascii="宋体" w:hAnsi="宋体" w:eastAsia="宋体" w:cs="宋体"/>
          <w:b w:val="0"/>
          <w:bCs w:val="0"/>
          <w:kern w:val="0"/>
          <w:sz w:val="28"/>
          <w:szCs w:val="28"/>
        </w:rPr>
        <w:t>；坑穴：0.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*0.5m</w:t>
      </w:r>
      <w:r>
        <w:rPr>
          <w:rFonts w:hint="eastAsia" w:ascii="宋体" w:hAnsi="宋体" w:eastAsia="宋体" w:cs="宋体"/>
          <w:b w:val="0"/>
          <w:bCs w:val="0"/>
          <w:kern w:val="0"/>
          <w:sz w:val="28"/>
          <w:szCs w:val="28"/>
          <w:lang w:eastAsia="zh-CN"/>
        </w:rPr>
        <w:t>，</w:t>
      </w:r>
      <w:r>
        <w:rPr>
          <w:rFonts w:hint="eastAsia" w:ascii="宋体" w:hAnsi="宋体" w:eastAsia="宋体" w:cs="宋体"/>
          <w:b w:val="0"/>
          <w:bCs w:val="0"/>
          <w:kern w:val="0"/>
          <w:sz w:val="28"/>
          <w:szCs w:val="28"/>
        </w:rPr>
        <w:t>共栽植</w:t>
      </w:r>
      <w:r>
        <w:rPr>
          <w:rFonts w:hint="eastAsia" w:ascii="宋体" w:hAnsi="宋体" w:cs="宋体"/>
          <w:b w:val="0"/>
          <w:bCs w:val="0"/>
          <w:kern w:val="0"/>
          <w:sz w:val="28"/>
          <w:szCs w:val="28"/>
          <w:lang w:val="en-US" w:eastAsia="zh-CN"/>
        </w:rPr>
        <w:t>18162棵</w:t>
      </w:r>
      <w:r>
        <w:rPr>
          <w:rFonts w:hint="eastAsia"/>
          <w:lang w:val="en-US" w:eastAsia="zh-CN"/>
        </w:rPr>
        <w:t>。边坡坡脚及台阶处开挖沟槽，种植攀藤植物，沟槽规格 20cm×10cm。沟槽内换填腐殖土。攀藤植物选择爬山虎，栽种间距为 5cm。需要种植攀藤的边坡长度为 2067m，撒播爬山虎种子。影响区边坡较缓部分覆土撒播草籽复垦为草地，覆土厚度10cm。</w:t>
      </w:r>
    </w:p>
    <w:p>
      <w:pPr>
        <w:pStyle w:val="8"/>
      </w:pPr>
      <w:r>
        <w:t xml:space="preserve">表 </w:t>
      </w:r>
      <w:r>
        <w:rPr>
          <w:rFonts w:hint="eastAsia"/>
          <w:lang w:val="en-US" w:eastAsia="zh-CN"/>
        </w:rPr>
        <w:t xml:space="preserve">3-15 </w:t>
      </w:r>
      <w:r>
        <w:rPr>
          <w:rFonts w:hint="eastAsia"/>
        </w:rPr>
        <w:t>项目区植被恢复所需的覆土量</w:t>
      </w:r>
    </w:p>
    <w:tbl>
      <w:tblPr>
        <w:tblStyle w:val="16"/>
        <w:tblW w:w="94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1"/>
        <w:gridCol w:w="2462"/>
        <w:gridCol w:w="2374"/>
        <w:gridCol w:w="2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项目名称</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回覆表土面积（hm</w:t>
            </w:r>
            <w:r>
              <w:rPr>
                <w:rFonts w:hint="eastAsia"/>
                <w:vertAlign w:val="superscript"/>
                <w:lang w:val="en-US" w:eastAsia="zh-CN"/>
              </w:rPr>
              <w:t>2</w:t>
            </w: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回覆表土厚度（m）</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回覆表土量（m</w:t>
            </w:r>
            <w:r>
              <w:rPr>
                <w:rFonts w:hint="eastAsia"/>
                <w:vertAlign w:val="superscript"/>
                <w:lang w:val="en-US" w:eastAsia="zh-CN"/>
              </w:rPr>
              <w:t>3</w:t>
            </w: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办公室（耕地）覆土为耕地</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191.4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台阶、采掘场基底、办公室、办公室（林地）、工业广场穴栽樟子松</w:t>
            </w:r>
          </w:p>
        </w:tc>
        <w:tc>
          <w:tcPr>
            <w:tcW w:w="48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株距：2m×2m；坑穴：0.4*0.4*0.5m共栽植18162棵。</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1452.96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rPr>
            </w:pPr>
            <w:r>
              <w:rPr>
                <w:rFonts w:hint="eastAsia"/>
                <w:lang w:val="en-US" w:eastAsia="zh-CN"/>
              </w:rPr>
              <w:t>影响区边坡</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727.2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边坡种植爬山虎</w:t>
            </w:r>
          </w:p>
        </w:tc>
        <w:tc>
          <w:tcPr>
            <w:tcW w:w="48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沟槽规格：0.2m×0.1m。长度2067米。</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41.34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合 计</w:t>
            </w:r>
          </w:p>
        </w:tc>
        <w:tc>
          <w:tcPr>
            <w:tcW w:w="6977"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bl>
    <w:p>
      <w:pPr>
        <w:bidi w:val="0"/>
        <w:rPr>
          <w:rFonts w:hint="default"/>
          <w:lang w:val="en-US" w:eastAsia="zh-CN"/>
        </w:rPr>
      </w:pPr>
      <w:r>
        <w:rPr>
          <w:rFonts w:hint="eastAsia"/>
          <w:lang w:val="en-US" w:eastAsia="zh-CN"/>
        </w:rPr>
        <w:t>现表土存储已大于所需表土量，基本满足复垦的需求。</w:t>
      </w:r>
    </w:p>
    <w:p>
      <w:pPr>
        <w:pStyle w:val="5"/>
        <w:bidi w:val="0"/>
        <w:rPr>
          <w:rFonts w:hint="eastAsia"/>
          <w:lang w:val="en-US" w:eastAsia="zh-CN"/>
        </w:rPr>
      </w:pPr>
      <w:r>
        <w:rPr>
          <w:rFonts w:hint="eastAsia"/>
          <w:lang w:val="en-US" w:eastAsia="zh-CN"/>
        </w:rPr>
        <w:t>5.复垦标准</w:t>
      </w:r>
    </w:p>
    <w:p>
      <w:r>
        <w:t>根据项目土地复垦适宜性评价，项目土地复垦方向为林地，结合土地复垦方案控制标准（TD</w:t>
      </w:r>
      <w:r>
        <w:rPr>
          <w:rFonts w:hint="eastAsia"/>
        </w:rPr>
        <w:t>/T1036-2013</w:t>
      </w:r>
      <w:r>
        <w:t>），土地复垦质量需达到以下标准：</w:t>
      </w:r>
    </w:p>
    <w:p>
      <w:pPr>
        <w:bidi w:val="0"/>
      </w:pPr>
      <w:r>
        <w:rPr>
          <w:rFonts w:hint="eastAsia"/>
          <w:lang w:val="en-US" w:eastAsia="zh-CN"/>
        </w:rPr>
        <w:t xml:space="preserve">（1）林地土地复垦质量控制标准 </w:t>
      </w:r>
    </w:p>
    <w:p>
      <w:pPr>
        <w:bidi w:val="0"/>
      </w:pPr>
      <w:r>
        <w:rPr>
          <w:rFonts w:hint="eastAsia"/>
          <w:lang w:val="en-US" w:eastAsia="zh-CN"/>
        </w:rPr>
        <w:t>土壤质量：有效土层厚度≥30cm，土壤容重≤1.45g/cm</w:t>
      </w:r>
      <w:r>
        <w:rPr>
          <w:rFonts w:hint="eastAsia"/>
          <w:vertAlign w:val="superscript"/>
          <w:lang w:val="en-US" w:eastAsia="zh-CN"/>
        </w:rPr>
        <w:t>3</w:t>
      </w:r>
      <w:r>
        <w:rPr>
          <w:rFonts w:hint="eastAsia"/>
          <w:lang w:val="en-US" w:eastAsia="zh-CN"/>
        </w:rPr>
        <w:t>，土壤质地为砂土至砂质粘土，砾石含量≤20%，pH值6.0-8.5，有机质≥2%；</w:t>
      </w:r>
    </w:p>
    <w:p>
      <w:pPr>
        <w:bidi w:val="0"/>
      </w:pPr>
      <w:r>
        <w:rPr>
          <w:rFonts w:hint="eastAsia"/>
          <w:lang w:val="en-US" w:eastAsia="zh-CN"/>
        </w:rPr>
        <w:t xml:space="preserve">配套设施：道路达到当地本行业工程建设标准要求； </w:t>
      </w:r>
    </w:p>
    <w:p>
      <w:pPr>
        <w:bidi w:val="0"/>
        <w:rPr>
          <w:rFonts w:hint="eastAsia"/>
          <w:lang w:val="en-US" w:eastAsia="zh-CN"/>
        </w:rPr>
      </w:pPr>
      <w:r>
        <w:rPr>
          <w:rFonts w:hint="eastAsia"/>
          <w:lang w:val="en-US" w:eastAsia="zh-CN"/>
        </w:rPr>
        <w:t>生产力水平：定植密度（株/hm</w:t>
      </w:r>
      <w:r>
        <w:rPr>
          <w:rFonts w:hint="eastAsia"/>
          <w:vertAlign w:val="superscript"/>
          <w:lang w:val="en-US" w:eastAsia="zh-CN"/>
        </w:rPr>
        <w:t>2</w:t>
      </w:r>
      <w:r>
        <w:rPr>
          <w:rFonts w:hint="eastAsia"/>
          <w:lang w:val="en-US" w:eastAsia="zh-CN"/>
        </w:rPr>
        <w:t>）满足《造林作业设计规程》（LY/T1607）要求，郁闭度≥0.30。</w:t>
      </w:r>
    </w:p>
    <w:p>
      <w:pPr>
        <w:bidi w:val="0"/>
      </w:pPr>
      <w:r>
        <w:rPr>
          <w:rFonts w:hint="eastAsia"/>
          <w:lang w:val="en-US" w:eastAsia="zh-CN"/>
        </w:rPr>
        <w:t xml:space="preserve">（2）耕地（旱地）土地复垦质量控制标准 </w:t>
      </w:r>
    </w:p>
    <w:p>
      <w:pPr>
        <w:bidi w:val="0"/>
      </w:pPr>
      <w:r>
        <w:rPr>
          <w:rFonts w:hint="eastAsia"/>
          <w:lang w:val="en-US" w:eastAsia="zh-CN"/>
        </w:rPr>
        <w:t xml:space="preserve">地形：地面坡度≤15°； </w:t>
      </w:r>
    </w:p>
    <w:p>
      <w:pPr>
        <w:bidi w:val="0"/>
      </w:pPr>
      <w:r>
        <w:rPr>
          <w:rFonts w:hint="eastAsia"/>
          <w:lang w:val="en-US" w:eastAsia="zh-CN"/>
        </w:rPr>
        <w:t>土壤质量：有效土层厚度≥80cm，土壤容重≤1.35g/cm</w:t>
      </w:r>
      <w:r>
        <w:rPr>
          <w:rFonts w:hint="eastAsia"/>
          <w:vertAlign w:val="superscript"/>
          <w:lang w:val="en-US" w:eastAsia="zh-CN"/>
        </w:rPr>
        <w:t>3</w:t>
      </w:r>
      <w:r>
        <w:rPr>
          <w:rFonts w:hint="eastAsia"/>
          <w:lang w:val="en-US" w:eastAsia="zh-CN"/>
        </w:rPr>
        <w:t xml:space="preserve">，土壤质地为砂质壤土至砂质粘土，砾石含量≤5%，pH值6.5-8.5，有机质≥2%，电导率≤2dS/m； </w:t>
      </w:r>
    </w:p>
    <w:p>
      <w:pPr>
        <w:bidi w:val="0"/>
      </w:pPr>
      <w:r>
        <w:rPr>
          <w:rFonts w:hint="eastAsia"/>
          <w:lang w:val="en-US" w:eastAsia="zh-CN"/>
        </w:rPr>
        <w:t xml:space="preserve">配套设施：排水、道路、林网达到当地各行业工程建设标准要求； </w:t>
      </w:r>
    </w:p>
    <w:p>
      <w:pPr>
        <w:bidi w:val="0"/>
        <w:rPr>
          <w:rFonts w:hint="eastAsia"/>
          <w:lang w:val="en-US" w:eastAsia="zh-CN"/>
        </w:rPr>
      </w:pPr>
      <w:r>
        <w:rPr>
          <w:rFonts w:hint="eastAsia"/>
          <w:lang w:val="en-US" w:eastAsia="zh-CN"/>
        </w:rPr>
        <w:t>生产力水平：产量（kg/hm</w:t>
      </w:r>
      <w:r>
        <w:rPr>
          <w:rFonts w:hint="eastAsia"/>
          <w:vertAlign w:val="superscript"/>
          <w:lang w:val="en-US" w:eastAsia="zh-CN"/>
        </w:rPr>
        <w:t>2</w:t>
      </w:r>
      <w:r>
        <w:rPr>
          <w:rFonts w:hint="eastAsia"/>
          <w:lang w:val="en-US" w:eastAsia="zh-CN"/>
        </w:rPr>
        <w:t>）三年后达到周边地区同等土地利用类型水平。</w:t>
      </w:r>
    </w:p>
    <w:p>
      <w:pPr>
        <w:bidi w:val="0"/>
      </w:pPr>
      <w:r>
        <w:rPr>
          <w:rFonts w:hint="eastAsia"/>
          <w:lang w:val="en-US" w:eastAsia="zh-CN"/>
        </w:rPr>
        <w:t xml:space="preserve">（3）草地土地复垦质量控制标准 </w:t>
      </w:r>
    </w:p>
    <w:p>
      <w:pPr>
        <w:bidi w:val="0"/>
        <w:rPr>
          <w:rFonts w:hint="eastAsia"/>
        </w:rPr>
      </w:pPr>
      <w:r>
        <w:rPr>
          <w:rFonts w:hint="eastAsia"/>
        </w:rPr>
        <w:t>土壤质量：有效土层厚度≥35cm，土壤容重≤1.45g/cm</w:t>
      </w:r>
      <w:r>
        <w:rPr>
          <w:rFonts w:hint="eastAsia"/>
          <w:vertAlign w:val="superscript"/>
        </w:rPr>
        <w:t>3</w:t>
      </w:r>
      <w:r>
        <w:rPr>
          <w:rFonts w:hint="eastAsia"/>
        </w:rPr>
        <w:t>，土壤质地为砂土至砂质粘土，砾石含量≤10%，</w:t>
      </w:r>
      <w:r>
        <w:rPr>
          <w:rFonts w:hint="eastAsia"/>
          <w:lang w:eastAsia="zh-CN"/>
        </w:rPr>
        <w:t>pH值</w:t>
      </w:r>
      <w:r>
        <w:rPr>
          <w:rFonts w:hint="eastAsia"/>
        </w:rPr>
        <w:t>6.0-8.5，有机质≥1%；</w:t>
      </w:r>
    </w:p>
    <w:p>
      <w:pPr>
        <w:bidi w:val="0"/>
        <w:rPr>
          <w:rFonts w:hint="eastAsia"/>
        </w:rPr>
      </w:pPr>
      <w:r>
        <w:rPr>
          <w:rFonts w:hint="eastAsia"/>
        </w:rPr>
        <w:t>配套设施：灌溉、道路达到当地各行业工程建设标准要求；</w:t>
      </w:r>
    </w:p>
    <w:p>
      <w:pPr>
        <w:bidi w:val="0"/>
        <w:rPr>
          <w:rFonts w:hint="eastAsia"/>
          <w:lang w:val="en-US" w:eastAsia="zh-CN"/>
        </w:rPr>
      </w:pPr>
      <w:r>
        <w:rPr>
          <w:rFonts w:hint="eastAsia"/>
        </w:rPr>
        <w:t>生产力水平：覆盖度≥35%，产量（kg/hm</w:t>
      </w:r>
      <w:r>
        <w:rPr>
          <w:rFonts w:hint="eastAsia"/>
          <w:vertAlign w:val="superscript"/>
          <w:lang w:val="en-US" w:eastAsia="zh-CN"/>
        </w:rPr>
        <w:t>2</w:t>
      </w:r>
      <w:r>
        <w:rPr>
          <w:rFonts w:hint="eastAsia"/>
          <w:lang w:eastAsia="zh-CN"/>
        </w:rPr>
        <w:t>）</w:t>
      </w:r>
      <w:r>
        <w:rPr>
          <w:rFonts w:hint="eastAsia"/>
        </w:rPr>
        <w:t>三年后达到周边地区同等土地利用类型水平。</w:t>
      </w:r>
    </w:p>
    <w:p>
      <w:pPr>
        <w:pStyle w:val="4"/>
        <w:bidi w:val="0"/>
      </w:pPr>
      <w:r>
        <w:t>（三）边开采、边修复可行性分析</w:t>
      </w:r>
    </w:p>
    <w:p>
      <w:pPr>
        <w:pStyle w:val="5"/>
        <w:bidi w:val="0"/>
        <w:rPr>
          <w:rFonts w:hint="eastAsia"/>
        </w:rPr>
      </w:pPr>
      <w:r>
        <w:rPr>
          <w:rFonts w:hint="eastAsia"/>
          <w:lang w:val="en-US" w:eastAsia="zh-CN"/>
        </w:rPr>
        <w:t>1.</w:t>
      </w:r>
      <w:r>
        <w:rPr>
          <w:rFonts w:hint="eastAsia"/>
        </w:rPr>
        <w:t>空间布局冲突</w:t>
      </w:r>
    </w:p>
    <w:p>
      <w:pPr>
        <w:bidi w:val="0"/>
        <w:rPr>
          <w:rFonts w:hint="eastAsia"/>
        </w:rPr>
      </w:pPr>
      <w:r>
        <w:rPr>
          <w:rFonts w:hint="eastAsia"/>
        </w:rPr>
        <w:t>开采过程中</w:t>
      </w:r>
      <w:r>
        <w:rPr>
          <w:rFonts w:hint="eastAsia"/>
          <w:lang w:eastAsia="zh-CN"/>
        </w:rPr>
        <w:t>需要</w:t>
      </w:r>
      <w:r>
        <w:rPr>
          <w:rFonts w:hint="eastAsia"/>
        </w:rPr>
        <w:t>动态调整作业区域，而修复工程需要稳定的场地条件，空间的动态变化会导致修复方案频繁调整，无法形成系统性修复效果。</w:t>
      </w:r>
    </w:p>
    <w:p>
      <w:pPr>
        <w:pStyle w:val="5"/>
        <w:bidi w:val="0"/>
        <w:rPr>
          <w:rFonts w:hint="eastAsia"/>
        </w:rPr>
      </w:pPr>
      <w:r>
        <w:rPr>
          <w:rFonts w:hint="eastAsia"/>
          <w:lang w:val="en-US" w:eastAsia="zh-CN"/>
        </w:rPr>
        <w:t>2.</w:t>
      </w:r>
      <w:r>
        <w:rPr>
          <w:rFonts w:hint="eastAsia"/>
        </w:rPr>
        <w:t>成本投入失衡</w:t>
      </w:r>
    </w:p>
    <w:p>
      <w:pPr>
        <w:bidi w:val="0"/>
        <w:rPr>
          <w:rFonts w:hint="eastAsia"/>
        </w:rPr>
      </w:pPr>
      <w:r>
        <w:rPr>
          <w:rFonts w:hint="eastAsia"/>
        </w:rPr>
        <w:t>矿山的资源储量有限，开采收益较低，若同步投入高额修复资金，会导致项目整体亏损，缺乏经济激励。​</w:t>
      </w:r>
    </w:p>
    <w:p>
      <w:pPr>
        <w:pStyle w:val="5"/>
        <w:bidi w:val="0"/>
        <w:rPr>
          <w:rFonts w:hint="eastAsia"/>
        </w:rPr>
      </w:pPr>
      <w:r>
        <w:rPr>
          <w:rFonts w:hint="eastAsia"/>
          <w:lang w:val="en-US" w:eastAsia="zh-CN"/>
        </w:rPr>
        <w:t>3.</w:t>
      </w:r>
      <w:r>
        <w:rPr>
          <w:rFonts w:hint="eastAsia"/>
        </w:rPr>
        <w:t>技术适配性不足</w:t>
      </w:r>
    </w:p>
    <w:p>
      <w:pPr>
        <w:bidi w:val="0"/>
        <w:rPr>
          <w:rFonts w:hint="eastAsia"/>
        </w:rPr>
      </w:pPr>
      <w:r>
        <w:rPr>
          <w:rFonts w:hint="eastAsia"/>
        </w:rPr>
        <w:t>矿山的开采周期较短，同步修复的时间窗口有限，植被难以在短期内形成稳定的生态系统，易出现退化、死亡等问题，无法达到长期复垦目标。</w:t>
      </w:r>
    </w:p>
    <w:p>
      <w:pPr>
        <w:pStyle w:val="5"/>
        <w:bidi w:val="0"/>
        <w:rPr>
          <w:rFonts w:hint="default"/>
          <w:lang w:val="en-US" w:eastAsia="zh-CN"/>
        </w:rPr>
      </w:pPr>
      <w:r>
        <w:rPr>
          <w:rFonts w:hint="eastAsia"/>
          <w:lang w:val="en-US" w:eastAsia="zh-CN"/>
        </w:rPr>
        <w:t>4.结论</w:t>
      </w:r>
    </w:p>
    <w:p>
      <w:pPr>
        <w:bidi w:val="0"/>
        <w:rPr>
          <w:rFonts w:hint="eastAsia"/>
          <w:sz w:val="28"/>
          <w:szCs w:val="28"/>
          <w:shd w:val="clear" w:color="auto" w:fill="FFFFFF"/>
        </w:rPr>
      </w:pPr>
      <w:r>
        <w:rPr>
          <w:rFonts w:hint="eastAsia"/>
          <w:lang w:val="en-US" w:eastAsia="zh-CN"/>
        </w:rPr>
        <w:t>根据上述论述，该矿山不适宜“</w:t>
      </w:r>
      <w:r>
        <w:t>边开采、边修复</w:t>
      </w:r>
      <w:r>
        <w:rPr>
          <w:rFonts w:hint="eastAsia"/>
          <w:lang w:val="en-US" w:eastAsia="zh-CN"/>
        </w:rPr>
        <w:t>”，</w:t>
      </w:r>
      <w:r>
        <w:rPr>
          <w:rFonts w:hint="eastAsia"/>
        </w:rPr>
        <w:t>复垦</w:t>
      </w:r>
      <w:r>
        <w:rPr>
          <w:rFonts w:hint="eastAsia"/>
          <w:lang w:eastAsia="zh-CN"/>
        </w:rPr>
        <w:t>模式</w:t>
      </w:r>
      <w:r>
        <w:rPr>
          <w:rFonts w:hint="eastAsia"/>
          <w:lang w:val="en-US" w:eastAsia="zh-CN"/>
        </w:rPr>
        <w:t>为</w:t>
      </w:r>
      <w:r>
        <w:rPr>
          <w:rFonts w:hint="eastAsia"/>
          <w:lang w:eastAsia="zh-CN"/>
        </w:rPr>
        <w:t>：“</w:t>
      </w:r>
      <w:r>
        <w:rPr>
          <w:rFonts w:hint="eastAsia"/>
        </w:rPr>
        <w:t>集中开采 + 末期一次性修复</w:t>
      </w:r>
      <w:r>
        <w:rPr>
          <w:rFonts w:hint="eastAsia"/>
          <w:lang w:eastAsia="zh-CN"/>
        </w:rPr>
        <w:t>”</w:t>
      </w:r>
      <w:r>
        <w:rPr>
          <w:rFonts w:hint="eastAsia"/>
        </w:rPr>
        <w:t>：在开采阶段集中资源完成开采作业，最大限度提升开采效率、控制成本；开采结束后，利用积累的开采收益，集中投入修复资金、设备与技术，针对已稳定的开采创面制定系统性修复方案，既能降低单位面积修复成本，又能保障修复效果，同时简化管理流程、降低监管成本，实现生态保护与经济收益的平衡</w:t>
      </w:r>
      <w:r>
        <w:rPr>
          <w:rFonts w:hint="eastAsia"/>
          <w:sz w:val="28"/>
          <w:szCs w:val="28"/>
          <w:shd w:val="clear" w:color="auto" w:fill="FFFFFF"/>
        </w:rPr>
        <w:t>。</w:t>
      </w:r>
    </w:p>
    <w:p>
      <w:pPr>
        <w:pStyle w:val="3"/>
        <w:bidi w:val="0"/>
      </w:pPr>
      <w:bookmarkStart w:id="67" w:name="_Toc21193"/>
      <w:bookmarkStart w:id="68" w:name="_Toc6644"/>
      <w:bookmarkStart w:id="69" w:name="_Toc10573"/>
      <w:r>
        <w:t>三、生态修复分区及修复时序安排</w:t>
      </w:r>
      <w:bookmarkEnd w:id="67"/>
      <w:bookmarkEnd w:id="68"/>
      <w:bookmarkEnd w:id="69"/>
    </w:p>
    <w:p>
      <w:pPr>
        <w:pStyle w:val="4"/>
        <w:bidi w:val="0"/>
      </w:pPr>
      <w:bookmarkStart w:id="70" w:name="_Toc17095"/>
      <w:bookmarkStart w:id="71" w:name="_Toc23080"/>
      <w:bookmarkStart w:id="72" w:name="_Toc3082"/>
      <w:bookmarkStart w:id="73" w:name="_Toc19338"/>
      <w:bookmarkStart w:id="74" w:name="_Toc17152"/>
      <w:r>
        <w:t>（一）生态修复分区</w:t>
      </w:r>
    </w:p>
    <w:bookmarkEnd w:id="70"/>
    <w:bookmarkEnd w:id="71"/>
    <w:bookmarkEnd w:id="72"/>
    <w:bookmarkEnd w:id="73"/>
    <w:bookmarkEnd w:id="74"/>
    <w:p>
      <w:pPr>
        <w:bidi w:val="0"/>
        <w:rPr>
          <w:rFonts w:hint="eastAsia" w:ascii="Times New Roman" w:hAnsi="Times New Roman" w:eastAsia="宋体" w:cs="Times New Roman"/>
          <w:sz w:val="28"/>
          <w:szCs w:val="28"/>
          <w:lang w:val="en-US" w:eastAsia="zh-CN"/>
        </w:rPr>
      </w:pPr>
      <w:bookmarkStart w:id="75" w:name="_Toc4828"/>
      <w:bookmarkStart w:id="76" w:name="_Toc16294"/>
      <w:bookmarkStart w:id="77" w:name="_Toc28422"/>
      <w:bookmarkStart w:id="78" w:name="_Toc16044"/>
      <w:bookmarkStart w:id="79" w:name="_Toc23640"/>
      <w:r>
        <w:rPr>
          <w:rFonts w:hint="eastAsia" w:ascii="Times New Roman" w:hAnsi="Times New Roman" w:eastAsia="宋体" w:cs="Times New Roman"/>
          <w:sz w:val="28"/>
          <w:szCs w:val="28"/>
          <w:lang w:val="en-US" w:eastAsia="zh-CN"/>
        </w:rPr>
        <w:t xml:space="preserve">根据矿区土地损毁状况、地形地貌特征和生态修复目标，将矿区划分为 </w:t>
      </w:r>
      <w:r>
        <w:rPr>
          <w:rFonts w:hint="eastAsia" w:cs="Times New Roman"/>
          <w:sz w:val="28"/>
          <w:szCs w:val="28"/>
          <w:lang w:val="en-US" w:eastAsia="zh-CN"/>
        </w:rPr>
        <w:t>6</w:t>
      </w:r>
      <w:r>
        <w:rPr>
          <w:rFonts w:hint="eastAsia" w:ascii="Times New Roman" w:hAnsi="Times New Roman" w:eastAsia="宋体" w:cs="Times New Roman"/>
          <w:sz w:val="28"/>
          <w:szCs w:val="28"/>
          <w:lang w:val="en-US" w:eastAsia="zh-CN"/>
        </w:rPr>
        <w:t xml:space="preserve"> 个生态修复单元：</w:t>
      </w:r>
    </w:p>
    <w:p>
      <w:pPr>
        <w:pageBreakBefore w:val="0"/>
        <w:kinsoku/>
        <w:overflowPunct/>
        <w:topLinePunct w:val="0"/>
        <w:autoSpaceDE w:val="0"/>
        <w:autoSpaceDN w:val="0"/>
        <w:bidi w:val="0"/>
        <w:adjustRightInd w:val="0"/>
        <w:spacing w:line="360" w:lineRule="auto"/>
        <w:ind w:firstLine="560" w:firstLineChars="20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r>
        <w:rPr>
          <w:rFonts w:hint="eastAsia" w:ascii="宋体" w:hAnsi="宋体" w:cs="宋体"/>
          <w:kern w:val="0"/>
          <w:sz w:val="28"/>
          <w:szCs w:val="28"/>
          <w:lang w:val="en-US" w:eastAsia="zh-CN"/>
        </w:rPr>
        <w:t>.</w:t>
      </w:r>
      <w:r>
        <w:rPr>
          <w:rFonts w:hint="eastAsia" w:ascii="宋体" w:hAnsi="宋体" w:eastAsia="宋体" w:cs="宋体"/>
          <w:kern w:val="0"/>
          <w:sz w:val="28"/>
          <w:szCs w:val="28"/>
          <w:lang w:val="en-US" w:eastAsia="zh-CN"/>
        </w:rPr>
        <w:t>采掘场</w:t>
      </w:r>
      <w:r>
        <w:rPr>
          <w:rFonts w:hint="eastAsia"/>
          <w:lang w:val="en-US" w:eastAsia="zh-CN"/>
        </w:rPr>
        <w:t>基底</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ascii="宋体" w:hAnsi="宋体" w:eastAsia="宋体" w:cs="宋体"/>
          <w:kern w:val="0"/>
          <w:sz w:val="28"/>
          <w:szCs w:val="28"/>
          <w:lang w:val="en-US" w:eastAsia="zh-CN"/>
        </w:rPr>
        <w:t>，主要包括露天采坑受损区域</w:t>
      </w:r>
      <w:r>
        <w:rPr>
          <w:rFonts w:hint="eastAsia" w:ascii="宋体" w:hAnsi="宋体" w:cs="宋体"/>
          <w:kern w:val="0"/>
          <w:sz w:val="28"/>
          <w:szCs w:val="28"/>
          <w:lang w:val="en-US" w:eastAsia="zh-CN"/>
        </w:rPr>
        <w:t>。</w:t>
      </w:r>
    </w:p>
    <w:p>
      <w:pPr>
        <w:pageBreakBefore w:val="0"/>
        <w:kinsoku/>
        <w:overflowPunct/>
        <w:topLinePunct w:val="0"/>
        <w:autoSpaceDE w:val="0"/>
        <w:autoSpaceDN w:val="0"/>
        <w:bidi w:val="0"/>
        <w:adjustRightInd w:val="0"/>
        <w:spacing w:line="360" w:lineRule="auto"/>
        <w:ind w:firstLine="560" w:firstLineChars="200"/>
        <w:jc w:val="lef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r>
        <w:rPr>
          <w:rFonts w:hint="eastAsia" w:ascii="宋体" w:hAnsi="宋体" w:cs="宋体"/>
          <w:kern w:val="0"/>
          <w:sz w:val="28"/>
          <w:szCs w:val="28"/>
          <w:lang w:val="en-US" w:eastAsia="zh-CN"/>
        </w:rPr>
        <w:t>.</w:t>
      </w:r>
      <w:r>
        <w:rPr>
          <w:rFonts w:hint="eastAsia" w:ascii="宋体" w:hAnsi="宋体" w:eastAsia="宋体" w:cs="宋体"/>
          <w:kern w:val="0"/>
          <w:sz w:val="28"/>
          <w:szCs w:val="28"/>
          <w:lang w:val="en-US" w:eastAsia="zh-CN"/>
        </w:rPr>
        <w:t>采掘场</w:t>
      </w:r>
      <w:r>
        <w:rPr>
          <w:rFonts w:hint="eastAsia"/>
          <w:lang w:val="en-US" w:eastAsia="zh-CN"/>
        </w:rPr>
        <w:t>台阶</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vertAlign w:val="baseline"/>
          <w:lang w:val="en-US" w:eastAsia="zh-CN"/>
        </w:rPr>
        <w:t>，</w:t>
      </w:r>
      <w:r>
        <w:rPr>
          <w:rFonts w:hint="eastAsia" w:ascii="宋体" w:hAnsi="宋体" w:eastAsia="宋体" w:cs="宋体"/>
          <w:kern w:val="0"/>
          <w:sz w:val="28"/>
          <w:szCs w:val="28"/>
          <w:lang w:val="en-US" w:eastAsia="zh-CN"/>
        </w:rPr>
        <w:t>主要包括台阶及周围影响区域。</w:t>
      </w:r>
    </w:p>
    <w:p>
      <w:pPr>
        <w:pageBreakBefore w:val="0"/>
        <w:kinsoku/>
        <w:overflowPunct/>
        <w:topLinePunct w:val="0"/>
        <w:autoSpaceDE w:val="0"/>
        <w:autoSpaceDN w:val="0"/>
        <w:bidi w:val="0"/>
        <w:adjustRightInd w:val="0"/>
        <w:spacing w:line="360" w:lineRule="auto"/>
        <w:ind w:firstLine="560" w:firstLineChars="20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3.采掘场</w:t>
      </w:r>
      <w:r>
        <w:rPr>
          <w:rFonts w:hint="eastAsia"/>
          <w:lang w:val="en-US" w:eastAsia="zh-CN"/>
        </w:rPr>
        <w:t>边坡</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vertAlign w:val="baseline"/>
          <w:lang w:val="en-US" w:eastAsia="zh-CN"/>
        </w:rPr>
        <w:t>，主要包括</w:t>
      </w:r>
      <w:r>
        <w:rPr>
          <w:rFonts w:hint="eastAsia" w:ascii="宋体" w:hAnsi="宋体" w:eastAsia="宋体" w:cs="宋体"/>
          <w:kern w:val="0"/>
          <w:sz w:val="28"/>
          <w:szCs w:val="28"/>
          <w:lang w:val="en-US" w:eastAsia="zh-CN"/>
        </w:rPr>
        <w:t>为安全生产预留边坡。</w:t>
      </w:r>
    </w:p>
    <w:p>
      <w:pPr>
        <w:pageBreakBefore w:val="0"/>
        <w:kinsoku/>
        <w:overflowPunct/>
        <w:topLinePunct w:val="0"/>
        <w:autoSpaceDE w:val="0"/>
        <w:autoSpaceDN w:val="0"/>
        <w:bidi w:val="0"/>
        <w:adjustRightInd w:val="0"/>
        <w:spacing w:line="360" w:lineRule="auto"/>
        <w:ind w:firstLine="560" w:firstLineChars="20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4.矿区</w:t>
      </w:r>
      <w:r>
        <w:rPr>
          <w:rFonts w:hint="eastAsia"/>
          <w:lang w:val="en-US" w:eastAsia="zh-CN"/>
        </w:rPr>
        <w:t>办公室</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vertAlign w:val="baseline"/>
          <w:lang w:val="en-US" w:eastAsia="zh-CN"/>
        </w:rPr>
        <w:t>，</w:t>
      </w:r>
      <w:r>
        <w:rPr>
          <w:rFonts w:hint="eastAsia" w:ascii="宋体" w:hAnsi="宋体" w:eastAsia="宋体" w:cs="宋体"/>
          <w:kern w:val="0"/>
          <w:sz w:val="28"/>
          <w:szCs w:val="28"/>
          <w:lang w:val="en-US" w:eastAsia="zh-CN"/>
        </w:rPr>
        <w:t>主要包括矿区生产生活以及办公区域。</w:t>
      </w:r>
    </w:p>
    <w:p>
      <w:pPr>
        <w:pageBreakBefore w:val="0"/>
        <w:kinsoku/>
        <w:overflowPunct/>
        <w:topLinePunct w:val="0"/>
        <w:autoSpaceDE w:val="0"/>
        <w:autoSpaceDN w:val="0"/>
        <w:bidi w:val="0"/>
        <w:adjustRightInd w:val="0"/>
        <w:spacing w:line="360" w:lineRule="auto"/>
        <w:ind w:firstLine="560" w:firstLineChars="200"/>
        <w:jc w:val="left"/>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5.矿区</w:t>
      </w:r>
      <w:r>
        <w:rPr>
          <w:rFonts w:hint="eastAsia"/>
          <w:lang w:val="en-US" w:eastAsia="zh-CN"/>
        </w:rPr>
        <w:t>工业广场</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vertAlign w:val="baseline"/>
          <w:lang w:val="en-US" w:eastAsia="zh-CN"/>
        </w:rPr>
        <w:t>，</w:t>
      </w:r>
      <w:r>
        <w:rPr>
          <w:rFonts w:hint="eastAsia" w:ascii="宋体" w:hAnsi="宋体" w:eastAsia="宋体" w:cs="宋体"/>
          <w:kern w:val="0"/>
          <w:sz w:val="28"/>
          <w:szCs w:val="28"/>
          <w:lang w:val="en-US" w:eastAsia="zh-CN"/>
        </w:rPr>
        <w:t>主要包括矿区的生产区、排土场、堆料区等。</w:t>
      </w:r>
    </w:p>
    <w:p>
      <w:pPr>
        <w:pageBreakBefore w:val="0"/>
        <w:kinsoku/>
        <w:overflowPunct/>
        <w:topLinePunct w:val="0"/>
        <w:autoSpaceDE w:val="0"/>
        <w:autoSpaceDN w:val="0"/>
        <w:bidi w:val="0"/>
        <w:adjustRightInd w:val="0"/>
        <w:spacing w:line="360" w:lineRule="auto"/>
        <w:ind w:firstLine="560" w:firstLineChars="200"/>
        <w:jc w:val="left"/>
        <w:rPr>
          <w:rFonts w:hint="eastAsia" w:ascii="Times New Roman" w:hAnsi="Times New Roman" w:eastAsia="宋体" w:cs="Times New Roman"/>
          <w:sz w:val="28"/>
          <w:szCs w:val="28"/>
          <w:lang w:val="en-US" w:eastAsia="zh-CN"/>
        </w:rPr>
      </w:pPr>
      <w:r>
        <w:rPr>
          <w:rFonts w:hint="eastAsia" w:ascii="宋体" w:hAnsi="宋体" w:cs="宋体"/>
          <w:kern w:val="0"/>
          <w:sz w:val="28"/>
          <w:szCs w:val="28"/>
          <w:lang w:val="en-US" w:eastAsia="zh-CN"/>
        </w:rPr>
        <w:t>6.矿区</w:t>
      </w:r>
      <w:r>
        <w:rPr>
          <w:rFonts w:hint="eastAsia"/>
          <w:lang w:val="en-US" w:eastAsia="zh-CN"/>
        </w:rPr>
        <w:t>影像区域</w:t>
      </w:r>
      <w:r>
        <w:rPr>
          <w:rFonts w:hint="eastAsia" w:ascii="宋体" w:hAnsi="宋体" w:eastAsia="宋体" w:cs="宋体"/>
          <w:kern w:val="0"/>
          <w:sz w:val="28"/>
          <w:szCs w:val="28"/>
          <w:lang w:val="en-US" w:eastAsia="zh-CN"/>
        </w:rPr>
        <w:t>修复单元：修复面积为</w:t>
      </w:r>
      <w:r>
        <w:rPr>
          <w:rFonts w:hint="default"/>
          <w:lang w:val="en-US" w:eastAsia="zh-CN"/>
        </w:rPr>
        <w:t>*.****hm</w:t>
      </w:r>
      <w:r>
        <w:rPr>
          <w:rFonts w:hint="default"/>
          <w:vertAlign w:val="superscript"/>
          <w:lang w:val="en-US" w:eastAsia="zh-CN"/>
        </w:rPr>
        <w:t>2</w:t>
      </w:r>
      <w:r>
        <w:rPr>
          <w:rFonts w:hint="eastAsia"/>
          <w:vertAlign w:val="baseline"/>
          <w:lang w:val="en-US" w:eastAsia="zh-CN"/>
        </w:rPr>
        <w:t>，</w:t>
      </w:r>
      <w:r>
        <w:rPr>
          <w:rFonts w:hint="eastAsia" w:ascii="宋体" w:hAnsi="宋体" w:eastAsia="宋体" w:cs="宋体"/>
          <w:kern w:val="0"/>
          <w:sz w:val="28"/>
          <w:szCs w:val="28"/>
          <w:lang w:val="en-US" w:eastAsia="zh-CN"/>
        </w:rPr>
        <w:t>主要包括因历史遗留问题而形成的边坡，道路等。</w:t>
      </w:r>
    </w:p>
    <w:bookmarkEnd w:id="75"/>
    <w:bookmarkEnd w:id="76"/>
    <w:bookmarkEnd w:id="77"/>
    <w:bookmarkEnd w:id="78"/>
    <w:bookmarkEnd w:id="79"/>
    <w:p>
      <w:pPr>
        <w:pStyle w:val="4"/>
        <w:bidi w:val="0"/>
      </w:pPr>
      <w:bookmarkStart w:id="80" w:name="_Toc26069"/>
      <w:bookmarkStart w:id="81" w:name="_Toc29545"/>
      <w:bookmarkStart w:id="82" w:name="_Toc136984937"/>
      <w:bookmarkStart w:id="83" w:name="_Toc17967"/>
      <w:r>
        <w:t>（二）修复时序安排</w:t>
      </w:r>
    </w:p>
    <w:p>
      <w:pPr>
        <w:ind w:firstLine="560"/>
        <w:rPr>
          <w:color w:val="auto"/>
          <w:sz w:val="28"/>
          <w:szCs w:val="28"/>
          <w:shd w:val="clear" w:color="auto" w:fill="FFFFFF"/>
        </w:rPr>
      </w:pPr>
      <w:r>
        <w:rPr>
          <w:sz w:val="28"/>
          <w:szCs w:val="28"/>
          <w:shd w:val="clear" w:color="auto" w:fill="FFFFFF"/>
        </w:rPr>
        <w:t>按照生态修复工程与采矿工程相结合的原则，根据矿山生态修复目标和规划，矿山生态修复工程于</w:t>
      </w:r>
      <w:r>
        <w:rPr>
          <w:rFonts w:hint="eastAsia"/>
          <w:sz w:val="28"/>
          <w:szCs w:val="28"/>
          <w:shd w:val="clear" w:color="auto" w:fill="FFFFFF"/>
          <w:lang w:val="en-US" w:eastAsia="zh-CN"/>
        </w:rPr>
        <w:t>矿山闭坑后开始修复工作</w:t>
      </w:r>
      <w:r>
        <w:rPr>
          <w:sz w:val="28"/>
          <w:szCs w:val="28"/>
          <w:shd w:val="clear" w:color="auto" w:fill="FFFFFF"/>
        </w:rPr>
        <w:t>，</w:t>
      </w:r>
      <w:r>
        <w:t>依据</w:t>
      </w:r>
      <w:r>
        <w:rPr>
          <w:rFonts w:hint="eastAsia"/>
          <w:lang w:val="en-US" w:eastAsia="zh-CN"/>
        </w:rPr>
        <w:t>采矿证矿山剩余服务年限为3年（2026年6月—2029年6月）</w:t>
      </w:r>
      <w:r>
        <w:t>、闭矿修复期</w:t>
      </w:r>
      <w:r>
        <w:rPr>
          <w:rFonts w:hint="eastAsia"/>
          <w:lang w:val="en-US" w:eastAsia="zh-CN"/>
        </w:rPr>
        <w:t>1年</w:t>
      </w:r>
      <w:r>
        <w:t>（20</w:t>
      </w:r>
      <w:r>
        <w:rPr>
          <w:rFonts w:hint="eastAsia"/>
          <w:lang w:val="en-US" w:eastAsia="zh-CN"/>
        </w:rPr>
        <w:t>29</w:t>
      </w:r>
      <w:r>
        <w:t>年</w:t>
      </w:r>
      <w:r>
        <w:rPr>
          <w:rFonts w:hint="eastAsia"/>
          <w:lang w:val="en-US" w:eastAsia="zh-CN"/>
        </w:rPr>
        <w:t>6</w:t>
      </w:r>
      <w:r>
        <w:t>月</w:t>
      </w:r>
      <w:r>
        <w:rPr>
          <w:rFonts w:hint="eastAsia"/>
          <w:lang w:eastAsia="zh-CN"/>
        </w:rPr>
        <w:t>—</w:t>
      </w:r>
      <w:r>
        <w:t>20</w:t>
      </w:r>
      <w:r>
        <w:rPr>
          <w:rFonts w:hint="eastAsia"/>
          <w:lang w:val="en-US" w:eastAsia="zh-CN"/>
        </w:rPr>
        <w:t>30</w:t>
      </w:r>
      <w:r>
        <w:t>年</w:t>
      </w:r>
      <w:r>
        <w:rPr>
          <w:rFonts w:hint="eastAsia"/>
          <w:lang w:val="en-US" w:eastAsia="zh-CN"/>
        </w:rPr>
        <w:t>6</w:t>
      </w:r>
      <w:r>
        <w:t>月）、监测管护期</w:t>
      </w:r>
      <w:r>
        <w:rPr>
          <w:rFonts w:hint="eastAsia"/>
          <w:lang w:val="en-US" w:eastAsia="zh-CN"/>
        </w:rPr>
        <w:t>3年</w:t>
      </w:r>
      <w:r>
        <w:t>（203</w:t>
      </w:r>
      <w:r>
        <w:rPr>
          <w:rFonts w:hint="eastAsia"/>
          <w:lang w:val="en-US" w:eastAsia="zh-CN"/>
        </w:rPr>
        <w:t>0</w:t>
      </w:r>
      <w:r>
        <w:t>年</w:t>
      </w:r>
      <w:r>
        <w:rPr>
          <w:rFonts w:hint="eastAsia"/>
          <w:lang w:val="en-US" w:eastAsia="zh-CN"/>
        </w:rPr>
        <w:t>6</w:t>
      </w:r>
      <w:r>
        <w:t>月</w:t>
      </w:r>
      <w:r>
        <w:rPr>
          <w:rFonts w:hint="eastAsia"/>
          <w:lang w:eastAsia="zh-CN"/>
        </w:rPr>
        <w:t>—</w:t>
      </w:r>
      <w:r>
        <w:t>20</w:t>
      </w:r>
      <w:r>
        <w:rPr>
          <w:rFonts w:hint="eastAsia"/>
        </w:rPr>
        <w:t>3</w:t>
      </w:r>
      <w:r>
        <w:rPr>
          <w:rFonts w:hint="eastAsia"/>
          <w:lang w:val="en-US" w:eastAsia="zh-CN"/>
        </w:rPr>
        <w:t>3</w:t>
      </w:r>
      <w:r>
        <w:t>年</w:t>
      </w:r>
      <w:r>
        <w:rPr>
          <w:rFonts w:hint="eastAsia"/>
          <w:lang w:val="en-US" w:eastAsia="zh-CN"/>
        </w:rPr>
        <w:t>6</w:t>
      </w:r>
      <w:r>
        <w:t>月）</w:t>
      </w:r>
      <w:r>
        <w:rPr>
          <w:color w:val="auto"/>
          <w:sz w:val="28"/>
          <w:szCs w:val="28"/>
          <w:shd w:val="clear" w:color="auto" w:fill="FFFFFF"/>
        </w:rPr>
        <w:t>。本方案将矿区生态修复工作划分为三个阶段，具体工程进度如下。</w:t>
      </w:r>
    </w:p>
    <w:p>
      <w:pPr>
        <w:ind w:firstLine="560"/>
        <w:rPr>
          <w:sz w:val="28"/>
          <w:szCs w:val="28"/>
          <w:shd w:val="clear" w:color="auto" w:fill="FFFFFF"/>
        </w:rPr>
      </w:pPr>
      <w:r>
        <w:rPr>
          <w:sz w:val="28"/>
          <w:szCs w:val="28"/>
          <w:shd w:val="clear" w:color="auto" w:fill="FFFFFF"/>
        </w:rPr>
        <w:t>（1）生产期（202</w:t>
      </w:r>
      <w:r>
        <w:rPr>
          <w:rFonts w:hint="eastAsia"/>
          <w:sz w:val="28"/>
          <w:szCs w:val="28"/>
          <w:shd w:val="clear" w:color="auto" w:fill="FFFFFF"/>
        </w:rPr>
        <w:t>6</w:t>
      </w:r>
      <w:r>
        <w:rPr>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rFonts w:hint="eastAsia" w:eastAsia="宋体"/>
          <w:sz w:val="28"/>
          <w:szCs w:val="28"/>
          <w:shd w:val="clear" w:color="auto" w:fill="FFFFFF"/>
          <w:lang w:eastAsia="zh-CN"/>
        </w:rPr>
        <w:t>—</w:t>
      </w:r>
      <w:r>
        <w:rPr>
          <w:rFonts w:eastAsia="宋体"/>
          <w:sz w:val="28"/>
          <w:szCs w:val="28"/>
          <w:shd w:val="clear" w:color="auto" w:fill="FFFFFF"/>
        </w:rPr>
        <w:t>20</w:t>
      </w:r>
      <w:r>
        <w:rPr>
          <w:rFonts w:hint="eastAsia" w:eastAsia="宋体"/>
          <w:sz w:val="28"/>
          <w:szCs w:val="28"/>
          <w:shd w:val="clear" w:color="auto" w:fill="FFFFFF"/>
          <w:lang w:val="en-US" w:eastAsia="zh-CN"/>
        </w:rPr>
        <w:t>29</w:t>
      </w:r>
      <w:r>
        <w:rPr>
          <w:rFonts w:eastAsia="宋体"/>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sz w:val="28"/>
          <w:szCs w:val="28"/>
          <w:shd w:val="clear" w:color="auto" w:fill="FFFFFF"/>
        </w:rPr>
        <w:t>）</w:t>
      </w:r>
    </w:p>
    <w:p>
      <w:pPr>
        <w:ind w:firstLine="560"/>
        <w:rPr>
          <w:rFonts w:hint="eastAsia"/>
          <w:lang w:val="en-US" w:eastAsia="zh-CN"/>
        </w:rPr>
      </w:pPr>
      <w:r>
        <w:rPr>
          <w:sz w:val="28"/>
          <w:szCs w:val="28"/>
          <w:shd w:val="clear" w:color="auto" w:fill="FFFFFF"/>
        </w:rPr>
        <w:t>主要为</w:t>
      </w:r>
      <w:r>
        <w:rPr>
          <w:rFonts w:hint="eastAsia"/>
          <w:lang w:val="en-US" w:eastAsia="zh-CN"/>
        </w:rPr>
        <w:t>不稳定边坡监测、土地损毁监测、设警示牌、栽植爬山虎；回填平整</w:t>
      </w:r>
    </w:p>
    <w:p>
      <w:pPr>
        <w:ind w:firstLine="560"/>
        <w:rPr>
          <w:sz w:val="28"/>
          <w:szCs w:val="28"/>
          <w:shd w:val="clear" w:color="auto" w:fill="FFFFFF"/>
        </w:rPr>
      </w:pPr>
      <w:r>
        <w:rPr>
          <w:sz w:val="28"/>
          <w:szCs w:val="28"/>
          <w:shd w:val="clear" w:color="auto" w:fill="FFFFFF"/>
        </w:rPr>
        <w:t>（2）生态修复期（</w:t>
      </w:r>
      <w:r>
        <w:rPr>
          <w:rFonts w:eastAsia="宋体"/>
          <w:sz w:val="28"/>
          <w:szCs w:val="28"/>
          <w:shd w:val="clear" w:color="auto" w:fill="FFFFFF"/>
        </w:rPr>
        <w:t>20</w:t>
      </w:r>
      <w:r>
        <w:rPr>
          <w:rFonts w:hint="eastAsia" w:eastAsia="宋体"/>
          <w:sz w:val="28"/>
          <w:szCs w:val="28"/>
          <w:shd w:val="clear" w:color="auto" w:fill="FFFFFF"/>
          <w:lang w:val="en-US" w:eastAsia="zh-CN"/>
        </w:rPr>
        <w:t>29</w:t>
      </w:r>
      <w:r>
        <w:rPr>
          <w:rFonts w:eastAsia="宋体"/>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rFonts w:hint="eastAsia" w:eastAsia="宋体"/>
          <w:sz w:val="28"/>
          <w:szCs w:val="28"/>
          <w:shd w:val="clear" w:color="auto" w:fill="FFFFFF"/>
          <w:lang w:eastAsia="zh-CN"/>
        </w:rPr>
        <w:t>—</w:t>
      </w:r>
      <w:r>
        <w:rPr>
          <w:rFonts w:eastAsia="宋体"/>
          <w:sz w:val="28"/>
          <w:szCs w:val="28"/>
          <w:shd w:val="clear" w:color="auto" w:fill="FFFFFF"/>
        </w:rPr>
        <w:t>20</w:t>
      </w:r>
      <w:r>
        <w:rPr>
          <w:rFonts w:hint="eastAsia" w:eastAsia="宋体"/>
          <w:sz w:val="28"/>
          <w:szCs w:val="28"/>
          <w:shd w:val="clear" w:color="auto" w:fill="FFFFFF"/>
          <w:lang w:val="en-US" w:eastAsia="zh-CN"/>
        </w:rPr>
        <w:t>30</w:t>
      </w:r>
      <w:r>
        <w:rPr>
          <w:rFonts w:eastAsia="宋体"/>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sz w:val="28"/>
          <w:szCs w:val="28"/>
          <w:shd w:val="clear" w:color="auto" w:fill="FFFFFF"/>
        </w:rPr>
        <w:t>）</w:t>
      </w:r>
    </w:p>
    <w:p>
      <w:pPr>
        <w:ind w:firstLine="560"/>
        <w:rPr>
          <w:sz w:val="28"/>
          <w:szCs w:val="28"/>
          <w:shd w:val="clear" w:color="auto" w:fill="FFFFFF"/>
        </w:rPr>
      </w:pPr>
      <w:r>
        <w:rPr>
          <w:sz w:val="28"/>
          <w:szCs w:val="28"/>
          <w:shd w:val="clear" w:color="auto" w:fill="FFFFFF"/>
        </w:rPr>
        <w:t>按照“谁破坏、谁治理、谁修复”的原则，矿山做好以下矿山生态保护修复工程</w:t>
      </w:r>
      <w:r>
        <w:rPr>
          <w:rFonts w:hint="eastAsia"/>
          <w:sz w:val="28"/>
          <w:szCs w:val="28"/>
          <w:shd w:val="clear" w:color="auto" w:fill="FFFFFF"/>
          <w:lang w:eastAsia="zh-CN"/>
        </w:rPr>
        <w:t>，</w:t>
      </w:r>
      <w:r>
        <w:rPr>
          <w:rFonts w:hint="eastAsia"/>
          <w:sz w:val="28"/>
          <w:szCs w:val="28"/>
          <w:shd w:val="clear" w:color="auto" w:fill="FFFFFF"/>
          <w:lang w:val="en-US" w:eastAsia="zh-CN"/>
        </w:rPr>
        <w:t>主要工作有：</w:t>
      </w:r>
      <w:r>
        <w:rPr>
          <w:rFonts w:hint="eastAsia"/>
        </w:rPr>
        <w:t>建筑物拆除回填</w:t>
      </w:r>
      <w:r>
        <w:rPr>
          <w:rFonts w:hint="eastAsia"/>
          <w:lang w:eastAsia="zh-CN"/>
        </w:rPr>
        <w:t>、</w:t>
      </w:r>
      <w:r>
        <w:rPr>
          <w:rFonts w:hint="eastAsia"/>
          <w:lang w:val="en-US" w:eastAsia="zh-CN"/>
        </w:rPr>
        <w:t>平整土地、植被恢复。</w:t>
      </w:r>
    </w:p>
    <w:p>
      <w:pPr>
        <w:bidi w:val="0"/>
        <w:rPr>
          <w:sz w:val="28"/>
          <w:szCs w:val="28"/>
          <w:shd w:val="clear" w:color="auto" w:fill="FFFFFF"/>
        </w:rPr>
      </w:pPr>
      <w:r>
        <w:rPr>
          <w:sz w:val="28"/>
          <w:szCs w:val="28"/>
          <w:shd w:val="clear" w:color="auto" w:fill="FFFFFF"/>
        </w:rPr>
        <w:t>（</w:t>
      </w:r>
      <w:r>
        <w:rPr>
          <w:rFonts w:hint="eastAsia"/>
          <w:sz w:val="28"/>
          <w:szCs w:val="28"/>
          <w:shd w:val="clear" w:color="auto" w:fill="FFFFFF"/>
          <w:lang w:val="en-US" w:eastAsia="zh-CN"/>
        </w:rPr>
        <w:t>3</w:t>
      </w:r>
      <w:r>
        <w:rPr>
          <w:sz w:val="28"/>
          <w:szCs w:val="28"/>
          <w:shd w:val="clear" w:color="auto" w:fill="FFFFFF"/>
        </w:rPr>
        <w:t>）监测管护期（</w:t>
      </w:r>
      <w:r>
        <w:rPr>
          <w:rFonts w:eastAsia="宋体"/>
          <w:sz w:val="28"/>
          <w:szCs w:val="28"/>
          <w:shd w:val="clear" w:color="auto" w:fill="FFFFFF"/>
        </w:rPr>
        <w:t>20</w:t>
      </w:r>
      <w:r>
        <w:rPr>
          <w:rFonts w:hint="eastAsia" w:eastAsia="宋体"/>
          <w:sz w:val="28"/>
          <w:szCs w:val="28"/>
          <w:shd w:val="clear" w:color="auto" w:fill="FFFFFF"/>
          <w:lang w:val="en-US" w:eastAsia="zh-CN"/>
        </w:rPr>
        <w:t>30</w:t>
      </w:r>
      <w:r>
        <w:rPr>
          <w:rFonts w:eastAsia="宋体"/>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rFonts w:hint="eastAsia" w:eastAsia="宋体"/>
          <w:sz w:val="28"/>
          <w:szCs w:val="28"/>
          <w:shd w:val="clear" w:color="auto" w:fill="FFFFFF"/>
          <w:lang w:eastAsia="zh-CN"/>
        </w:rPr>
        <w:t>—</w:t>
      </w:r>
      <w:r>
        <w:rPr>
          <w:rFonts w:eastAsia="宋体"/>
          <w:sz w:val="28"/>
          <w:szCs w:val="28"/>
          <w:shd w:val="clear" w:color="auto" w:fill="FFFFFF"/>
        </w:rPr>
        <w:t>20</w:t>
      </w:r>
      <w:r>
        <w:rPr>
          <w:rFonts w:hint="eastAsia" w:eastAsia="宋体"/>
          <w:sz w:val="28"/>
          <w:szCs w:val="28"/>
          <w:shd w:val="clear" w:color="auto" w:fill="FFFFFF"/>
        </w:rPr>
        <w:t>3</w:t>
      </w:r>
      <w:r>
        <w:rPr>
          <w:rFonts w:hint="eastAsia" w:eastAsia="宋体"/>
          <w:sz w:val="28"/>
          <w:szCs w:val="28"/>
          <w:shd w:val="clear" w:color="auto" w:fill="FFFFFF"/>
          <w:lang w:val="en-US" w:eastAsia="zh-CN"/>
        </w:rPr>
        <w:t>3</w:t>
      </w:r>
      <w:r>
        <w:rPr>
          <w:rFonts w:eastAsia="宋体"/>
          <w:sz w:val="28"/>
          <w:szCs w:val="28"/>
          <w:shd w:val="clear" w:color="auto" w:fill="FFFFFF"/>
        </w:rPr>
        <w:t>年</w:t>
      </w:r>
      <w:r>
        <w:rPr>
          <w:rFonts w:hint="eastAsia" w:eastAsia="宋体"/>
          <w:sz w:val="28"/>
          <w:szCs w:val="28"/>
          <w:shd w:val="clear" w:color="auto" w:fill="FFFFFF"/>
          <w:lang w:val="en-US" w:eastAsia="zh-CN"/>
        </w:rPr>
        <w:t>6</w:t>
      </w:r>
      <w:r>
        <w:rPr>
          <w:rFonts w:eastAsia="宋体"/>
          <w:sz w:val="28"/>
          <w:szCs w:val="28"/>
          <w:shd w:val="clear" w:color="auto" w:fill="FFFFFF"/>
        </w:rPr>
        <w:t>月</w:t>
      </w:r>
      <w:r>
        <w:rPr>
          <w:sz w:val="28"/>
          <w:szCs w:val="28"/>
          <w:shd w:val="clear" w:color="auto" w:fill="FFFFFF"/>
        </w:rPr>
        <w:t>）</w:t>
      </w:r>
    </w:p>
    <w:p>
      <w:pPr>
        <w:ind w:firstLine="560"/>
        <w:rPr>
          <w:sz w:val="28"/>
          <w:szCs w:val="28"/>
          <w:shd w:val="clear" w:color="auto" w:fill="FFFFFF"/>
        </w:rPr>
      </w:pPr>
      <w:r>
        <w:rPr>
          <w:sz w:val="28"/>
          <w:szCs w:val="28"/>
          <w:shd w:val="clear" w:color="auto" w:fill="FFFFFF"/>
        </w:rPr>
        <w:t>对矿山生态修复单元进行土壤质量监测、工业广场植被恢复监测、管护，监测管护期三年，</w:t>
      </w:r>
      <w:r>
        <w:rPr>
          <w:rFonts w:hint="eastAsia"/>
          <w:sz w:val="28"/>
          <w:szCs w:val="28"/>
          <w:shd w:val="clear" w:color="auto" w:fill="FFFFFF"/>
        </w:rPr>
        <w:t>三年后植树成活率85％以上，三年后郁闭度60％以上</w:t>
      </w:r>
      <w:r>
        <w:rPr>
          <w:sz w:val="28"/>
          <w:szCs w:val="28"/>
          <w:shd w:val="clear" w:color="auto" w:fill="FFFFFF"/>
        </w:rPr>
        <w:t>。</w:t>
      </w:r>
    </w:p>
    <w:p>
      <w:pPr>
        <w:bidi w:val="0"/>
        <w:rPr>
          <w:sz w:val="28"/>
          <w:szCs w:val="28"/>
          <w:shd w:val="clear" w:color="auto" w:fill="FFFFFF"/>
        </w:rPr>
      </w:pPr>
      <w:r>
        <w:rPr>
          <w:sz w:val="28"/>
          <w:szCs w:val="28"/>
          <w:shd w:val="clear" w:color="auto" w:fill="FFFFFF"/>
        </w:rPr>
        <w:t>土壤质量监测、工业广场植被恢复监测、管护。</w:t>
      </w:r>
    </w:p>
    <w:p>
      <w:pPr>
        <w:pStyle w:val="8"/>
        <w:rPr>
          <w:rFonts w:hint="default" w:eastAsia="黑体"/>
          <w:lang w:val="en-US" w:eastAsia="zh-CN"/>
        </w:rPr>
      </w:pPr>
      <w:r>
        <w:t xml:space="preserve">表 </w:t>
      </w:r>
      <w:r>
        <w:rPr>
          <w:rFonts w:hint="eastAsia"/>
          <w:lang w:val="en-US" w:eastAsia="zh-CN"/>
        </w:rPr>
        <w:t>3-16矿区用地与复垦修复计划表</w:t>
      </w:r>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4"/>
        <w:gridCol w:w="721"/>
        <w:gridCol w:w="918"/>
        <w:gridCol w:w="1004"/>
        <w:gridCol w:w="524"/>
        <w:gridCol w:w="1678"/>
        <w:gridCol w:w="721"/>
        <w:gridCol w:w="787"/>
        <w:gridCol w:w="883"/>
        <w:gridCol w:w="526"/>
        <w:gridCol w:w="16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2695" w:type="pct"/>
            <w:gridSpan w:val="6"/>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用地信息</w:t>
            </w:r>
          </w:p>
        </w:tc>
        <w:tc>
          <w:tcPr>
            <w:tcW w:w="2304" w:type="pct"/>
            <w:gridSpan w:val="5"/>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复垦修复计划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序号</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原地类</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范围</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面积</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质量</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批准（计划）使用期限</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目标地类</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范围</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面积</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质量</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批准（计划）复垦修复期限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 xml:space="preserve">*.**** </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80</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80</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3</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其他草地</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w:t>
            </w: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其他草地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4</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采矿用地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农村道路</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农村道路</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6</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坑塘水面</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坑塘水面</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1"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7</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裸岩石砾地</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见土地利用现状图</w:t>
            </w:r>
          </w:p>
        </w:tc>
        <w:tc>
          <w:tcPr>
            <w:tcW w:w="50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2024年6月26日—2029年6月26日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裸岩石砾地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见工程布置图</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839"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2029年6月26日—2030年6月26日</w:t>
            </w:r>
          </w:p>
        </w:tc>
      </w:tr>
    </w:tbl>
    <w:p>
      <w:pPr>
        <w:bidi w:val="0"/>
        <w:rPr>
          <w:rFonts w:hint="eastAsia"/>
          <w:sz w:val="28"/>
          <w:szCs w:val="28"/>
          <w:shd w:val="clear" w:color="auto" w:fill="FFFFFF"/>
          <w:lang w:val="en-US" w:eastAsia="zh-CN"/>
        </w:rPr>
      </w:pPr>
    </w:p>
    <w:p>
      <w:pPr>
        <w:pStyle w:val="3"/>
        <w:bidi w:val="0"/>
      </w:pPr>
      <w:bookmarkStart w:id="84" w:name="_Toc17935"/>
      <w:bookmarkStart w:id="85" w:name="_Toc30013"/>
      <w:r>
        <w:t>四、采矿用地与复垦修复安排</w:t>
      </w:r>
      <w:bookmarkEnd w:id="84"/>
      <w:bookmarkEnd w:id="85"/>
    </w:p>
    <w:bookmarkEnd w:id="80"/>
    <w:bookmarkEnd w:id="81"/>
    <w:bookmarkEnd w:id="82"/>
    <w:bookmarkEnd w:id="83"/>
    <w:p>
      <w:pPr>
        <w:bidi w:val="0"/>
        <w:rPr>
          <w:sz w:val="28"/>
          <w:szCs w:val="28"/>
          <w:shd w:val="clear" w:color="auto" w:fill="FFFFFF"/>
        </w:rPr>
        <w:sectPr>
          <w:footerReference r:id="rId17" w:type="default"/>
          <w:pgSz w:w="11906" w:h="16838"/>
          <w:pgMar w:top="1440" w:right="1080" w:bottom="1440" w:left="1080" w:header="850" w:footer="992" w:gutter="0"/>
          <w:cols w:space="720" w:num="1"/>
          <w:docGrid w:type="lines" w:linePitch="312" w:charSpace="0"/>
        </w:sectPr>
      </w:pPr>
      <w:r>
        <w:rPr>
          <w:rFonts w:hint="eastAsia"/>
        </w:rPr>
        <w:t>项目生态修复目标及土地利用变化表见表3-</w:t>
      </w:r>
      <w:r>
        <w:rPr>
          <w:rFonts w:hint="eastAsia"/>
          <w:lang w:val="en-US" w:eastAsia="zh-CN"/>
        </w:rPr>
        <w:t>16</w:t>
      </w:r>
      <w:r>
        <w:rPr>
          <w:sz w:val="28"/>
          <w:szCs w:val="28"/>
          <w:shd w:val="clear" w:color="auto" w:fill="FFFFFF"/>
        </w:rPr>
        <w:t>。</w:t>
      </w:r>
    </w:p>
    <w:p>
      <w:pPr>
        <w:bidi w:val="0"/>
        <w:rPr>
          <w:rFonts w:hint="default"/>
          <w:sz w:val="28"/>
          <w:szCs w:val="28"/>
          <w:shd w:val="clear" w:color="auto" w:fill="FFFFFF"/>
          <w:lang w:val="en-US" w:eastAsia="zh-CN"/>
        </w:rPr>
      </w:pPr>
    </w:p>
    <w:p>
      <w:pPr>
        <w:pStyle w:val="8"/>
        <w:rPr>
          <w:rFonts w:hint="eastAsia"/>
        </w:rPr>
      </w:pPr>
      <w:r>
        <w:t xml:space="preserve">表 </w:t>
      </w:r>
      <w:r>
        <w:rPr>
          <w:rFonts w:hint="eastAsia"/>
          <w:lang w:val="en-US" w:eastAsia="zh-CN"/>
        </w:rPr>
        <w:t xml:space="preserve">3-17 </w:t>
      </w:r>
      <w:r>
        <w:rPr>
          <w:rFonts w:hint="eastAsia"/>
        </w:rPr>
        <w:t>复垦修复目标及土地利用变化情况表</w:t>
      </w:r>
    </w:p>
    <w:tbl>
      <w:tblPr>
        <w:tblStyle w:val="16"/>
        <w:tblW w:w="137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88"/>
        <w:gridCol w:w="1190"/>
        <w:gridCol w:w="1570"/>
        <w:gridCol w:w="1562"/>
        <w:gridCol w:w="1901"/>
        <w:gridCol w:w="2149"/>
        <w:gridCol w:w="1241"/>
        <w:gridCol w:w="1322"/>
        <w:gridCol w:w="13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2678"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一级地类</w:t>
            </w: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二级地类</w:t>
            </w:r>
          </w:p>
        </w:tc>
        <w:tc>
          <w:tcPr>
            <w:tcW w:w="4050"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损毁前</w:t>
            </w:r>
          </w:p>
        </w:tc>
        <w:tc>
          <w:tcPr>
            <w:tcW w:w="256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复垦修复目标</w:t>
            </w:r>
          </w:p>
        </w:tc>
        <w:tc>
          <w:tcPr>
            <w:tcW w:w="1374"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b/>
                <w:bCs/>
                <w:lang w:val="en-US" w:eastAsia="zh-CN"/>
              </w:rPr>
              <w:t>面积增减（</w:t>
            </w:r>
            <w:r>
              <w:rPr>
                <w:rFonts w:hint="default"/>
                <w:b/>
                <w:bCs/>
                <w:lang w:val="en-US" w:eastAsia="zh-CN"/>
              </w:rPr>
              <w:t>hm</w:t>
            </w:r>
            <w:r>
              <w:rPr>
                <w:rFonts w:hint="default"/>
                <w:b/>
                <w:bCs/>
                <w:vertAlign w:val="superscript"/>
                <w:lang w:val="en-US" w:eastAsia="zh-CN"/>
              </w:rPr>
              <w:t>2</w:t>
            </w:r>
            <w:r>
              <w:rPr>
                <w:rFonts w:hint="eastAsia"/>
                <w:b/>
                <w:bCs/>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48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编码</w:t>
            </w:r>
          </w:p>
        </w:tc>
        <w:tc>
          <w:tcPr>
            <w:tcW w:w="11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名称</w:t>
            </w:r>
          </w:p>
        </w:tc>
        <w:tc>
          <w:tcPr>
            <w:tcW w:w="157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编码</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名称</w:t>
            </w:r>
          </w:p>
        </w:tc>
        <w:tc>
          <w:tcPr>
            <w:tcW w:w="19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面积（</w:t>
            </w:r>
            <w:r>
              <w:rPr>
                <w:rFonts w:hint="default"/>
                <w:b/>
                <w:bCs/>
                <w:lang w:val="en-US" w:eastAsia="zh-CN"/>
              </w:rPr>
              <w:t>hm</w:t>
            </w:r>
            <w:r>
              <w:rPr>
                <w:rFonts w:hint="default"/>
                <w:b/>
                <w:bCs/>
                <w:vertAlign w:val="superscript"/>
                <w:lang w:val="en-US" w:eastAsia="zh-CN"/>
              </w:rPr>
              <w:t>2</w:t>
            </w:r>
            <w:r>
              <w:rPr>
                <w:rFonts w:hint="eastAsia"/>
                <w:b/>
                <w:bCs/>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质量</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面积（</w:t>
            </w:r>
            <w:r>
              <w:rPr>
                <w:rFonts w:hint="default"/>
                <w:b/>
                <w:bCs/>
                <w:lang w:val="en-US" w:eastAsia="zh-CN"/>
              </w:rPr>
              <w:t>hm</w:t>
            </w:r>
            <w:r>
              <w:rPr>
                <w:rFonts w:hint="default"/>
                <w:b/>
                <w:bCs/>
                <w:vertAlign w:val="superscript"/>
                <w:lang w:val="en-US" w:eastAsia="zh-CN"/>
              </w:rPr>
              <w:t>2</w:t>
            </w:r>
            <w:r>
              <w:rPr>
                <w:rFonts w:hint="eastAsia"/>
                <w:b/>
                <w:bCs/>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b/>
                <w:bCs/>
              </w:rPr>
            </w:pPr>
            <w:r>
              <w:rPr>
                <w:rFonts w:hint="eastAsia"/>
                <w:b/>
                <w:bCs/>
                <w:lang w:val="en-US" w:eastAsia="zh-CN"/>
              </w:rPr>
              <w:t>质量</w:t>
            </w:r>
          </w:p>
        </w:tc>
        <w:tc>
          <w:tcPr>
            <w:tcW w:w="1374"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耕地</w:t>
            </w:r>
          </w:p>
        </w:tc>
        <w:tc>
          <w:tcPr>
            <w:tcW w:w="157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0103</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旱地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80</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03</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w:t>
            </w:r>
          </w:p>
        </w:tc>
        <w:tc>
          <w:tcPr>
            <w:tcW w:w="157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0301</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乔木林地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80</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04</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草地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0404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其他草地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default"/>
                <w:lang w:val="en-US" w:eastAsia="zh-CN"/>
              </w:rPr>
              <w:t>80</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06</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工矿仓储用地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0602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采矿用地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10</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交通运输用地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农村道路</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11</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水域及水利设施</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1104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坑塘水面</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12</w:t>
            </w:r>
          </w:p>
        </w:tc>
        <w:tc>
          <w:tcPr>
            <w:tcW w:w="11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其他土地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1207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裸岩石砾地</w:t>
            </w:r>
          </w:p>
        </w:tc>
        <w:tc>
          <w:tcPr>
            <w:tcW w:w="19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31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小计</w:t>
            </w:r>
          </w:p>
        </w:tc>
        <w:tc>
          <w:tcPr>
            <w:tcW w:w="19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10"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合计</w:t>
            </w:r>
          </w:p>
        </w:tc>
        <w:tc>
          <w:tcPr>
            <w:tcW w:w="19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bl>
    <w:p>
      <w:pPr>
        <w:rPr>
          <w:rFonts w:hint="eastAsia"/>
        </w:rPr>
      </w:pPr>
    </w:p>
    <w:p>
      <w:pPr>
        <w:rPr>
          <w:rFonts w:hint="default"/>
          <w:lang w:val="en-US" w:eastAsia="zh-CN"/>
        </w:rPr>
        <w:sectPr>
          <w:pgSz w:w="16838" w:h="11906" w:orient="landscape"/>
          <w:pgMar w:top="1080" w:right="1440" w:bottom="1080" w:left="1440" w:header="850" w:footer="992" w:gutter="0"/>
          <w:cols w:space="720" w:num="1"/>
          <w:docGrid w:type="lines" w:linePitch="312" w:charSpace="0"/>
        </w:sectPr>
      </w:pPr>
    </w:p>
    <w:bookmarkEnd w:id="60"/>
    <w:bookmarkEnd w:id="61"/>
    <w:bookmarkEnd w:id="62"/>
    <w:bookmarkEnd w:id="63"/>
    <w:bookmarkEnd w:id="64"/>
    <w:bookmarkEnd w:id="65"/>
    <w:bookmarkEnd w:id="66"/>
    <w:p>
      <w:pPr>
        <w:pStyle w:val="2"/>
        <w:bidi w:val="0"/>
      </w:pPr>
      <w:bookmarkStart w:id="86" w:name="_Toc8917"/>
      <w:bookmarkStart w:id="87" w:name="_Toc155865969"/>
      <w:bookmarkStart w:id="88" w:name="_Toc911"/>
      <w:bookmarkStart w:id="89" w:name="_Toc22772"/>
      <w:bookmarkStart w:id="90" w:name="_Toc27560"/>
      <w:bookmarkStart w:id="91" w:name="_Toc16677"/>
      <w:bookmarkStart w:id="92" w:name="_Toc3877"/>
      <w:r>
        <w:t>第</w:t>
      </w:r>
      <w:r>
        <w:rPr>
          <w:rFonts w:hint="eastAsia"/>
          <w:lang w:val="en-US" w:eastAsia="zh-CN"/>
        </w:rPr>
        <w:t>四</w:t>
      </w:r>
      <w:r>
        <w:t xml:space="preserve">章 </w:t>
      </w:r>
      <w:bookmarkEnd w:id="86"/>
      <w:bookmarkEnd w:id="87"/>
      <w:bookmarkEnd w:id="88"/>
      <w:bookmarkEnd w:id="89"/>
      <w:r>
        <w:t>生态修复措施与工程内容</w:t>
      </w:r>
      <w:bookmarkEnd w:id="90"/>
    </w:p>
    <w:bookmarkEnd w:id="91"/>
    <w:bookmarkEnd w:id="92"/>
    <w:p>
      <w:pPr>
        <w:pStyle w:val="3"/>
        <w:rPr>
          <w:shd w:val="clear" w:color="auto" w:fill="FFFFFF"/>
        </w:rPr>
      </w:pPr>
      <w:bookmarkStart w:id="93" w:name="_Toc7854"/>
      <w:bookmarkStart w:id="94" w:name="_Toc25876"/>
      <w:bookmarkStart w:id="95" w:name="_Toc5538"/>
      <w:bookmarkStart w:id="96" w:name="_Toc3103"/>
      <w:bookmarkStart w:id="97" w:name="_Toc598"/>
      <w:bookmarkStart w:id="98" w:name="_Toc11128"/>
      <w:r>
        <w:rPr>
          <w:shd w:val="clear" w:color="auto" w:fill="FFFFFF"/>
        </w:rPr>
        <w:t>一、保护与预防控制措施</w:t>
      </w:r>
      <w:bookmarkEnd w:id="93"/>
      <w:bookmarkEnd w:id="94"/>
    </w:p>
    <w:bookmarkEnd w:id="95"/>
    <w:bookmarkEnd w:id="96"/>
    <w:bookmarkEnd w:id="97"/>
    <w:bookmarkEnd w:id="98"/>
    <w:p>
      <w:pPr>
        <w:pStyle w:val="4"/>
        <w:bidi w:val="0"/>
      </w:pPr>
      <w:r>
        <w:t>（一）敏感目标保护</w:t>
      </w:r>
    </w:p>
    <w:p>
      <w:pPr>
        <w:ind w:firstLine="560"/>
        <w:rPr>
          <w:sz w:val="28"/>
          <w:szCs w:val="28"/>
        </w:rPr>
      </w:pPr>
      <w:r>
        <w:rPr>
          <w:sz w:val="28"/>
          <w:szCs w:val="28"/>
        </w:rPr>
        <w:t>预测损毁区内无需要保护的耕地、永久基本农田、公益林、自然保护区、生态保护红线、珍贵物种、人文景观、文物、重要基础设施等敏感目标。矿山生态修复应坚持人与自然和谐共生，坚持尊重自然、顺应自然、保护自然，坚持节约优先、保护优先、自然恢复为主。通过治理可行性研究、生态修复适宜性评价及恢复力分析，在消除胁迫因子后，该矿满足自然恢复条件。</w:t>
      </w:r>
    </w:p>
    <w:p>
      <w:pPr>
        <w:pStyle w:val="4"/>
        <w:bidi w:val="0"/>
      </w:pPr>
      <w:r>
        <w:t>（二）表土剥离与植被移植利用</w:t>
      </w:r>
    </w:p>
    <w:p>
      <w:pPr>
        <w:pStyle w:val="5"/>
        <w:bidi w:val="0"/>
      </w:pPr>
      <w:r>
        <w:t>1.表土剥离</w:t>
      </w:r>
    </w:p>
    <w:p>
      <w:pPr>
        <w:ind w:firstLine="560"/>
        <w:rPr>
          <w:rFonts w:hint="default"/>
          <w:sz w:val="28"/>
          <w:szCs w:val="28"/>
          <w:lang w:val="en-US" w:eastAsia="zh-CN"/>
        </w:rPr>
      </w:pPr>
      <w:r>
        <w:rPr>
          <w:rFonts w:hint="eastAsia"/>
          <w:sz w:val="28"/>
          <w:szCs w:val="28"/>
          <w:lang w:val="en-US" w:eastAsia="zh-CN"/>
        </w:rPr>
        <w:t>矿山在前期生产建设前期表土已基本被破坏，现表土为少量剥离表土以及在周边收集。</w:t>
      </w:r>
    </w:p>
    <w:p>
      <w:pPr>
        <w:pStyle w:val="5"/>
        <w:bidi w:val="0"/>
      </w:pPr>
      <w:r>
        <w:t>2.植被移植利用</w:t>
      </w:r>
    </w:p>
    <w:p>
      <w:pPr>
        <w:ind w:firstLine="560"/>
        <w:rPr>
          <w:sz w:val="28"/>
          <w:szCs w:val="28"/>
        </w:rPr>
      </w:pPr>
      <w:r>
        <w:rPr>
          <w:sz w:val="28"/>
          <w:szCs w:val="28"/>
        </w:rPr>
        <w:t>项目区内不存在需要进行特殊移植利用的地表植物。</w:t>
      </w:r>
    </w:p>
    <w:p>
      <w:pPr>
        <w:pStyle w:val="4"/>
        <w:bidi w:val="0"/>
        <w:rPr>
          <w:rFonts w:hint="eastAsia"/>
        </w:rPr>
      </w:pPr>
      <w:r>
        <w:rPr>
          <w:shd w:val="clear" w:color="auto" w:fill="FFFFFF"/>
        </w:rPr>
        <w:t>（三）相关协同措施</w:t>
      </w:r>
    </w:p>
    <w:p>
      <w:pPr>
        <w:pStyle w:val="5"/>
        <w:bidi w:val="0"/>
      </w:pPr>
      <w:r>
        <w:t>1.地质灾害防治</w:t>
      </w:r>
    </w:p>
    <w:p>
      <w:pPr>
        <w:ind w:firstLine="560"/>
        <w:rPr>
          <w:sz w:val="28"/>
          <w:szCs w:val="28"/>
        </w:rPr>
      </w:pPr>
      <w:r>
        <w:rPr>
          <w:sz w:val="28"/>
          <w:szCs w:val="28"/>
        </w:rPr>
        <w:t>（1）严格按照开发利用方</w:t>
      </w:r>
      <w:r>
        <w:rPr>
          <w:rFonts w:hint="eastAsia"/>
          <w:sz w:val="28"/>
          <w:szCs w:val="28"/>
          <w:lang w:eastAsia="zh-CN"/>
        </w:rPr>
        <w:t>案和</w:t>
      </w:r>
      <w:r>
        <w:rPr>
          <w:sz w:val="28"/>
          <w:szCs w:val="28"/>
        </w:rPr>
        <w:t>采矿工艺进行开采，矿山开采结束后，及时</w:t>
      </w:r>
      <w:r>
        <w:rPr>
          <w:rFonts w:hint="eastAsia"/>
          <w:sz w:val="28"/>
          <w:szCs w:val="28"/>
        </w:rPr>
        <w:t>清理浮石</w:t>
      </w:r>
      <w:r>
        <w:rPr>
          <w:sz w:val="28"/>
          <w:szCs w:val="28"/>
        </w:rPr>
        <w:t>，避免或减少</w:t>
      </w:r>
      <w:r>
        <w:rPr>
          <w:rFonts w:hint="eastAsia"/>
          <w:sz w:val="28"/>
          <w:szCs w:val="28"/>
        </w:rPr>
        <w:t>崩塌</w:t>
      </w:r>
      <w:r>
        <w:rPr>
          <w:sz w:val="28"/>
          <w:szCs w:val="28"/>
        </w:rPr>
        <w:t>的发生；</w:t>
      </w:r>
    </w:p>
    <w:p>
      <w:pPr>
        <w:ind w:firstLine="560"/>
        <w:rPr>
          <w:sz w:val="28"/>
          <w:szCs w:val="28"/>
        </w:rPr>
      </w:pPr>
      <w:r>
        <w:rPr>
          <w:sz w:val="28"/>
          <w:szCs w:val="28"/>
        </w:rPr>
        <w:t>（2）对矿区预测可能发生</w:t>
      </w:r>
      <w:r>
        <w:rPr>
          <w:rFonts w:hint="eastAsia"/>
          <w:sz w:val="28"/>
          <w:szCs w:val="28"/>
        </w:rPr>
        <w:t>崩塌</w:t>
      </w:r>
      <w:r>
        <w:rPr>
          <w:sz w:val="28"/>
          <w:szCs w:val="28"/>
        </w:rPr>
        <w:t>的区域进行监测；</w:t>
      </w:r>
    </w:p>
    <w:p>
      <w:pPr>
        <w:ind w:firstLine="560"/>
        <w:rPr>
          <w:sz w:val="28"/>
          <w:szCs w:val="28"/>
        </w:rPr>
      </w:pPr>
      <w:r>
        <w:rPr>
          <w:sz w:val="28"/>
          <w:szCs w:val="28"/>
        </w:rPr>
        <w:t>（3）在</w:t>
      </w:r>
      <w:r>
        <w:rPr>
          <w:rFonts w:hint="eastAsia"/>
          <w:sz w:val="28"/>
          <w:szCs w:val="28"/>
        </w:rPr>
        <w:t>斜坡</w:t>
      </w:r>
      <w:r>
        <w:rPr>
          <w:rFonts w:hint="eastAsia"/>
          <w:sz w:val="28"/>
          <w:szCs w:val="28"/>
          <w:lang w:eastAsia="zh-CN"/>
        </w:rPr>
        <w:t>顶部</w:t>
      </w:r>
      <w:r>
        <w:rPr>
          <w:sz w:val="28"/>
          <w:szCs w:val="28"/>
        </w:rPr>
        <w:t>设立围栏、警示牌。</w:t>
      </w:r>
    </w:p>
    <w:p>
      <w:pPr>
        <w:pStyle w:val="5"/>
        <w:bidi w:val="0"/>
      </w:pPr>
      <w:r>
        <w:t>2.水土流失综合控制</w:t>
      </w:r>
    </w:p>
    <w:p>
      <w:pPr>
        <w:ind w:firstLine="560"/>
        <w:rPr>
          <w:sz w:val="28"/>
          <w:szCs w:val="28"/>
        </w:rPr>
      </w:pPr>
      <w:r>
        <w:rPr>
          <w:sz w:val="28"/>
          <w:szCs w:val="28"/>
        </w:rPr>
        <w:t>源头控制：对裸露地表</w:t>
      </w:r>
      <w:r>
        <w:rPr>
          <w:rFonts w:hint="eastAsia"/>
          <w:sz w:val="28"/>
          <w:szCs w:val="28"/>
          <w:lang w:eastAsia="zh-CN"/>
        </w:rPr>
        <w:t>及时</w:t>
      </w:r>
      <w:r>
        <w:rPr>
          <w:sz w:val="28"/>
          <w:szCs w:val="28"/>
        </w:rPr>
        <w:t>覆盖防尘网或铺设生态毯，实施临时植草；对松散堆体进行压实、平整。</w:t>
      </w:r>
    </w:p>
    <w:p>
      <w:pPr>
        <w:ind w:firstLine="560"/>
        <w:rPr>
          <w:sz w:val="28"/>
          <w:szCs w:val="28"/>
        </w:rPr>
      </w:pPr>
      <w:r>
        <w:rPr>
          <w:sz w:val="28"/>
          <w:szCs w:val="28"/>
        </w:rPr>
        <w:t>末端治理：在沟道出口设置植被缓冲带或人工湿地，净化径流泥沙。</w:t>
      </w:r>
    </w:p>
    <w:p>
      <w:pPr>
        <w:pStyle w:val="5"/>
        <w:bidi w:val="0"/>
      </w:pPr>
      <w:r>
        <w:t>3.环境污染系统治理</w:t>
      </w:r>
    </w:p>
    <w:p>
      <w:pPr>
        <w:bidi w:val="0"/>
      </w:pPr>
      <w:r>
        <w:rPr>
          <w:rFonts w:hint="eastAsia"/>
          <w:lang w:eastAsia="zh-CN"/>
        </w:rPr>
        <w:t>（1）</w:t>
      </w:r>
      <w:r>
        <w:t>土壤污染修复</w:t>
      </w:r>
    </w:p>
    <w:p>
      <w:pPr>
        <w:pageBreakBefore w:val="0"/>
        <w:kinsoku/>
        <w:overflowPunct/>
        <w:topLinePunct w:val="0"/>
        <w:autoSpaceDE w:val="0"/>
        <w:autoSpaceDN w:val="0"/>
        <w:bidi w:val="0"/>
        <w:adjustRightInd w:val="0"/>
        <w:spacing w:line="360" w:lineRule="auto"/>
        <w:ind w:firstLine="560" w:firstLineChars="200"/>
        <w:jc w:val="left"/>
        <w:rPr>
          <w:rFonts w:hint="eastAsia" w:ascii="宋体" w:hAnsi="宋体" w:eastAsia="宋体" w:cs="宋体"/>
          <w:b w:val="0"/>
          <w:bCs w:val="0"/>
          <w:kern w:val="0"/>
          <w:sz w:val="28"/>
          <w:szCs w:val="28"/>
          <w:lang w:eastAsia="zh-CN"/>
        </w:rPr>
      </w:pPr>
      <w:r>
        <w:rPr>
          <w:rFonts w:hint="eastAsia" w:ascii="宋体" w:hAnsi="宋体" w:eastAsia="宋体" w:cs="宋体"/>
          <w:b w:val="0"/>
          <w:bCs w:val="0"/>
          <w:kern w:val="0"/>
          <w:sz w:val="28"/>
          <w:szCs w:val="28"/>
        </w:rPr>
        <w:t>提高矿山废水综合利用率，减少有毒有害废水排放，防止水土环境污染</w:t>
      </w:r>
      <w:r>
        <w:rPr>
          <w:rFonts w:hint="eastAsia" w:ascii="宋体" w:hAnsi="宋体" w:cs="宋体"/>
          <w:b w:val="0"/>
          <w:bCs w:val="0"/>
          <w:kern w:val="0"/>
          <w:sz w:val="28"/>
          <w:szCs w:val="28"/>
          <w:lang w:eastAsia="zh-CN"/>
        </w:rPr>
        <w:t>。</w:t>
      </w:r>
    </w:p>
    <w:p>
      <w:pPr>
        <w:pageBreakBefore w:val="0"/>
        <w:kinsoku/>
        <w:overflowPunct/>
        <w:topLinePunct w:val="0"/>
        <w:autoSpaceDE w:val="0"/>
        <w:autoSpaceDN w:val="0"/>
        <w:bidi w:val="0"/>
        <w:adjustRightInd w:val="0"/>
        <w:spacing w:line="360" w:lineRule="auto"/>
        <w:ind w:left="0" w:leftChars="0" w:firstLine="0" w:firstLineChars="0"/>
        <w:jc w:val="left"/>
        <w:rPr>
          <w:rFonts w:hint="eastAsia" w:ascii="宋体" w:hAnsi="宋体" w:eastAsia="宋体" w:cs="宋体"/>
          <w:b w:val="0"/>
          <w:bCs w:val="0"/>
          <w:kern w:val="0"/>
          <w:sz w:val="28"/>
          <w:szCs w:val="28"/>
        </w:rPr>
      </w:pPr>
      <w:r>
        <w:rPr>
          <w:rFonts w:hint="eastAsia" w:ascii="宋体" w:hAnsi="宋体" w:eastAsia="宋体" w:cs="宋体"/>
          <w:b w:val="0"/>
          <w:bCs w:val="0"/>
          <w:kern w:val="0"/>
          <w:sz w:val="28"/>
          <w:szCs w:val="28"/>
        </w:rPr>
        <w:t>采取污染源阻断隔离，防止固体废物淋滤液污染地表水、地下水和土壤；</w:t>
      </w:r>
    </w:p>
    <w:p>
      <w:pPr>
        <w:bidi w:val="0"/>
      </w:pPr>
      <w:r>
        <w:rPr>
          <w:rFonts w:hint="eastAsia"/>
          <w:lang w:eastAsia="zh-CN"/>
        </w:rPr>
        <w:t>（2）</w:t>
      </w:r>
      <w:r>
        <w:t>水污染控制</w:t>
      </w:r>
    </w:p>
    <w:p>
      <w:pPr>
        <w:bidi w:val="0"/>
        <w:rPr>
          <w:rFonts w:hint="eastAsia" w:eastAsia="宋体"/>
          <w:lang w:eastAsia="zh-CN"/>
        </w:rPr>
      </w:pPr>
      <w:r>
        <w:rPr>
          <w:rFonts w:hint="eastAsia" w:ascii="宋体" w:hAnsi="宋体" w:eastAsia="宋体" w:cs="宋体"/>
          <w:b w:val="0"/>
          <w:bCs w:val="0"/>
          <w:kern w:val="0"/>
          <w:sz w:val="28"/>
          <w:szCs w:val="28"/>
        </w:rPr>
        <w:t>严格控制生产、生活污水的排放，防止废水污染地下水</w:t>
      </w:r>
      <w:r>
        <w:rPr>
          <w:rFonts w:hint="eastAsia"/>
          <w:lang w:eastAsia="zh-CN"/>
        </w:rPr>
        <w:t>。</w:t>
      </w:r>
    </w:p>
    <w:p>
      <w:pPr>
        <w:pStyle w:val="5"/>
        <w:bidi w:val="0"/>
      </w:pPr>
      <w:r>
        <w:t>4.固体废物资源化利用与安全处置</w:t>
      </w:r>
    </w:p>
    <w:p>
      <w:pPr>
        <w:bidi w:val="0"/>
        <w:rPr>
          <w:rFonts w:hint="eastAsia" w:eastAsia="宋体"/>
          <w:lang w:eastAsia="zh-CN"/>
        </w:rPr>
      </w:pPr>
      <w:r>
        <w:t>将</w:t>
      </w:r>
      <w:r>
        <w:rPr>
          <w:rFonts w:hint="eastAsia"/>
          <w:lang w:val="en-US" w:eastAsia="zh-CN"/>
        </w:rPr>
        <w:t>废</w:t>
      </w:r>
      <w:r>
        <w:t>石用于采空区回填、路基</w:t>
      </w:r>
      <w:r>
        <w:rPr>
          <w:rFonts w:hint="eastAsia"/>
          <w:lang w:val="en-US" w:eastAsia="zh-CN"/>
        </w:rPr>
        <w:t>垫层等</w:t>
      </w:r>
      <w:r>
        <w:rPr>
          <w:rFonts w:hint="eastAsia"/>
          <w:lang w:eastAsia="zh-CN"/>
        </w:rPr>
        <w:t>。</w:t>
      </w:r>
    </w:p>
    <w:p>
      <w:pPr>
        <w:pStyle w:val="5"/>
        <w:bidi w:val="0"/>
      </w:pPr>
      <w:r>
        <w:t>5.已修复区域长效管护机制</w:t>
      </w:r>
    </w:p>
    <w:p>
      <w:pPr>
        <w:ind w:firstLine="560"/>
        <w:rPr>
          <w:sz w:val="28"/>
          <w:szCs w:val="28"/>
        </w:rPr>
      </w:pPr>
      <w:r>
        <w:rPr>
          <w:sz w:val="28"/>
          <w:szCs w:val="28"/>
        </w:rPr>
        <w:t>监测预警：建立覆盖植被生长、土壤质量、水体水质，运用遥感与GIS技术进行动态评估。</w:t>
      </w:r>
    </w:p>
    <w:p>
      <w:pPr>
        <w:ind w:firstLine="560"/>
        <w:rPr>
          <w:sz w:val="28"/>
          <w:szCs w:val="28"/>
        </w:rPr>
      </w:pPr>
      <w:r>
        <w:rPr>
          <w:sz w:val="28"/>
          <w:szCs w:val="28"/>
        </w:rPr>
        <w:t>适应性管理：根据监测数据及时调整管护策略，如补植补种、灌溉抗旱、病虫害防治、设施维护（排水沟清淤、防护网检修）。</w:t>
      </w:r>
    </w:p>
    <w:p>
      <w:pPr>
        <w:ind w:firstLine="560"/>
        <w:rPr>
          <w:sz w:val="28"/>
          <w:szCs w:val="28"/>
        </w:rPr>
      </w:pPr>
      <w:r>
        <w:rPr>
          <w:sz w:val="28"/>
          <w:szCs w:val="28"/>
        </w:rPr>
        <w:t>封育管护：设立围栏、警示牌，禁止放牧、垦殖等干扰活动，促进生态系统自然演替。</w:t>
      </w:r>
    </w:p>
    <w:p>
      <w:pPr>
        <w:pStyle w:val="3"/>
        <w:bidi w:val="0"/>
      </w:pPr>
      <w:bookmarkStart w:id="99" w:name="_Toc5077"/>
      <w:r>
        <w:t>二、修复措施</w:t>
      </w:r>
      <w:bookmarkEnd w:id="99"/>
    </w:p>
    <w:p>
      <w:pPr>
        <w:pStyle w:val="4"/>
        <w:bidi w:val="0"/>
      </w:pPr>
      <w:r>
        <w:t>（一）地貌重塑</w:t>
      </w:r>
    </w:p>
    <w:p>
      <w:pPr>
        <w:pStyle w:val="5"/>
        <w:bidi w:val="0"/>
        <w:rPr>
          <w:rFonts w:hint="default"/>
          <w:lang w:val="en-US" w:eastAsia="zh-CN"/>
        </w:rPr>
      </w:pPr>
      <w:r>
        <w:rPr>
          <w:rFonts w:hint="eastAsia"/>
          <w:lang w:val="en-US" w:eastAsia="zh-CN"/>
        </w:rPr>
        <w:t>1.建筑物拆除</w:t>
      </w:r>
    </w:p>
    <w:p>
      <w:pPr>
        <w:bidi w:val="0"/>
        <w:rPr>
          <w:rFonts w:hint="eastAsia" w:eastAsia="宋体"/>
          <w:lang w:val="en-US" w:eastAsia="zh-CN"/>
        </w:rPr>
      </w:pPr>
      <w:r>
        <w:rPr>
          <w:rFonts w:hint="eastAsia"/>
          <w:lang w:val="en-US" w:eastAsia="zh-CN"/>
        </w:rPr>
        <w:t>对办公室、</w:t>
      </w:r>
      <w:r>
        <w:rPr>
          <w:rFonts w:hint="eastAsia"/>
          <w:lang w:val="iu-Latn-CA"/>
        </w:rPr>
        <w:t>工业广场内的建筑物进行拆除，建筑物占地面积约为</w:t>
      </w:r>
      <w:r>
        <w:rPr>
          <w:rFonts w:hint="eastAsia"/>
          <w:lang w:val="en-US" w:eastAsia="zh-CN"/>
        </w:rPr>
        <w:t>***</w:t>
      </w:r>
      <w:r>
        <w:rPr>
          <w:rFonts w:hint="eastAsia"/>
          <w:lang w:val="iu-Latn-CA"/>
        </w:rPr>
        <w:t>m</w:t>
      </w:r>
      <w:r>
        <w:rPr>
          <w:rFonts w:hint="eastAsia"/>
          <w:vertAlign w:val="superscript"/>
          <w:lang w:val="iu-Latn-CA"/>
        </w:rPr>
        <w:t>2</w:t>
      </w:r>
      <w:r>
        <w:rPr>
          <w:rFonts w:hint="eastAsia"/>
          <w:lang w:val="iu-Latn-CA"/>
        </w:rPr>
        <w:t xml:space="preserve">，建筑平均高度 3m，全部为彩钢结构，将拆除后的彩钢板全部回收利用，因此，本方案不对建筑物拆除进行投资估算；对水泥地面进行投资估算，拆除平均厚度 0.20m，共拆除建筑物垃圾 </w:t>
      </w:r>
      <w:r>
        <w:rPr>
          <w:rFonts w:hint="eastAsia"/>
          <w:lang w:val="en-US" w:eastAsia="zh-CN"/>
        </w:rPr>
        <w:t>37</w:t>
      </w:r>
      <w:r>
        <w:rPr>
          <w:rFonts w:hint="eastAsia"/>
          <w:lang w:val="iu-Latn-CA"/>
        </w:rPr>
        <w:t>m</w:t>
      </w:r>
      <w:r>
        <w:rPr>
          <w:rFonts w:hint="eastAsia"/>
          <w:vertAlign w:val="superscript"/>
          <w:lang w:val="iu-Latn-CA"/>
        </w:rPr>
        <w:t>3</w:t>
      </w:r>
      <w:r>
        <w:rPr>
          <w:rFonts w:hint="eastAsia"/>
          <w:lang w:val="iu-Latn-CA"/>
        </w:rPr>
        <w:t>。</w:t>
      </w:r>
      <w:r>
        <w:rPr>
          <w:rFonts w:hint="eastAsia"/>
          <w:lang w:val="en-US" w:eastAsia="zh-CN"/>
        </w:rPr>
        <w:t>地磅建筑需要拆除混凝土面积约**</w:t>
      </w:r>
      <w:r>
        <w:rPr>
          <w:rFonts w:hint="eastAsia"/>
          <w:lang w:val="iu-Latn-CA"/>
        </w:rPr>
        <w:t>m</w:t>
      </w:r>
      <w:r>
        <w:rPr>
          <w:rFonts w:hint="eastAsia"/>
          <w:vertAlign w:val="superscript"/>
          <w:lang w:val="iu-Latn-CA"/>
        </w:rPr>
        <w:t>2</w:t>
      </w:r>
      <w:r>
        <w:rPr>
          <w:rFonts w:hint="eastAsia"/>
          <w:lang w:val="iu-Latn-CA" w:eastAsia="zh-CN"/>
        </w:rPr>
        <w:t>，</w:t>
      </w:r>
      <w:r>
        <w:rPr>
          <w:rFonts w:hint="eastAsia"/>
          <w:lang w:val="iu-Latn-CA"/>
        </w:rPr>
        <w:t xml:space="preserve">拆除平均厚度 0.20m，拆除建筑物垃圾 </w:t>
      </w:r>
      <w:r>
        <w:rPr>
          <w:rFonts w:hint="eastAsia"/>
          <w:lang w:val="en-US" w:eastAsia="zh-CN"/>
        </w:rPr>
        <w:t>8</w:t>
      </w:r>
      <w:r>
        <w:rPr>
          <w:rFonts w:hint="eastAsia"/>
          <w:lang w:val="iu-Latn-CA"/>
        </w:rPr>
        <w:t>m</w:t>
      </w:r>
      <w:r>
        <w:rPr>
          <w:rFonts w:hint="eastAsia"/>
          <w:vertAlign w:val="superscript"/>
          <w:lang w:val="iu-Latn-CA"/>
        </w:rPr>
        <w:t>3</w:t>
      </w:r>
      <w:r>
        <w:rPr>
          <w:rFonts w:hint="eastAsia"/>
          <w:lang w:val="iu-Latn-CA"/>
        </w:rPr>
        <w:t>。</w:t>
      </w:r>
      <w:r>
        <w:rPr>
          <w:rFonts w:hint="eastAsia"/>
          <w:lang w:val="en-US" w:eastAsia="zh-CN"/>
        </w:rPr>
        <w:t>共计拆除工程量为45</w:t>
      </w:r>
      <w:r>
        <w:rPr>
          <w:rFonts w:hint="eastAsia"/>
          <w:lang w:val="iu-Latn-CA"/>
        </w:rPr>
        <w:t>m</w:t>
      </w:r>
      <w:r>
        <w:rPr>
          <w:rFonts w:hint="eastAsia"/>
          <w:vertAlign w:val="superscript"/>
          <w:lang w:val="iu-Latn-CA"/>
        </w:rPr>
        <w:t>3</w:t>
      </w:r>
      <w:r>
        <w:rPr>
          <w:rFonts w:hint="eastAsia"/>
          <w:vertAlign w:val="baseline"/>
          <w:lang w:val="iu-Latn-CA" w:eastAsia="zh-CN"/>
        </w:rPr>
        <w:t>。</w:t>
      </w:r>
    </w:p>
    <w:p>
      <w:pPr>
        <w:bidi w:val="0"/>
        <w:rPr>
          <w:rFonts w:hint="eastAsia"/>
          <w:lang w:val="iu-Latn-CA"/>
        </w:rPr>
      </w:pPr>
      <w:r>
        <w:rPr>
          <w:rFonts w:hint="eastAsia"/>
          <w:lang w:val="iu-Latn-CA"/>
        </w:rPr>
        <w:t>将所产生的建筑垃圾运至</w:t>
      </w:r>
      <w:r>
        <w:rPr>
          <w:rFonts w:hint="eastAsia"/>
          <w:lang w:val="en-US" w:eastAsia="zh-CN"/>
        </w:rPr>
        <w:t>采坑内</w:t>
      </w:r>
      <w:r>
        <w:rPr>
          <w:rFonts w:hint="eastAsia"/>
          <w:lang w:val="iu-Latn-CA"/>
        </w:rPr>
        <w:t>，运距</w:t>
      </w:r>
      <w:r>
        <w:rPr>
          <w:rFonts w:hint="eastAsia"/>
          <w:lang w:val="en-US" w:eastAsia="zh-CN"/>
        </w:rPr>
        <w:t>400</w:t>
      </w:r>
      <w:r>
        <w:rPr>
          <w:rFonts w:hint="eastAsia"/>
          <w:lang w:val="iu-Latn-CA"/>
        </w:rPr>
        <w:t>m。</w:t>
      </w:r>
    </w:p>
    <w:p>
      <w:pPr>
        <w:pStyle w:val="5"/>
        <w:bidi w:val="0"/>
      </w:pPr>
      <w:r>
        <w:rPr>
          <w:rFonts w:hint="eastAsia"/>
          <w:lang w:val="en-US" w:eastAsia="zh-CN"/>
        </w:rPr>
        <w:t>2.地面清理平整</w:t>
      </w:r>
    </w:p>
    <w:p>
      <w:pPr>
        <w:bidi w:val="0"/>
        <w:rPr>
          <w:rFonts w:hint="default"/>
          <w:vertAlign w:val="baseline"/>
          <w:lang w:val="en-US" w:eastAsia="zh-CN"/>
        </w:rPr>
      </w:pPr>
      <w:r>
        <w:rPr>
          <w:rFonts w:hint="default"/>
          <w:lang w:val="en-US" w:eastAsia="zh-CN"/>
        </w:rPr>
        <w:t>待建筑物拆除之后，采用推土机对工业广场</w:t>
      </w:r>
      <w:r>
        <w:rPr>
          <w:rFonts w:hint="eastAsia"/>
          <w:lang w:val="en-US" w:eastAsia="zh-CN"/>
        </w:rPr>
        <w:t>及影响区</w:t>
      </w:r>
      <w:r>
        <w:rPr>
          <w:rFonts w:hint="default"/>
          <w:lang w:val="en-US" w:eastAsia="zh-CN"/>
        </w:rPr>
        <w:t>地面进行清理平整，削高垫低，使地面平坦，清理平整平均厚度 0.</w:t>
      </w:r>
      <w:r>
        <w:rPr>
          <w:rFonts w:hint="eastAsia"/>
          <w:lang w:val="en-US" w:eastAsia="zh-CN"/>
        </w:rPr>
        <w:t>2</w:t>
      </w:r>
      <w:r>
        <w:rPr>
          <w:rFonts w:hint="default"/>
          <w:lang w:val="en-US" w:eastAsia="zh-CN"/>
        </w:rPr>
        <w:t>0m，清理平整面积 *</w:t>
      </w:r>
      <w:r>
        <w:rPr>
          <w:rFonts w:hint="eastAsia"/>
          <w:lang w:val="en-US" w:eastAsia="zh-CN"/>
        </w:rPr>
        <w:t>.</w:t>
      </w:r>
      <w:r>
        <w:rPr>
          <w:rFonts w:hint="default"/>
          <w:lang w:val="en-US" w:eastAsia="zh-CN"/>
        </w:rPr>
        <w:t>***</w:t>
      </w:r>
      <w:r>
        <w:rPr>
          <w:rFonts w:hint="eastAsia"/>
          <w:lang w:val="en-US" w:eastAsia="zh-CN"/>
        </w:rPr>
        <w:t>*</w:t>
      </w:r>
      <w:r>
        <w:rPr>
          <w:rFonts w:hint="default"/>
          <w:lang w:val="en-US" w:eastAsia="zh-CN"/>
        </w:rPr>
        <w:t>hm</w:t>
      </w:r>
      <w:r>
        <w:rPr>
          <w:rFonts w:hint="default"/>
          <w:vertAlign w:val="superscript"/>
          <w:lang w:val="en-US" w:eastAsia="zh-CN"/>
        </w:rPr>
        <w:t>2</w:t>
      </w:r>
      <w:r>
        <w:rPr>
          <w:rFonts w:hint="default"/>
          <w:lang w:val="en-US" w:eastAsia="zh-CN"/>
        </w:rPr>
        <w:t>，清理平整量为 13652.8m</w:t>
      </w:r>
      <w:r>
        <w:rPr>
          <w:rFonts w:hint="default"/>
          <w:vertAlign w:val="superscript"/>
          <w:lang w:val="en-US" w:eastAsia="zh-CN"/>
        </w:rPr>
        <w:t>3</w:t>
      </w:r>
      <w:r>
        <w:rPr>
          <w:rFonts w:hint="eastAsia"/>
          <w:vertAlign w:val="baseline"/>
          <w:lang w:val="en-US" w:eastAsia="zh-CN"/>
        </w:rPr>
        <w:t>。平整场地后在矿区东侧预留5m宽道路。</w:t>
      </w:r>
    </w:p>
    <w:p>
      <w:pPr>
        <w:pStyle w:val="5"/>
        <w:bidi w:val="0"/>
        <w:rPr>
          <w:rFonts w:hint="eastAsia" w:ascii="Times New Roman" w:hAnsi="Times New Roman" w:cs="Times New Roman"/>
          <w:lang w:val="iu-Latn-CA" w:eastAsia="zh-CN"/>
        </w:rPr>
      </w:pPr>
      <w:r>
        <w:rPr>
          <w:rFonts w:hint="eastAsia" w:ascii="Times New Roman" w:hAnsi="Times New Roman" w:cs="Times New Roman"/>
          <w:lang w:val="en-US" w:eastAsia="zh-CN"/>
        </w:rPr>
        <w:t>3.土地翻耕</w:t>
      </w:r>
    </w:p>
    <w:p>
      <w:pPr>
        <w:bidi w:val="0"/>
        <w:rPr>
          <w:rFonts w:hint="default"/>
          <w:vertAlign w:val="baseline"/>
          <w:lang w:val="en-US" w:eastAsia="zh-CN"/>
        </w:rPr>
      </w:pPr>
      <w:r>
        <w:rPr>
          <w:rFonts w:hint="default"/>
          <w:vertAlign w:val="baseline"/>
          <w:lang w:val="en-US" w:eastAsia="zh-CN"/>
        </w:rPr>
        <w:t>矿区内土壤已经板结，直接恢复植被难以成活，在平整以后，需对地面硬土层进行翻耕平整，翻耕深度不小于30cm，使地面土层疏松，利于植被生长成活。土地翻耕采用拖拉机和三铧犁翻耕，耕地翻耕深度0.3m，土地翻耕面积为</w:t>
      </w:r>
      <w:r>
        <w:rPr>
          <w:rFonts w:hint="eastAsia"/>
          <w:vertAlign w:val="baseline"/>
          <w:lang w:val="en-US" w:eastAsia="zh-CN"/>
        </w:rPr>
        <w:t>复垦为耕地面积</w:t>
      </w:r>
      <w:r>
        <w:rPr>
          <w:rFonts w:hint="default"/>
          <w:vertAlign w:val="baseline"/>
          <w:lang w:val="en-US" w:eastAsia="zh-CN"/>
        </w:rPr>
        <w:t>*.****hm</w:t>
      </w:r>
      <w:r>
        <w:rPr>
          <w:rFonts w:hint="default"/>
          <w:vertAlign w:val="superscript"/>
          <w:lang w:val="en-US" w:eastAsia="zh-CN"/>
        </w:rPr>
        <w:t>2</w:t>
      </w:r>
      <w:r>
        <w:rPr>
          <w:rFonts w:hint="eastAsia"/>
          <w:vertAlign w:val="baseline"/>
          <w:lang w:val="en-US" w:eastAsia="zh-CN"/>
        </w:rPr>
        <w:t>，翻耕工程量为191.4m</w:t>
      </w:r>
      <w:r>
        <w:rPr>
          <w:rFonts w:hint="eastAsia"/>
          <w:vertAlign w:val="superscript"/>
          <w:lang w:val="en-US" w:eastAsia="zh-CN"/>
        </w:rPr>
        <w:t>3</w:t>
      </w:r>
      <w:r>
        <w:rPr>
          <w:rFonts w:hint="eastAsia"/>
        </w:rPr>
        <w:t>。</w:t>
      </w:r>
    </w:p>
    <w:p>
      <w:pPr>
        <w:pStyle w:val="5"/>
        <w:bidi w:val="0"/>
        <w:rPr>
          <w:rFonts w:hint="default"/>
          <w:lang w:val="en-US" w:eastAsia="zh-CN"/>
        </w:rPr>
      </w:pPr>
      <w:r>
        <w:rPr>
          <w:rFonts w:hint="eastAsia"/>
          <w:lang w:val="en-US" w:eastAsia="zh-CN"/>
        </w:rPr>
        <w:t>4.地下预埋涵管</w:t>
      </w:r>
    </w:p>
    <w:p>
      <w:pPr>
        <w:bidi w:val="0"/>
        <w:rPr>
          <w:rFonts w:hint="default" w:eastAsia="宋体"/>
          <w:lang w:val="en-US" w:eastAsia="zh-CN"/>
        </w:rPr>
      </w:pPr>
      <w:bookmarkStart w:id="100" w:name="_Toc28627"/>
      <w:r>
        <w:rPr>
          <w:rFonts w:hint="eastAsia"/>
        </w:rPr>
        <w:t>按照矿产资源开发利用方案与安全设施设计要求，矿山开采完毕后采场底部终了标高为 + 84.65m，低于场外道路标高。为防范采坑基底积水、保障土地复垦成效，于场外道路下埋设排水涵管向外排泄坑内积水，选用 Φ600 钢筋混凝土圆管涵，敷设长度 65m。</w:t>
      </w:r>
    </w:p>
    <w:p>
      <w:pPr>
        <w:pStyle w:val="4"/>
        <w:bidi w:val="0"/>
        <w:rPr>
          <w:rFonts w:hint="eastAsia"/>
          <w:lang w:val="en-US" w:eastAsia="zh-CN"/>
        </w:rPr>
      </w:pPr>
      <w:r>
        <w:rPr>
          <w:rFonts w:hint="eastAsia"/>
        </w:rPr>
        <w:t>（二）土壤重构</w:t>
      </w:r>
      <w:bookmarkEnd w:id="100"/>
    </w:p>
    <w:p>
      <w:pPr>
        <w:pStyle w:val="5"/>
        <w:bidi w:val="0"/>
        <w:rPr>
          <w:rFonts w:hint="eastAsia"/>
          <w:lang w:val="en-US" w:eastAsia="zh-CN"/>
        </w:rPr>
      </w:pPr>
      <w:r>
        <w:rPr>
          <w:rFonts w:hint="eastAsia"/>
          <w:lang w:val="en-US" w:eastAsia="zh-CN"/>
        </w:rPr>
        <w:t>1.表土回覆</w:t>
      </w:r>
    </w:p>
    <w:p>
      <w:pPr>
        <w:bidi w:val="0"/>
        <w:rPr>
          <w:rFonts w:hint="eastAsia"/>
          <w:lang w:val="en-US" w:eastAsia="zh-CN"/>
        </w:rPr>
      </w:pPr>
      <w:r>
        <w:rPr>
          <w:rFonts w:hint="eastAsia"/>
          <w:lang w:val="en-US" w:eastAsia="zh-CN"/>
        </w:rPr>
        <w:t>矿区内平整后的办公区复垦为旱地部分进行覆土，覆土面积*.****hm</w:t>
      </w:r>
      <w:r>
        <w:rPr>
          <w:rFonts w:hint="eastAsia"/>
          <w:vertAlign w:val="superscript"/>
          <w:lang w:val="en-US" w:eastAsia="zh-CN"/>
        </w:rPr>
        <w:t>2</w:t>
      </w:r>
      <w:r>
        <w:rPr>
          <w:rFonts w:hint="eastAsia"/>
          <w:lang w:val="en-US" w:eastAsia="zh-CN"/>
        </w:rPr>
        <w:t>，覆土厚度 0.3m。复垦为林地部分、工业广场、台阶、采掘场基底采用坑穴种植乔木、</w:t>
      </w:r>
      <w:r>
        <w:rPr>
          <w:rFonts w:hint="eastAsia" w:ascii="宋体" w:hAnsi="宋体" w:eastAsia="宋体" w:cs="宋体"/>
          <w:b w:val="0"/>
          <w:bCs w:val="0"/>
          <w:kern w:val="0"/>
          <w:sz w:val="28"/>
          <w:szCs w:val="28"/>
        </w:rPr>
        <w:t>株距：</w:t>
      </w:r>
      <w:r>
        <w:rPr>
          <w:rFonts w:hint="eastAsia" w:ascii="宋体" w:hAnsi="宋体" w:eastAsia="宋体" w:cs="宋体"/>
          <w:b w:val="0"/>
          <w:bCs w:val="0"/>
          <w:kern w:val="0"/>
          <w:sz w:val="28"/>
          <w:szCs w:val="28"/>
          <w:lang w:val="en-US" w:eastAsia="zh-CN"/>
        </w:rPr>
        <w:t>2</w:t>
      </w:r>
      <w:r>
        <w:rPr>
          <w:rFonts w:hint="eastAsia" w:ascii="宋体" w:hAnsi="宋体" w:eastAsia="宋体" w:cs="宋体"/>
          <w:b w:val="0"/>
          <w:bCs w:val="0"/>
          <w:kern w:val="0"/>
          <w:sz w:val="28"/>
          <w:szCs w:val="28"/>
        </w:rPr>
        <w:t>m</w:t>
      </w:r>
      <w:r>
        <w:rPr>
          <w:rFonts w:hint="eastAsia" w:ascii="宋体" w:hAnsi="宋体" w:eastAsia="宋体" w:cs="宋体"/>
          <w:b w:val="0"/>
          <w:bCs w:val="0"/>
          <w:kern w:val="0"/>
          <w:sz w:val="28"/>
          <w:szCs w:val="28"/>
          <w:lang w:val="en-US" w:eastAsia="zh-CN"/>
        </w:rPr>
        <w:t>×2m</w:t>
      </w:r>
      <w:r>
        <w:rPr>
          <w:rFonts w:hint="eastAsia" w:ascii="宋体" w:hAnsi="宋体" w:eastAsia="宋体" w:cs="宋体"/>
          <w:b w:val="0"/>
          <w:bCs w:val="0"/>
          <w:kern w:val="0"/>
          <w:sz w:val="28"/>
          <w:szCs w:val="28"/>
        </w:rPr>
        <w:t>；坑穴：0.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*0.5m</w:t>
      </w:r>
      <w:r>
        <w:rPr>
          <w:rFonts w:hint="eastAsia" w:ascii="宋体" w:hAnsi="宋体" w:eastAsia="宋体" w:cs="宋体"/>
          <w:b w:val="0"/>
          <w:bCs w:val="0"/>
          <w:kern w:val="0"/>
          <w:sz w:val="28"/>
          <w:szCs w:val="28"/>
          <w:lang w:eastAsia="zh-CN"/>
        </w:rPr>
        <w:t>，</w:t>
      </w:r>
      <w:r>
        <w:rPr>
          <w:rFonts w:hint="eastAsia" w:ascii="宋体" w:hAnsi="宋体" w:eastAsia="宋体" w:cs="宋体"/>
          <w:b w:val="0"/>
          <w:bCs w:val="0"/>
          <w:kern w:val="0"/>
          <w:sz w:val="28"/>
          <w:szCs w:val="28"/>
        </w:rPr>
        <w:t>共栽植</w:t>
      </w:r>
      <w:r>
        <w:rPr>
          <w:rFonts w:hint="eastAsia"/>
          <w:lang w:val="en-US" w:eastAsia="zh-CN"/>
        </w:rPr>
        <w:t>18162棵。边坡坡脚及台阶处开挖沟槽，种植攀藤植物，沟槽规格 20cm×10cm。沟槽内换填腐殖土，撒播爬山虎种子。需要种植攀藤的边坡长度为 2067m。影响区边坡较缓部分覆土撒播草籽复垦为草地，覆土厚度10cm。共需要表土2412.9m³。</w:t>
      </w:r>
    </w:p>
    <w:p>
      <w:pPr>
        <w:pStyle w:val="8"/>
      </w:pPr>
      <w:r>
        <w:t xml:space="preserve">表 </w:t>
      </w:r>
      <w:r>
        <w:rPr>
          <w:rFonts w:hint="eastAsia"/>
          <w:lang w:val="en-US" w:eastAsia="zh-CN"/>
        </w:rPr>
        <w:t xml:space="preserve">4-1 </w:t>
      </w:r>
      <w:r>
        <w:rPr>
          <w:rFonts w:hint="eastAsia"/>
        </w:rPr>
        <w:t>项目区植被恢复所需的覆土量</w:t>
      </w:r>
    </w:p>
    <w:tbl>
      <w:tblPr>
        <w:tblStyle w:val="16"/>
        <w:tblW w:w="94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1"/>
        <w:gridCol w:w="2462"/>
        <w:gridCol w:w="2374"/>
        <w:gridCol w:w="2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项目名称</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回覆表土面积（hm</w:t>
            </w:r>
            <w:r>
              <w:rPr>
                <w:rFonts w:hint="eastAsia"/>
                <w:vertAlign w:val="superscript"/>
                <w:lang w:val="en-US" w:eastAsia="zh-CN"/>
              </w:rPr>
              <w:t>2</w:t>
            </w: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回覆表土厚度（m）</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回覆表土量（m</w:t>
            </w:r>
            <w:r>
              <w:rPr>
                <w:rFonts w:hint="eastAsia"/>
                <w:vertAlign w:val="superscript"/>
                <w:lang w:val="en-US" w:eastAsia="zh-CN"/>
              </w:rPr>
              <w:t>3</w:t>
            </w: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办公室（耕地）覆土为耕地</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191.4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台阶、采掘场基底、办公室、办公室（林地）、工业广场穴栽樟子松</w:t>
            </w:r>
          </w:p>
        </w:tc>
        <w:tc>
          <w:tcPr>
            <w:tcW w:w="48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株距：2m×2m；坑穴：0.4*0.4*0.5m共栽植18162棵。</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1452.96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rPr>
            </w:pPr>
            <w:r>
              <w:rPr>
                <w:rFonts w:hint="eastAsia"/>
                <w:lang w:val="en-US" w:eastAsia="zh-CN"/>
              </w:rPr>
              <w:t>影响区边坡</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0.1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727.2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边坡种植爬山虎</w:t>
            </w:r>
          </w:p>
        </w:tc>
        <w:tc>
          <w:tcPr>
            <w:tcW w:w="4836"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沟槽规格：0.2m×0.1m。长度2067米。</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41.34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合 计</w:t>
            </w:r>
          </w:p>
        </w:tc>
        <w:tc>
          <w:tcPr>
            <w:tcW w:w="6977"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w:t>
            </w:r>
          </w:p>
        </w:tc>
      </w:tr>
    </w:tbl>
    <w:p>
      <w:pPr>
        <w:bidi w:val="0"/>
        <w:rPr>
          <w:rFonts w:hint="default"/>
          <w:lang w:val="en-US" w:eastAsia="zh-CN"/>
        </w:rPr>
      </w:pPr>
    </w:p>
    <w:p>
      <w:pPr>
        <w:pStyle w:val="5"/>
        <w:bidi w:val="0"/>
        <w:rPr>
          <w:rFonts w:hint="eastAsia"/>
          <w:lang w:val="en-US" w:eastAsia="zh-CN"/>
        </w:rPr>
      </w:pPr>
      <w:r>
        <w:rPr>
          <w:rFonts w:hint="eastAsia"/>
          <w:vertAlign w:val="baseline"/>
          <w:lang w:val="en-US" w:eastAsia="zh-CN"/>
        </w:rPr>
        <w:t>2.</w:t>
      </w:r>
      <w:r>
        <w:rPr>
          <w:rFonts w:hint="eastAsia"/>
          <w:lang w:val="en-US" w:eastAsia="zh-CN"/>
        </w:rPr>
        <w:t>表土运输</w:t>
      </w:r>
    </w:p>
    <w:p>
      <w:pPr>
        <w:rPr>
          <w:rFonts w:hint="default"/>
          <w:lang w:val="en-US" w:eastAsia="zh-CN"/>
        </w:rPr>
      </w:pPr>
      <w:r>
        <w:rPr>
          <w:rFonts w:hint="eastAsia"/>
          <w:lang w:val="en-US" w:eastAsia="zh-CN"/>
        </w:rPr>
        <w:t>矿山闭坑后将排土场表土运送至影响区、工业广场以及坑底区域，采用拖式铲运机运送，平均运距为300m。</w:t>
      </w:r>
    </w:p>
    <w:p>
      <w:pPr>
        <w:pStyle w:val="4"/>
        <w:bidi w:val="0"/>
      </w:pPr>
      <w:r>
        <w:t>（三）植被重建</w:t>
      </w:r>
    </w:p>
    <w:p>
      <w:pPr>
        <w:pStyle w:val="5"/>
        <w:bidi w:val="0"/>
        <w:rPr>
          <w:rFonts w:hint="default"/>
          <w:lang w:val="en-US" w:eastAsia="zh-CN"/>
        </w:rPr>
      </w:pPr>
      <w:r>
        <w:rPr>
          <w:rFonts w:hint="eastAsia"/>
          <w:lang w:val="en-US" w:eastAsia="zh-CN"/>
        </w:rPr>
        <w:t>1.植树工程</w:t>
      </w:r>
    </w:p>
    <w:p>
      <w:pPr>
        <w:bidi w:val="0"/>
        <w:rPr>
          <w:rFonts w:hint="default"/>
          <w:lang w:val="en-US" w:eastAsia="zh-CN"/>
        </w:rPr>
      </w:pPr>
      <w:r>
        <w:rPr>
          <w:rFonts w:hint="eastAsia"/>
          <w:lang w:val="en-US" w:eastAsia="zh-CN"/>
        </w:rPr>
        <w:t xml:space="preserve">场地平整后对复垦为林地部分、工业广场、台阶、采掘场基底面积共7.2647采用取坑穴种植乔木，乔木选择抗严寒、耐干旱和喜光的樟子松，樟子松选用高0.8—1.0m 的容器苗，带土球。植树技术要求：樟子松株、行距为 2.0×2.0m，树穴长、宽、深为 </w:t>
      </w:r>
      <w:r>
        <w:rPr>
          <w:rFonts w:hint="eastAsia" w:ascii="宋体" w:hAnsi="宋体" w:eastAsia="宋体" w:cs="宋体"/>
          <w:b w:val="0"/>
          <w:bCs w:val="0"/>
          <w:kern w:val="0"/>
          <w:sz w:val="28"/>
          <w:szCs w:val="28"/>
        </w:rPr>
        <w:t>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w:t>
      </w:r>
      <w:r>
        <w:rPr>
          <w:rFonts w:hint="eastAsia" w:ascii="宋体" w:hAnsi="宋体" w:eastAsia="宋体" w:cs="宋体"/>
          <w:b w:val="0"/>
          <w:bCs w:val="0"/>
          <w:kern w:val="0"/>
          <w:sz w:val="28"/>
          <w:szCs w:val="28"/>
          <w:lang w:val="en-US" w:eastAsia="zh-CN"/>
        </w:rPr>
        <w:t>4</w:t>
      </w:r>
      <w:r>
        <w:rPr>
          <w:rFonts w:hint="eastAsia" w:ascii="宋体" w:hAnsi="宋体" w:eastAsia="宋体" w:cs="宋体"/>
          <w:b w:val="0"/>
          <w:bCs w:val="0"/>
          <w:kern w:val="0"/>
          <w:sz w:val="28"/>
          <w:szCs w:val="28"/>
        </w:rPr>
        <w:t>*0.5m</w:t>
      </w:r>
      <w:r>
        <w:rPr>
          <w:rFonts w:hint="eastAsia"/>
          <w:lang w:val="en-US" w:eastAsia="zh-CN"/>
        </w:rPr>
        <w:t>，土球直径 20cm—30cm带土球</w:t>
      </w:r>
      <w:r>
        <w:rPr>
          <w:rFonts w:hint="eastAsia" w:ascii="宋体" w:hAnsi="宋体" w:eastAsia="宋体" w:cs="宋体"/>
          <w:b w:val="0"/>
          <w:bCs w:val="0"/>
          <w:kern w:val="0"/>
          <w:sz w:val="28"/>
          <w:szCs w:val="28"/>
          <w:lang w:eastAsia="zh-CN"/>
        </w:rPr>
        <w:t>，</w:t>
      </w:r>
      <w:r>
        <w:rPr>
          <w:rFonts w:hint="eastAsia" w:ascii="宋体" w:hAnsi="宋体" w:eastAsia="宋体" w:cs="宋体"/>
          <w:b w:val="0"/>
          <w:bCs w:val="0"/>
          <w:kern w:val="0"/>
          <w:sz w:val="28"/>
          <w:szCs w:val="28"/>
        </w:rPr>
        <w:t>共栽植</w:t>
      </w:r>
      <w:r>
        <w:rPr>
          <w:rFonts w:hint="eastAsia" w:ascii="宋体" w:hAnsi="宋体" w:cs="宋体"/>
          <w:b w:val="0"/>
          <w:bCs w:val="0"/>
          <w:kern w:val="0"/>
          <w:sz w:val="28"/>
          <w:szCs w:val="28"/>
          <w:lang w:val="en-US" w:eastAsia="zh-CN"/>
        </w:rPr>
        <w:t>18162棵</w:t>
      </w:r>
      <w:r>
        <w:rPr>
          <w:rFonts w:hint="eastAsia"/>
          <w:lang w:val="en-US" w:eastAsia="zh-CN"/>
        </w:rPr>
        <w:t>。</w:t>
      </w:r>
    </w:p>
    <w:p>
      <w:pPr>
        <w:pStyle w:val="5"/>
        <w:bidi w:val="0"/>
        <w:rPr>
          <w:rFonts w:hint="eastAsia"/>
          <w:lang w:val="en-US" w:eastAsia="zh-CN"/>
        </w:rPr>
      </w:pPr>
      <w:r>
        <w:rPr>
          <w:rFonts w:hint="eastAsia"/>
          <w:lang w:val="en-US" w:eastAsia="zh-CN"/>
        </w:rPr>
        <w:t>2.栽植爬山虎</w:t>
      </w:r>
    </w:p>
    <w:p>
      <w:pPr>
        <w:rPr>
          <w:rFonts w:hint="eastAsia"/>
          <w:lang w:val="en-US" w:eastAsia="zh-CN"/>
        </w:rPr>
      </w:pPr>
      <w:r>
        <w:rPr>
          <w:rFonts w:hint="eastAsia"/>
          <w:lang w:val="en-US" w:eastAsia="zh-CN"/>
        </w:rPr>
        <w:t>边坡坡脚及台阶处开挖沟槽，种植攀藤植物，沟槽规格 20cm×10cm。沟槽内换填腐殖土，撒播爬山虎种，需要种植攀藤的边坡长度为 2067m，面积为*.*****hm</w:t>
      </w:r>
      <w:r>
        <w:rPr>
          <w:rFonts w:hint="eastAsia"/>
          <w:vertAlign w:val="superscript"/>
          <w:lang w:val="en-US" w:eastAsia="zh-CN"/>
        </w:rPr>
        <w:t>2</w:t>
      </w:r>
      <w:r>
        <w:rPr>
          <w:rFonts w:hint="eastAsia"/>
          <w:lang w:val="en-US" w:eastAsia="zh-CN"/>
        </w:rPr>
        <w:t>，</w:t>
      </w:r>
      <w:r>
        <w:rPr>
          <w:rFonts w:hint="default"/>
          <w:lang w:val="en-US" w:eastAsia="zh-CN"/>
        </w:rPr>
        <w:t>每公顷</w:t>
      </w:r>
      <w:r>
        <w:rPr>
          <w:rFonts w:hint="eastAsia"/>
          <w:lang w:val="en-US" w:eastAsia="zh-CN"/>
        </w:rPr>
        <w:t>条播爬山虎种子</w:t>
      </w:r>
      <w:r>
        <w:rPr>
          <w:rFonts w:hint="default"/>
          <w:lang w:val="en-US" w:eastAsia="zh-CN"/>
        </w:rPr>
        <w:t xml:space="preserve"> </w:t>
      </w:r>
      <w:r>
        <w:rPr>
          <w:rFonts w:hint="eastAsia"/>
          <w:lang w:val="en-US" w:eastAsia="zh-CN"/>
        </w:rPr>
        <w:t>6</w:t>
      </w:r>
      <w:r>
        <w:rPr>
          <w:rFonts w:hint="default"/>
          <w:lang w:val="en-US" w:eastAsia="zh-CN"/>
        </w:rPr>
        <w:t>0kg。</w:t>
      </w:r>
    </w:p>
    <w:p>
      <w:pPr>
        <w:pStyle w:val="5"/>
        <w:bidi w:val="0"/>
        <w:rPr>
          <w:rFonts w:hint="eastAsia"/>
          <w:lang w:val="en-US" w:eastAsia="zh-CN"/>
        </w:rPr>
      </w:pPr>
      <w:r>
        <w:rPr>
          <w:rFonts w:hint="eastAsia"/>
          <w:lang w:val="en-US" w:eastAsia="zh-CN"/>
        </w:rPr>
        <w:t>3.</w:t>
      </w:r>
      <w:r>
        <w:rPr>
          <w:rFonts w:hint="default"/>
          <w:lang w:val="en-US" w:eastAsia="zh-CN"/>
        </w:rPr>
        <w:t>草地恢复</w:t>
      </w:r>
    </w:p>
    <w:p>
      <w:pPr>
        <w:rPr>
          <w:rFonts w:hint="default"/>
          <w:lang w:val="en-US" w:eastAsia="zh-CN"/>
        </w:rPr>
      </w:pPr>
      <w:r>
        <w:rPr>
          <w:rFonts w:hint="default"/>
          <w:lang w:val="en-US" w:eastAsia="zh-CN"/>
        </w:rPr>
        <w:t>草地恢复以播撒草籽为主，需播撒草籽来保持土壤肥力，而且能改良土壤，防止水土冲刷，从投资和环境保护两方面考虑，选用纯净度为 98%，发芽率为90%，含水量 0.1%的紫羊茅草籽以直播种草的方式进行草地恢复，恢复面积为****</w:t>
      </w:r>
      <w:r>
        <w:rPr>
          <w:rFonts w:hint="eastAsia"/>
          <w:lang w:val="en-US" w:eastAsia="zh-CN"/>
        </w:rPr>
        <w:t>hm</w:t>
      </w:r>
      <w:r>
        <w:rPr>
          <w:rFonts w:hint="eastAsia"/>
          <w:vertAlign w:val="superscript"/>
          <w:lang w:val="en-US" w:eastAsia="zh-CN"/>
        </w:rPr>
        <w:t>2</w:t>
      </w:r>
      <w:r>
        <w:rPr>
          <w:rFonts w:hint="default"/>
          <w:lang w:val="en-US" w:eastAsia="zh-CN"/>
        </w:rPr>
        <w:t xml:space="preserve">，每公顷播撒草籽 </w:t>
      </w:r>
      <w:r>
        <w:rPr>
          <w:rFonts w:hint="eastAsia"/>
          <w:lang w:val="en-US" w:eastAsia="zh-CN"/>
        </w:rPr>
        <w:t>6</w:t>
      </w:r>
      <w:r>
        <w:rPr>
          <w:rFonts w:hint="default"/>
          <w:lang w:val="en-US" w:eastAsia="zh-CN"/>
        </w:rPr>
        <w:t>0kg。</w:t>
      </w:r>
    </w:p>
    <w:p>
      <w:pPr>
        <w:pStyle w:val="4"/>
        <w:widowControl/>
        <w:textAlignment w:val="center"/>
      </w:pPr>
      <w:r>
        <w:t>（四）景观营建</w:t>
      </w:r>
    </w:p>
    <w:p>
      <w:pPr>
        <w:pStyle w:val="5"/>
        <w:bidi w:val="0"/>
      </w:pPr>
      <w:r>
        <w:rPr>
          <w:rFonts w:hint="eastAsia"/>
        </w:rPr>
        <w:t>1</w:t>
      </w:r>
      <w:r>
        <w:rPr>
          <w:rFonts w:hint="eastAsia"/>
          <w:lang w:val="en-US" w:eastAsia="zh-CN"/>
        </w:rPr>
        <w:t>.</w:t>
      </w:r>
      <w:r>
        <w:rPr>
          <w:rFonts w:hint="eastAsia"/>
        </w:rPr>
        <w:t>警示牌</w:t>
      </w:r>
    </w:p>
    <w:p>
      <w:pPr>
        <w:ind w:firstLine="560"/>
        <w:rPr>
          <w:sz w:val="28"/>
          <w:szCs w:val="28"/>
        </w:rPr>
      </w:pPr>
      <w:r>
        <w:rPr>
          <w:rFonts w:hint="eastAsia"/>
          <w:sz w:val="28"/>
          <w:szCs w:val="28"/>
        </w:rPr>
        <w:t>为防止矿山附近农业生产人员误入采场从而引发危险，设计在</w:t>
      </w:r>
      <w:r>
        <w:rPr>
          <w:rFonts w:hint="eastAsia"/>
          <w:sz w:val="28"/>
          <w:szCs w:val="28"/>
          <w:lang w:val="en-US" w:eastAsia="zh-CN"/>
        </w:rPr>
        <w:t>西</w:t>
      </w:r>
      <w:r>
        <w:rPr>
          <w:rFonts w:hint="eastAsia"/>
          <w:sz w:val="28"/>
          <w:szCs w:val="28"/>
        </w:rPr>
        <w:t>侧高陡边坡处设立警示牌，长</w:t>
      </w:r>
      <w:r>
        <w:rPr>
          <w:rFonts w:hint="eastAsia"/>
          <w:sz w:val="28"/>
          <w:szCs w:val="28"/>
          <w:lang w:val="en-US" w:eastAsia="zh-CN"/>
        </w:rPr>
        <w:t>约1000</w:t>
      </w:r>
      <w:r>
        <w:rPr>
          <w:rFonts w:hint="eastAsia"/>
          <w:sz w:val="28"/>
          <w:szCs w:val="28"/>
        </w:rPr>
        <w:t xml:space="preserve">m，每隔约 </w:t>
      </w:r>
      <w:r>
        <w:rPr>
          <w:rFonts w:hint="eastAsia"/>
          <w:sz w:val="28"/>
          <w:szCs w:val="28"/>
          <w:lang w:val="en-US" w:eastAsia="zh-CN"/>
        </w:rPr>
        <w:t>100</w:t>
      </w:r>
      <w:r>
        <w:rPr>
          <w:rFonts w:hint="eastAsia"/>
          <w:sz w:val="28"/>
          <w:szCs w:val="28"/>
        </w:rPr>
        <w:t xml:space="preserve">m 设一个警示牌，需设 </w:t>
      </w:r>
      <w:r>
        <w:rPr>
          <w:rFonts w:hint="eastAsia"/>
          <w:sz w:val="28"/>
          <w:szCs w:val="28"/>
          <w:lang w:val="en-US" w:eastAsia="zh-CN"/>
        </w:rPr>
        <w:t>10</w:t>
      </w:r>
      <w:r>
        <w:rPr>
          <w:rFonts w:hint="eastAsia"/>
          <w:sz w:val="28"/>
          <w:szCs w:val="28"/>
        </w:rPr>
        <w:t>个警示牌。施工方法主要为人工安装。</w:t>
      </w:r>
    </w:p>
    <w:p>
      <w:pPr>
        <w:pStyle w:val="5"/>
        <w:bidi w:val="0"/>
        <w:rPr>
          <w:rFonts w:hint="default"/>
          <w:lang w:val="en-US" w:eastAsia="zh-CN"/>
        </w:rPr>
      </w:pPr>
      <w:r>
        <w:rPr>
          <w:rFonts w:hint="eastAsia"/>
          <w:lang w:val="en-US" w:eastAsia="zh-CN"/>
        </w:rPr>
        <w:t>2.围栏</w:t>
      </w:r>
    </w:p>
    <w:p>
      <w:pPr>
        <w:ind w:firstLine="560"/>
        <w:rPr>
          <w:rFonts w:hint="eastAsia"/>
          <w:sz w:val="28"/>
          <w:szCs w:val="28"/>
          <w:lang w:val="en-US" w:eastAsia="zh-CN"/>
        </w:rPr>
      </w:pPr>
      <w:r>
        <w:rPr>
          <w:rFonts w:hint="eastAsia"/>
          <w:sz w:val="28"/>
          <w:szCs w:val="28"/>
        </w:rPr>
        <w:t>露天采场高差</w:t>
      </w:r>
      <w:r>
        <w:rPr>
          <w:rFonts w:hint="eastAsia"/>
          <w:sz w:val="28"/>
          <w:szCs w:val="28"/>
          <w:lang w:val="en-US" w:eastAsia="zh-CN"/>
        </w:rPr>
        <w:t>较大</w:t>
      </w:r>
      <w:r>
        <w:rPr>
          <w:rFonts w:hint="eastAsia"/>
          <w:sz w:val="28"/>
          <w:szCs w:val="28"/>
        </w:rPr>
        <w:t>，为防止矿区附近的居民、牲畜进入露天采场从而引起危险，在露天采场部分陡坎处设置围栏。</w:t>
      </w:r>
      <w:r>
        <w:rPr>
          <w:rFonts w:hint="eastAsia"/>
          <w:sz w:val="28"/>
          <w:szCs w:val="28"/>
          <w:lang w:val="en-US" w:eastAsia="zh-CN"/>
        </w:rPr>
        <w:t>长度约1194米。</w:t>
      </w:r>
    </w:p>
    <w:p>
      <w:pPr>
        <w:pStyle w:val="3"/>
      </w:pPr>
      <w:bookmarkStart w:id="101" w:name="_Toc23721"/>
      <w:bookmarkStart w:id="102" w:name="_Toc32335"/>
      <w:bookmarkStart w:id="103" w:name="_Toc29071"/>
      <w:bookmarkStart w:id="104" w:name="_Toc21673"/>
      <w:r>
        <w:t>三、工程内容</w:t>
      </w:r>
      <w:bookmarkEnd w:id="101"/>
    </w:p>
    <w:p>
      <w:pPr>
        <w:ind w:firstLine="560"/>
        <w:rPr>
          <w:sz w:val="28"/>
          <w:szCs w:val="28"/>
        </w:rPr>
      </w:pPr>
      <w:r>
        <w:rPr>
          <w:sz w:val="28"/>
          <w:szCs w:val="28"/>
        </w:rPr>
        <w:t>各修复单元采取的地貌重塑、土壤重构、植被重建的主要工程详见表</w:t>
      </w:r>
      <w:r>
        <w:rPr>
          <w:rFonts w:hint="eastAsia"/>
          <w:sz w:val="28"/>
          <w:szCs w:val="28"/>
          <w:lang w:val="en-US" w:eastAsia="zh-CN"/>
        </w:rPr>
        <w:t>4-1</w:t>
      </w:r>
      <w:r>
        <w:rPr>
          <w:sz w:val="28"/>
          <w:szCs w:val="28"/>
        </w:rPr>
        <w:t>。</w:t>
      </w:r>
    </w:p>
    <w:p>
      <w:pPr>
        <w:pStyle w:val="8"/>
        <w:rPr>
          <w:rFonts w:hint="default" w:eastAsia="黑体"/>
          <w:lang w:val="en-US" w:eastAsia="zh-CN"/>
        </w:rPr>
      </w:pPr>
      <w:r>
        <w:t xml:space="preserve">表 </w:t>
      </w:r>
      <w:r>
        <w:rPr>
          <w:rFonts w:hint="eastAsia"/>
          <w:lang w:val="en-US" w:eastAsia="zh-CN"/>
        </w:rPr>
        <w:t>4-2 主要工程统计表</w:t>
      </w:r>
    </w:p>
    <w:tbl>
      <w:tblPr>
        <w:tblStyle w:val="1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8"/>
        <w:gridCol w:w="2569"/>
        <w:gridCol w:w="1078"/>
        <w:gridCol w:w="1544"/>
        <w:gridCol w:w="36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工程名称</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工程量</w:t>
            </w: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eastAsia="宋体"/>
                <w:lang w:val="en-US" w:eastAsia="zh-CN"/>
              </w:rPr>
            </w:pPr>
            <w:r>
              <w:rPr>
                <w:rFonts w:hint="eastAsia"/>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地貌重塑工程</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建筑物拆除</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45</w:t>
            </w: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建筑垃圾清运</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45</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场内运输运距</w:t>
            </w:r>
            <w:r>
              <w:rPr>
                <w:rFonts w:hint="default"/>
                <w:lang w:val="en-US" w:eastAsia="zh-CN"/>
              </w:rPr>
              <w:t>400m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地面清理平整</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13652.8</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平均平整</w:t>
            </w:r>
            <w:r>
              <w:rPr>
                <w:rFonts w:hint="default"/>
                <w:lang w:val="en-US" w:eastAsia="zh-CN"/>
              </w:rPr>
              <w:t>20cm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翻耕工程</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191.4</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翻耕深度</w:t>
            </w:r>
            <w:r>
              <w:rPr>
                <w:rFonts w:hint="default"/>
                <w:lang w:val="en-US" w:eastAsia="zh-CN"/>
              </w:rPr>
              <w:t>30cm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土壤重构</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表土回覆</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eastAsia"/>
                <w:lang w:val="en-US" w:eastAsia="zh-CN"/>
              </w:rPr>
              <w:t>2412.9</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表土运输</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r>
              <w:rPr>
                <w:vertAlign w:val="superscript"/>
                <w:lang w:val="en-US" w:eastAsia="zh-CN"/>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eastAsia"/>
                <w:lang w:val="en-US" w:eastAsia="zh-CN"/>
              </w:rPr>
              <w:t>2412.9</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运距</w:t>
            </w:r>
            <w:r>
              <w:rPr>
                <w:rFonts w:hint="default"/>
                <w:lang w:val="en-US" w:eastAsia="zh-CN"/>
              </w:rPr>
              <w:t>300m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植被重建</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植树工程</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株</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eastAsia"/>
                <w:lang w:val="en-US" w:eastAsia="zh-CN"/>
              </w:rPr>
              <w:t>18162</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穴栽樟子松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栽植爬山虎</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hm</w:t>
            </w:r>
            <w:r>
              <w:rPr>
                <w:rFonts w:hint="eastAsia"/>
                <w:vertAlign w:val="superscript"/>
                <w:lang w:val="en-US" w:eastAsia="zh-CN"/>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18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开槽条播爬山虎种子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草地恢复</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hm</w:t>
            </w:r>
            <w:r>
              <w:rPr>
                <w:rFonts w:hint="eastAsia"/>
                <w:vertAlign w:val="superscript"/>
                <w:lang w:val="en-US" w:eastAsia="zh-CN"/>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撒播草籽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景观营建</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警示牌</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个</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10</w:t>
            </w: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1289"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围栏</w:t>
            </w:r>
          </w:p>
        </w:tc>
        <w:tc>
          <w:tcPr>
            <w:tcW w:w="541"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m</w:t>
            </w:r>
          </w:p>
        </w:tc>
        <w:tc>
          <w:tcPr>
            <w:tcW w:w="775"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eastAsia"/>
                <w:lang w:val="en-US" w:eastAsia="zh-CN"/>
              </w:rPr>
              <w:t>1194</w:t>
            </w:r>
          </w:p>
        </w:tc>
        <w:tc>
          <w:tcPr>
            <w:tcW w:w="18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bl>
    <w:p/>
    <w:p>
      <w:pPr>
        <w:pStyle w:val="2"/>
        <w:spacing w:before="0" w:after="0" w:line="360" w:lineRule="auto"/>
        <w:ind w:firstLine="0" w:firstLineChars="0"/>
        <w:jc w:val="center"/>
        <w:rPr>
          <w:sz w:val="28"/>
          <w:szCs w:val="28"/>
        </w:rPr>
        <w:sectPr>
          <w:pgSz w:w="11906" w:h="16838"/>
          <w:pgMar w:top="1440" w:right="1080" w:bottom="1440" w:left="1080" w:header="851" w:footer="992" w:gutter="0"/>
          <w:cols w:space="720" w:num="1"/>
          <w:docGrid w:type="lines" w:linePitch="336" w:charSpace="0"/>
        </w:sectPr>
      </w:pPr>
    </w:p>
    <w:p>
      <w:pPr>
        <w:pStyle w:val="2"/>
        <w:bidi w:val="0"/>
      </w:pPr>
      <w:bookmarkStart w:id="105" w:name="_Toc3476"/>
      <w:bookmarkStart w:id="106" w:name="_Toc27842"/>
      <w:bookmarkStart w:id="107" w:name="_Toc20611"/>
      <w:bookmarkStart w:id="108" w:name="_Toc11134"/>
      <w:bookmarkStart w:id="109" w:name="_Toc155865971"/>
      <w:r>
        <w:t>第</w:t>
      </w:r>
      <w:r>
        <w:rPr>
          <w:rFonts w:hint="eastAsia"/>
          <w:lang w:val="en-US" w:eastAsia="zh-CN"/>
        </w:rPr>
        <w:t>五</w:t>
      </w:r>
      <w:r>
        <w:t>章 监测与管护</w:t>
      </w:r>
      <w:bookmarkEnd w:id="105"/>
      <w:bookmarkEnd w:id="106"/>
      <w:bookmarkEnd w:id="107"/>
      <w:bookmarkEnd w:id="108"/>
      <w:bookmarkEnd w:id="109"/>
    </w:p>
    <w:p>
      <w:pPr>
        <w:pStyle w:val="3"/>
        <w:bidi w:val="0"/>
      </w:pPr>
      <w:bookmarkStart w:id="110" w:name="_Toc9406"/>
      <w:bookmarkStart w:id="111" w:name="_Toc29790"/>
      <w:r>
        <w:t>一、监测目标与措施</w:t>
      </w:r>
      <w:bookmarkEnd w:id="110"/>
      <w:bookmarkEnd w:id="111"/>
    </w:p>
    <w:p>
      <w:pPr>
        <w:pStyle w:val="4"/>
        <w:bidi w:val="0"/>
        <w:rPr>
          <w:rFonts w:hint="default"/>
          <w:lang w:val="en-US" w:eastAsia="zh-CN"/>
        </w:rPr>
      </w:pPr>
      <w:r>
        <w:rPr>
          <w:rFonts w:hint="eastAsia"/>
          <w:lang w:val="en-US" w:eastAsia="zh-CN"/>
        </w:rPr>
        <w:t>（一）监测目标</w:t>
      </w:r>
    </w:p>
    <w:p>
      <w:pPr>
        <w:bidi w:val="0"/>
        <w:rPr>
          <w:rFonts w:hint="default"/>
        </w:rPr>
      </w:pPr>
      <w:r>
        <w:rPr>
          <w:rFonts w:hint="eastAsia"/>
          <w:lang w:val="en-US" w:eastAsia="zh-CN"/>
        </w:rPr>
        <w:t>1.</w:t>
      </w:r>
      <w:r>
        <w:rPr>
          <w:rFonts w:hint="eastAsia"/>
        </w:rPr>
        <w:t>针对矿区矿山地质环境问题，开展矿山地质环境监测工作。其目的是掌握矿山地质环境动态变化，预测矿山地质环境发展趋势，为合理开发矿产资源、保护矿山地质环境、开展矿山地质环境恢复治理提供基础资料和依据。</w:t>
      </w:r>
    </w:p>
    <w:p>
      <w:pPr>
        <w:bidi w:val="0"/>
        <w:rPr>
          <w:rFonts w:hint="eastAsia"/>
        </w:rPr>
      </w:pPr>
      <w:r>
        <w:rPr>
          <w:rFonts w:hint="eastAsia"/>
          <w:lang w:val="en-US" w:eastAsia="zh-CN"/>
        </w:rPr>
        <w:t>2.</w:t>
      </w:r>
      <w:r>
        <w:rPr>
          <w:rFonts w:hint="eastAsia"/>
        </w:rPr>
        <w:t>主要任务是对不稳定边坡地质灾害、地形地貌景观与土地资源进行监测，并预测其发展趋势。监测范围为地质环境保护与恢复治理评估范围</w:t>
      </w:r>
    </w:p>
    <w:p>
      <w:pPr>
        <w:bidi w:val="0"/>
        <w:rPr>
          <w:rFonts w:hint="eastAsia"/>
        </w:rPr>
      </w:pPr>
      <w:r>
        <w:rPr>
          <w:rFonts w:hint="eastAsia"/>
          <w:lang w:val="en-US" w:eastAsia="zh-CN"/>
        </w:rPr>
        <w:t>3.</w:t>
      </w:r>
      <w:r>
        <w:rPr>
          <w:rFonts w:hint="eastAsia"/>
        </w:rPr>
        <w:t>土地复垦监测主要</w:t>
      </w:r>
      <w:r>
        <w:rPr>
          <w:rFonts w:hint="eastAsia"/>
          <w:lang w:val="en-US" w:eastAsia="zh-CN"/>
        </w:rPr>
        <w:t>目标</w:t>
      </w:r>
      <w:r>
        <w:rPr>
          <w:rFonts w:hint="eastAsia"/>
        </w:rPr>
        <w:t>包括复垦土地质量、植被长势、地表变形程度（设置地表观测站）等。结合土地损毁预测结果，合理布置地表监测工程，监测地表土地损毁状况，根据复垦工程设计，监测复垦结果，查看植被长势。</w:t>
      </w:r>
    </w:p>
    <w:p>
      <w:pPr>
        <w:bidi w:val="0"/>
        <w:rPr>
          <w:rFonts w:hint="eastAsia"/>
        </w:rPr>
      </w:pPr>
      <w:r>
        <w:rPr>
          <w:rFonts w:hint="eastAsia"/>
          <w:lang w:val="en-US" w:eastAsia="zh-CN"/>
        </w:rPr>
        <w:t>4.</w:t>
      </w:r>
      <w:r>
        <w:rPr>
          <w:rFonts w:hint="eastAsia"/>
        </w:rPr>
        <w:t>矿区树木植好后，要做好管护工作和抚育工作，精细管理，以保证栽种的成活率，死苗要及时补植才能达到预期的效果。</w:t>
      </w:r>
    </w:p>
    <w:p>
      <w:pPr>
        <w:pStyle w:val="4"/>
        <w:bidi w:val="0"/>
      </w:pPr>
      <w:bookmarkStart w:id="112" w:name="_Toc23991"/>
      <w:bookmarkStart w:id="113" w:name="_Toc5531"/>
      <w:bookmarkStart w:id="114" w:name="_Toc1277"/>
      <w:r>
        <w:rPr>
          <w:rFonts w:hint="eastAsia"/>
          <w:lang w:val="en-US" w:eastAsia="zh-CN"/>
        </w:rPr>
        <w:t>（二）</w:t>
      </w:r>
      <w:r>
        <w:rPr>
          <w:rFonts w:hint="eastAsia"/>
        </w:rPr>
        <w:t>监测措施</w:t>
      </w:r>
      <w:bookmarkEnd w:id="112"/>
      <w:bookmarkEnd w:id="113"/>
      <w:bookmarkEnd w:id="114"/>
    </w:p>
    <w:p>
      <w:pPr>
        <w:pStyle w:val="5"/>
        <w:bidi w:val="0"/>
      </w:pPr>
      <w:r>
        <w:rPr>
          <w:rFonts w:hint="eastAsia"/>
          <w:lang w:val="en-US" w:eastAsia="zh-CN"/>
        </w:rPr>
        <w:t>1.矿山地质环境监测</w:t>
      </w:r>
    </w:p>
    <w:p>
      <w:pPr>
        <w:bidi w:val="0"/>
        <w:rPr>
          <w:rFonts w:hint="eastAsia"/>
        </w:rPr>
      </w:pPr>
      <w:r>
        <w:rPr>
          <w:rFonts w:hint="eastAsia"/>
        </w:rPr>
        <w:t>1</w:t>
      </w:r>
      <w:r>
        <w:rPr>
          <w:rFonts w:hint="eastAsia"/>
          <w:lang w:eastAsia="zh-CN"/>
        </w:rPr>
        <w:t>）</w:t>
      </w:r>
      <w:r>
        <w:rPr>
          <w:rFonts w:hint="eastAsia"/>
        </w:rPr>
        <w:t>监测点布设</w:t>
      </w:r>
    </w:p>
    <w:p>
      <w:pPr>
        <w:bidi w:val="0"/>
        <w:rPr>
          <w:rFonts w:hint="default" w:eastAsia="宋体"/>
          <w:lang w:val="en-US" w:eastAsia="zh-CN"/>
        </w:rPr>
      </w:pPr>
      <w:r>
        <w:rPr>
          <w:rFonts w:hint="eastAsia"/>
        </w:rPr>
        <w:t>露天采场采区高陡边坡</w:t>
      </w:r>
      <w:r>
        <w:rPr>
          <w:rFonts w:hint="eastAsia"/>
          <w:lang w:val="en-US" w:eastAsia="zh-CN"/>
        </w:rPr>
        <w:t>以及影响区的边坡</w:t>
      </w:r>
      <w:r>
        <w:rPr>
          <w:rFonts w:hint="eastAsia"/>
        </w:rPr>
        <w:t>的坡顶、坡腰、坡脚</w:t>
      </w:r>
      <w:r>
        <w:rPr>
          <w:rFonts w:hint="eastAsia"/>
          <w:lang w:val="en-US" w:eastAsia="zh-CN"/>
        </w:rPr>
        <w:t>处，共设置不稳定边坡监测点6个（详见矿区生态修复工程部署图）。</w:t>
      </w:r>
    </w:p>
    <w:p>
      <w:pPr>
        <w:bidi w:val="0"/>
        <w:rPr>
          <w:rFonts w:hint="eastAsia"/>
        </w:rPr>
      </w:pPr>
      <w:r>
        <w:rPr>
          <w:rFonts w:hint="eastAsia"/>
        </w:rPr>
        <w:t>2</w:t>
      </w:r>
      <w:r>
        <w:rPr>
          <w:rFonts w:hint="eastAsia"/>
          <w:lang w:val="en-US" w:eastAsia="zh-CN"/>
        </w:rPr>
        <w:t>）</w:t>
      </w:r>
      <w:r>
        <w:rPr>
          <w:rFonts w:hint="eastAsia"/>
        </w:rPr>
        <w:t>监测内容</w:t>
      </w:r>
    </w:p>
    <w:p>
      <w:pPr>
        <w:bidi w:val="0"/>
        <w:rPr>
          <w:rFonts w:hint="eastAsia" w:eastAsia="宋体"/>
          <w:lang w:eastAsia="zh-CN"/>
        </w:rPr>
      </w:pPr>
      <w:r>
        <w:rPr>
          <w:rFonts w:hint="eastAsia"/>
          <w:lang w:val="en-US" w:eastAsia="zh-CN"/>
        </w:rPr>
        <w:t>不稳定</w:t>
      </w:r>
      <w:r>
        <w:rPr>
          <w:rFonts w:hint="eastAsia"/>
        </w:rPr>
        <w:t>边坡情况及变化，对开采过程和开采终了进行变形监测，掌握地质灾害的破坏程度</w:t>
      </w:r>
      <w:r>
        <w:rPr>
          <w:rFonts w:hint="eastAsia"/>
          <w:lang w:eastAsia="zh-CN"/>
        </w:rPr>
        <w:t>。</w:t>
      </w:r>
    </w:p>
    <w:p>
      <w:pPr>
        <w:bidi w:val="0"/>
        <w:rPr>
          <w:rFonts w:hint="eastAsia"/>
        </w:rPr>
      </w:pPr>
      <w:r>
        <w:rPr>
          <w:rFonts w:hint="eastAsia"/>
        </w:rPr>
        <w:t>3</w:t>
      </w:r>
      <w:r>
        <w:rPr>
          <w:rFonts w:hint="eastAsia"/>
          <w:lang w:val="en-US" w:eastAsia="zh-CN"/>
        </w:rPr>
        <w:t>）</w:t>
      </w:r>
      <w:r>
        <w:rPr>
          <w:rFonts w:hint="eastAsia"/>
        </w:rPr>
        <w:t>监测方法</w:t>
      </w:r>
    </w:p>
    <w:p>
      <w:pPr>
        <w:bidi w:val="0"/>
        <w:rPr>
          <w:rFonts w:hint="eastAsia" w:eastAsia="宋体"/>
          <w:lang w:eastAsia="zh-CN"/>
        </w:rPr>
      </w:pPr>
      <w:r>
        <w:rPr>
          <w:rFonts w:hint="eastAsia"/>
        </w:rPr>
        <w:t>矿山地质环境监测主要采用</w:t>
      </w:r>
      <w:r>
        <w:rPr>
          <w:rFonts w:hint="eastAsia"/>
          <w:lang w:val="en-US" w:eastAsia="zh-CN"/>
        </w:rPr>
        <w:t>GPS的方式</w:t>
      </w:r>
      <w:r>
        <w:rPr>
          <w:rFonts w:hint="eastAsia"/>
        </w:rPr>
        <w:t>，对监测点周边进行</w:t>
      </w:r>
      <w:r>
        <w:rPr>
          <w:rFonts w:hint="eastAsia"/>
          <w:lang w:val="en-US" w:eastAsia="zh-CN"/>
        </w:rPr>
        <w:t>监测</w:t>
      </w:r>
      <w:r>
        <w:rPr>
          <w:rFonts w:hint="eastAsia"/>
          <w:lang w:eastAsia="zh-CN"/>
        </w:rPr>
        <w:t>。</w:t>
      </w:r>
    </w:p>
    <w:p>
      <w:pPr>
        <w:bidi w:val="0"/>
        <w:rPr>
          <w:rFonts w:hint="eastAsia"/>
        </w:rPr>
      </w:pPr>
      <w:r>
        <w:rPr>
          <w:rFonts w:hint="eastAsia"/>
        </w:rPr>
        <w:t>4</w:t>
      </w:r>
      <w:r>
        <w:rPr>
          <w:rFonts w:hint="eastAsia"/>
          <w:lang w:val="en-US" w:eastAsia="zh-CN"/>
        </w:rPr>
        <w:t>）</w:t>
      </w:r>
      <w:r>
        <w:rPr>
          <w:rFonts w:hint="eastAsia"/>
        </w:rPr>
        <w:t>监测要求</w:t>
      </w:r>
    </w:p>
    <w:p>
      <w:pPr>
        <w:bidi w:val="0"/>
        <w:rPr>
          <w:rFonts w:hint="eastAsia"/>
        </w:rPr>
      </w:pPr>
      <w:r>
        <w:rPr>
          <w:rFonts w:hint="eastAsia"/>
        </w:rPr>
        <w:t>对已设置监测点的监测结果进行</w:t>
      </w:r>
      <w:r>
        <w:rPr>
          <w:rFonts w:hint="eastAsia"/>
          <w:lang w:eastAsia="zh-CN"/>
        </w:rPr>
        <w:t>认真</w:t>
      </w:r>
      <w:r>
        <w:rPr>
          <w:rFonts w:hint="eastAsia"/>
        </w:rPr>
        <w:t>记录，确保监测数据的真实性。定期对监测结果进行整理分析，整理分析周期不大于一年。由专业技术人员按年度将所监测的资料结合气象、水文进行汇总、分析、总结。对监测点可能出现的情况，及时进行评估与预测，发现问题及时上报解决，确保生命、财产安全</w:t>
      </w:r>
      <w:r>
        <w:rPr>
          <w:rFonts w:hint="eastAsia"/>
          <w:lang w:eastAsia="zh-CN"/>
        </w:rPr>
        <w:t>。</w:t>
      </w:r>
    </w:p>
    <w:p>
      <w:pPr>
        <w:bidi w:val="0"/>
        <w:rPr>
          <w:rFonts w:hint="eastAsia"/>
        </w:rPr>
      </w:pPr>
      <w:r>
        <w:rPr>
          <w:rFonts w:hint="eastAsia"/>
          <w:lang w:val="en-US" w:eastAsia="zh-CN"/>
        </w:rPr>
        <w:t>5）</w:t>
      </w:r>
      <w:r>
        <w:rPr>
          <w:rFonts w:hint="eastAsia"/>
        </w:rPr>
        <w:t>监测时限</w:t>
      </w:r>
    </w:p>
    <w:p>
      <w:pPr>
        <w:bidi w:val="0"/>
        <w:rPr>
          <w:rFonts w:hint="eastAsia"/>
        </w:rPr>
      </w:pPr>
      <w:r>
        <w:rPr>
          <w:rFonts w:hint="eastAsia"/>
        </w:rPr>
        <w:t>由矿山企业专人</w:t>
      </w:r>
      <w:r>
        <w:rPr>
          <w:rFonts w:hint="eastAsia"/>
          <w:lang w:val="en-US" w:eastAsia="zh-CN"/>
        </w:rPr>
        <w:t>或者委托专业单位进行测量</w:t>
      </w:r>
      <w:r>
        <w:rPr>
          <w:rFonts w:hint="eastAsia"/>
          <w:lang w:eastAsia="zh-CN"/>
        </w:rPr>
        <w:t>，</w:t>
      </w:r>
      <w:r>
        <w:rPr>
          <w:rFonts w:hint="eastAsia"/>
        </w:rPr>
        <w:t>对生产期</w:t>
      </w:r>
      <w:r>
        <w:rPr>
          <w:rFonts w:hint="eastAsia"/>
          <w:lang w:val="en-US" w:eastAsia="zh-CN"/>
        </w:rPr>
        <w:t>的</w:t>
      </w:r>
      <w:r>
        <w:rPr>
          <w:rFonts w:hint="eastAsia"/>
        </w:rPr>
        <w:t>边坡等关键部位进行监测</w:t>
      </w:r>
      <w:r>
        <w:rPr>
          <w:rFonts w:hint="eastAsia"/>
          <w:lang w:eastAsia="zh-CN"/>
        </w:rPr>
        <w:t>（</w:t>
      </w:r>
      <w:r>
        <w:rPr>
          <w:rFonts w:hint="eastAsia"/>
        </w:rPr>
        <w:t>每季度1次</w:t>
      </w:r>
      <w:r>
        <w:rPr>
          <w:rFonts w:hint="eastAsia"/>
          <w:lang w:eastAsia="zh-CN"/>
        </w:rPr>
        <w:t>，</w:t>
      </w:r>
      <w:r>
        <w:rPr>
          <w:rFonts w:hint="eastAsia"/>
          <w:lang w:val="en-US" w:eastAsia="zh-CN"/>
        </w:rPr>
        <w:t>当遇到可能引起崩塌滑坡等地质灾害时可增加观测次数</w:t>
      </w:r>
      <w:r>
        <w:rPr>
          <w:rFonts w:hint="eastAsia"/>
          <w:lang w:eastAsia="zh-CN"/>
        </w:rPr>
        <w:t>）。</w:t>
      </w:r>
      <w:r>
        <w:rPr>
          <w:rFonts w:hint="eastAsia"/>
        </w:rPr>
        <w:t>采矿终了后可通过复垦方式有效改善，故不设计监测工程措施。</w:t>
      </w:r>
    </w:p>
    <w:p>
      <w:pPr>
        <w:pStyle w:val="5"/>
        <w:bidi w:val="0"/>
      </w:pPr>
      <w:r>
        <w:rPr>
          <w:rFonts w:hint="eastAsia"/>
          <w:lang w:val="en-US" w:eastAsia="zh-CN"/>
        </w:rPr>
        <w:t>2.土地资源监测</w:t>
      </w:r>
    </w:p>
    <w:p>
      <w:pPr>
        <w:bidi w:val="0"/>
        <w:rPr>
          <w:rFonts w:hint="eastAsia"/>
        </w:rPr>
      </w:pPr>
      <w:r>
        <w:rPr>
          <w:rFonts w:hint="eastAsia"/>
        </w:rPr>
        <w:t>1</w:t>
      </w:r>
      <w:r>
        <w:rPr>
          <w:rFonts w:hint="eastAsia"/>
          <w:lang w:val="en-US" w:eastAsia="zh-CN"/>
        </w:rPr>
        <w:t>）</w:t>
      </w:r>
      <w:r>
        <w:rPr>
          <w:rFonts w:hint="eastAsia"/>
        </w:rPr>
        <w:t>监测点布设</w:t>
      </w:r>
    </w:p>
    <w:p>
      <w:pPr>
        <w:bidi w:val="0"/>
        <w:rPr>
          <w:rFonts w:hint="eastAsia"/>
          <w:lang w:eastAsia="zh-CN"/>
        </w:rPr>
      </w:pPr>
      <w:r>
        <w:rPr>
          <w:rFonts w:hint="eastAsia"/>
          <w:lang w:eastAsia="zh-CN"/>
        </w:rPr>
        <w:t>不同复垦方向区域。不同土壤重构方式/覆土厚度的区域。</w:t>
      </w:r>
    </w:p>
    <w:p>
      <w:pPr>
        <w:bidi w:val="0"/>
        <w:rPr>
          <w:rFonts w:hint="eastAsia"/>
          <w:lang w:eastAsia="zh-CN"/>
        </w:rPr>
      </w:pPr>
      <w:r>
        <w:rPr>
          <w:rFonts w:hint="eastAsia"/>
          <w:lang w:eastAsia="zh-CN"/>
        </w:rPr>
        <w:t>布点方式：网格法、随机法、分区布点法结合。</w:t>
      </w:r>
    </w:p>
    <w:p>
      <w:pPr>
        <w:bidi w:val="0"/>
        <w:rPr>
          <w:rFonts w:hint="eastAsia"/>
        </w:rPr>
      </w:pPr>
      <w:r>
        <w:rPr>
          <w:rFonts w:hint="eastAsia"/>
        </w:rPr>
        <w:t>2</w:t>
      </w:r>
      <w:r>
        <w:rPr>
          <w:rFonts w:hint="eastAsia"/>
          <w:lang w:val="en-US" w:eastAsia="zh-CN"/>
        </w:rPr>
        <w:t>）</w:t>
      </w:r>
      <w:r>
        <w:rPr>
          <w:rFonts w:hint="eastAsia"/>
        </w:rPr>
        <w:t>监测内容</w:t>
      </w:r>
    </w:p>
    <w:p>
      <w:pPr>
        <w:bidi w:val="0"/>
        <w:rPr>
          <w:rFonts w:hint="eastAsia" w:eastAsia="宋体"/>
          <w:lang w:eastAsia="zh-CN"/>
        </w:rPr>
      </w:pPr>
      <w:r>
        <w:rPr>
          <w:rFonts w:hint="eastAsia"/>
        </w:rPr>
        <w:t>针对本方案复垦原则和目标，确定本方案监测内容主要是对复垦区</w:t>
      </w:r>
      <w:r>
        <w:rPr>
          <w:rFonts w:hint="eastAsia"/>
          <w:lang w:val="iu-Latn-CA"/>
        </w:rPr>
        <w:t>土地损毁监测、</w:t>
      </w:r>
      <w:r>
        <w:rPr>
          <w:rFonts w:hint="eastAsia"/>
        </w:rPr>
        <w:t>复垦区内植被生长、周围影响等相关情况的监测，主要包括：土壤质量监测</w:t>
      </w:r>
      <w:r>
        <w:rPr>
          <w:rFonts w:hint="eastAsia"/>
          <w:lang w:eastAsia="zh-CN"/>
        </w:rPr>
        <w:t>、</w:t>
      </w:r>
      <w:r>
        <w:rPr>
          <w:rFonts w:hint="eastAsia"/>
        </w:rPr>
        <w:t>复垦植被监测</w:t>
      </w:r>
      <w:r>
        <w:rPr>
          <w:rFonts w:hint="eastAsia"/>
          <w:lang w:eastAsia="zh-CN"/>
        </w:rPr>
        <w:t>。</w:t>
      </w:r>
    </w:p>
    <w:p>
      <w:pPr>
        <w:bidi w:val="0"/>
        <w:rPr>
          <w:rFonts w:hint="eastAsia"/>
          <w:lang w:val="iu-Latn-CA"/>
        </w:rPr>
      </w:pPr>
      <w:r>
        <w:rPr>
          <w:rFonts w:hint="eastAsia"/>
          <w:lang w:val="iu-Latn-CA" w:eastAsia="zh-CN"/>
        </w:rPr>
        <w:t>（</w:t>
      </w:r>
      <w:r>
        <w:rPr>
          <w:rFonts w:hint="eastAsia"/>
          <w:lang w:val="en-US" w:eastAsia="zh-CN"/>
        </w:rPr>
        <w:t>1</w:t>
      </w:r>
      <w:r>
        <w:rPr>
          <w:rFonts w:hint="eastAsia"/>
          <w:lang w:val="iu-Latn-CA" w:eastAsia="zh-CN"/>
        </w:rPr>
        <w:t>）</w:t>
      </w:r>
      <w:r>
        <w:rPr>
          <w:rFonts w:hint="eastAsia"/>
          <w:lang w:val="iu-Latn-CA"/>
        </w:rPr>
        <w:t>土地损毁监测</w:t>
      </w:r>
    </w:p>
    <w:p>
      <w:pPr>
        <w:bidi w:val="0"/>
        <w:rPr>
          <w:rFonts w:hint="eastAsia"/>
          <w:lang w:val="iu-Latn-CA"/>
        </w:rPr>
      </w:pPr>
      <w:r>
        <w:rPr>
          <w:rFonts w:hint="eastAsia"/>
          <w:lang w:val="iu-Latn-CA"/>
        </w:rPr>
        <w:t>内容是针对项目区挖损、压占的土地损毁情况进行监测。</w:t>
      </w:r>
    </w:p>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复垦植被监测</w:t>
      </w:r>
    </w:p>
    <w:p>
      <w:pPr>
        <w:bidi w:val="0"/>
        <w:rPr>
          <w:rFonts w:hint="eastAsia" w:eastAsia="宋体"/>
          <w:lang w:eastAsia="zh-CN"/>
        </w:rPr>
      </w:pPr>
      <w:r>
        <w:rPr>
          <w:rFonts w:ascii="Times New Roman" w:hAnsi="Times New Roman"/>
          <w:sz w:val="28"/>
          <w:szCs w:val="28"/>
          <w:shd w:val="clear" w:color="auto" w:fill="FFFFFF"/>
        </w:rPr>
        <w:t>主要是对修复为林地区域的植被进行监测，监测内容主要为修复区植物的生长势、高度、栽植密度、成活率、郁闭度等</w:t>
      </w:r>
      <w:r>
        <w:rPr>
          <w:rFonts w:hint="eastAsia"/>
          <w:sz w:val="28"/>
          <w:szCs w:val="28"/>
          <w:shd w:val="clear" w:color="auto" w:fill="FFFFFF"/>
          <w:lang w:eastAsia="zh-CN"/>
        </w:rPr>
        <w:t>。</w:t>
      </w:r>
    </w:p>
    <w:p>
      <w:pPr>
        <w:pStyle w:val="8"/>
        <w:bidi w:val="0"/>
        <w:rPr>
          <w:rFonts w:hint="default"/>
        </w:rPr>
      </w:pPr>
      <w:r>
        <w:rPr>
          <w:rFonts w:hint="eastAsia"/>
        </w:rPr>
        <w:t>表</w:t>
      </w:r>
      <w:r>
        <w:rPr>
          <w:rFonts w:hint="eastAsia"/>
          <w:lang w:val="en-US" w:eastAsia="zh-CN"/>
        </w:rPr>
        <w:t>5</w:t>
      </w:r>
      <w:r>
        <w:rPr>
          <w:rFonts w:hint="eastAsia"/>
        </w:rPr>
        <w:t>-</w:t>
      </w:r>
      <w:r>
        <w:rPr>
          <w:rFonts w:hint="eastAsia"/>
          <w:lang w:val="en-US" w:eastAsia="zh-CN"/>
        </w:rPr>
        <w:t>1</w:t>
      </w:r>
      <w:r>
        <w:rPr>
          <w:rFonts w:hint="default"/>
        </w:rPr>
        <w:t xml:space="preserve"> 植被恢复监测方案表</w:t>
      </w:r>
    </w:p>
    <w:tbl>
      <w:tblPr>
        <w:tblStyle w:val="16"/>
        <w:tblW w:w="9286" w:type="dxa"/>
        <w:jc w:val="center"/>
        <w:tblLayout w:type="fixed"/>
        <w:tblCellMar>
          <w:top w:w="0" w:type="dxa"/>
          <w:left w:w="108" w:type="dxa"/>
          <w:bottom w:w="0" w:type="dxa"/>
          <w:right w:w="108" w:type="dxa"/>
        </w:tblCellMar>
      </w:tblPr>
      <w:tblGrid>
        <w:gridCol w:w="2030"/>
        <w:gridCol w:w="3160"/>
        <w:gridCol w:w="4096"/>
      </w:tblGrid>
      <w:tr>
        <w:tblPrEx>
          <w:tblCellMar>
            <w:top w:w="0" w:type="dxa"/>
            <w:left w:w="108" w:type="dxa"/>
            <w:bottom w:w="0" w:type="dxa"/>
            <w:right w:w="108" w:type="dxa"/>
          </w:tblCellMar>
        </w:tblPrEx>
        <w:trPr>
          <w:trHeight w:val="387" w:hRule="exact"/>
          <w:jc w:val="center"/>
        </w:trPr>
        <w:tc>
          <w:tcPr>
            <w:tcW w:w="2030" w:type="dxa"/>
            <w:tcBorders>
              <w:top w:val="single" w:color="auto" w:sz="4" w:space="0"/>
              <w:left w:val="single" w:color="auto" w:sz="4" w:space="0"/>
              <w:bottom w:val="single" w:color="auto" w:sz="4" w:space="0"/>
              <w:right w:val="single" w:color="auto" w:sz="4" w:space="0"/>
            </w:tcBorders>
            <w:noWrap w:val="0"/>
            <w:vAlign w:val="center"/>
          </w:tcPr>
          <w:p>
            <w:pPr>
              <w:pStyle w:val="27"/>
              <w:bidi w:val="0"/>
            </w:pPr>
            <w:r>
              <w:t>监测内容</w:t>
            </w:r>
          </w:p>
        </w:tc>
        <w:tc>
          <w:tcPr>
            <w:tcW w:w="3160" w:type="dxa"/>
            <w:tcBorders>
              <w:top w:val="single" w:color="auto" w:sz="4" w:space="0"/>
              <w:left w:val="nil"/>
              <w:bottom w:val="single" w:color="auto" w:sz="4" w:space="0"/>
              <w:right w:val="single" w:color="auto" w:sz="4" w:space="0"/>
            </w:tcBorders>
            <w:noWrap w:val="0"/>
            <w:vAlign w:val="center"/>
          </w:tcPr>
          <w:p>
            <w:pPr>
              <w:pStyle w:val="27"/>
              <w:bidi w:val="0"/>
            </w:pPr>
            <w:r>
              <w:t>监测频次（次/年）</w:t>
            </w:r>
          </w:p>
        </w:tc>
        <w:tc>
          <w:tcPr>
            <w:tcW w:w="4096" w:type="dxa"/>
            <w:tcBorders>
              <w:top w:val="single" w:color="auto" w:sz="4" w:space="0"/>
              <w:left w:val="nil"/>
              <w:bottom w:val="single" w:color="auto" w:sz="4" w:space="0"/>
              <w:right w:val="single" w:color="auto" w:sz="4" w:space="0"/>
            </w:tcBorders>
            <w:noWrap w:val="0"/>
            <w:vAlign w:val="center"/>
          </w:tcPr>
          <w:p>
            <w:pPr>
              <w:pStyle w:val="27"/>
              <w:bidi w:val="0"/>
            </w:pPr>
            <w:r>
              <w:t>持续监测时间（年）</w:t>
            </w:r>
          </w:p>
        </w:tc>
      </w:tr>
      <w:tr>
        <w:tblPrEx>
          <w:tblCellMar>
            <w:top w:w="0" w:type="dxa"/>
            <w:left w:w="108" w:type="dxa"/>
            <w:bottom w:w="0" w:type="dxa"/>
            <w:right w:w="108" w:type="dxa"/>
          </w:tblCellMar>
        </w:tblPrEx>
        <w:trPr>
          <w:trHeight w:val="125" w:hRule="atLeast"/>
          <w:jc w:val="center"/>
        </w:trPr>
        <w:tc>
          <w:tcPr>
            <w:tcW w:w="2030" w:type="dxa"/>
            <w:tcBorders>
              <w:top w:val="nil"/>
              <w:left w:val="single" w:color="auto" w:sz="4" w:space="0"/>
              <w:bottom w:val="single" w:color="auto" w:sz="4" w:space="0"/>
              <w:right w:val="single" w:color="auto" w:sz="4" w:space="0"/>
            </w:tcBorders>
            <w:noWrap w:val="0"/>
            <w:vAlign w:val="center"/>
          </w:tcPr>
          <w:p>
            <w:pPr>
              <w:pStyle w:val="27"/>
              <w:bidi w:val="0"/>
            </w:pPr>
            <w:r>
              <w:t>植物生长势</w:t>
            </w:r>
          </w:p>
        </w:tc>
        <w:tc>
          <w:tcPr>
            <w:tcW w:w="3160" w:type="dxa"/>
            <w:tcBorders>
              <w:top w:val="nil"/>
              <w:left w:val="nil"/>
              <w:bottom w:val="single" w:color="auto" w:sz="4" w:space="0"/>
              <w:right w:val="single" w:color="auto" w:sz="4" w:space="0"/>
            </w:tcBorders>
            <w:noWrap w:val="0"/>
            <w:vAlign w:val="center"/>
          </w:tcPr>
          <w:p>
            <w:pPr>
              <w:pStyle w:val="27"/>
              <w:bidi w:val="0"/>
              <w:rPr>
                <w:rFonts w:hint="eastAsia" w:eastAsia="宋体"/>
                <w:lang w:eastAsia="zh-CN"/>
              </w:rPr>
            </w:pPr>
            <w:r>
              <w:rPr>
                <w:rFonts w:hint="eastAsia"/>
                <w:lang w:val="en-US" w:eastAsia="zh-CN"/>
              </w:rPr>
              <w:t>2</w:t>
            </w:r>
          </w:p>
        </w:tc>
        <w:tc>
          <w:tcPr>
            <w:tcW w:w="4096" w:type="dxa"/>
            <w:tcBorders>
              <w:top w:val="nil"/>
              <w:left w:val="nil"/>
              <w:bottom w:val="single" w:color="auto" w:sz="4" w:space="0"/>
              <w:right w:val="single" w:color="auto" w:sz="4" w:space="0"/>
            </w:tcBorders>
            <w:noWrap w:val="0"/>
            <w:vAlign w:val="center"/>
          </w:tcPr>
          <w:p>
            <w:pPr>
              <w:pStyle w:val="27"/>
              <w:bidi w:val="0"/>
            </w:pPr>
            <w:r>
              <w:t>3</w:t>
            </w:r>
          </w:p>
        </w:tc>
      </w:tr>
      <w:tr>
        <w:tblPrEx>
          <w:tblCellMar>
            <w:top w:w="0" w:type="dxa"/>
            <w:left w:w="108" w:type="dxa"/>
            <w:bottom w:w="0" w:type="dxa"/>
            <w:right w:w="108" w:type="dxa"/>
          </w:tblCellMar>
        </w:tblPrEx>
        <w:trPr>
          <w:trHeight w:val="129" w:hRule="atLeast"/>
          <w:jc w:val="center"/>
        </w:trPr>
        <w:tc>
          <w:tcPr>
            <w:tcW w:w="2030" w:type="dxa"/>
            <w:tcBorders>
              <w:top w:val="nil"/>
              <w:left w:val="single" w:color="auto" w:sz="4" w:space="0"/>
              <w:bottom w:val="single" w:color="auto" w:sz="4" w:space="0"/>
              <w:right w:val="single" w:color="auto" w:sz="4" w:space="0"/>
            </w:tcBorders>
            <w:noWrap w:val="0"/>
            <w:vAlign w:val="center"/>
          </w:tcPr>
          <w:p>
            <w:pPr>
              <w:pStyle w:val="27"/>
              <w:bidi w:val="0"/>
            </w:pPr>
            <w:r>
              <w:t>高度</w:t>
            </w:r>
          </w:p>
        </w:tc>
        <w:tc>
          <w:tcPr>
            <w:tcW w:w="3160" w:type="dxa"/>
            <w:tcBorders>
              <w:top w:val="nil"/>
              <w:left w:val="nil"/>
              <w:bottom w:val="single" w:color="auto" w:sz="4" w:space="0"/>
              <w:right w:val="single" w:color="auto" w:sz="4" w:space="0"/>
            </w:tcBorders>
            <w:noWrap w:val="0"/>
            <w:vAlign w:val="center"/>
          </w:tcPr>
          <w:p>
            <w:pPr>
              <w:pStyle w:val="27"/>
              <w:bidi w:val="0"/>
              <w:rPr>
                <w:rFonts w:hint="eastAsia" w:eastAsia="宋体"/>
                <w:lang w:eastAsia="zh-CN"/>
              </w:rPr>
            </w:pPr>
            <w:r>
              <w:rPr>
                <w:rFonts w:hint="eastAsia"/>
                <w:lang w:val="en-US" w:eastAsia="zh-CN"/>
              </w:rPr>
              <w:t>2</w:t>
            </w:r>
          </w:p>
        </w:tc>
        <w:tc>
          <w:tcPr>
            <w:tcW w:w="4096" w:type="dxa"/>
            <w:tcBorders>
              <w:top w:val="nil"/>
              <w:left w:val="nil"/>
              <w:bottom w:val="single" w:color="auto" w:sz="4" w:space="0"/>
              <w:right w:val="single" w:color="auto" w:sz="4" w:space="0"/>
            </w:tcBorders>
            <w:noWrap w:val="0"/>
            <w:vAlign w:val="center"/>
          </w:tcPr>
          <w:p>
            <w:pPr>
              <w:pStyle w:val="27"/>
              <w:bidi w:val="0"/>
            </w:pPr>
            <w:r>
              <w:t>3</w:t>
            </w:r>
          </w:p>
        </w:tc>
      </w:tr>
      <w:tr>
        <w:tblPrEx>
          <w:tblCellMar>
            <w:top w:w="0" w:type="dxa"/>
            <w:left w:w="108" w:type="dxa"/>
            <w:bottom w:w="0" w:type="dxa"/>
            <w:right w:w="108" w:type="dxa"/>
          </w:tblCellMar>
        </w:tblPrEx>
        <w:trPr>
          <w:trHeight w:val="338" w:hRule="atLeast"/>
          <w:jc w:val="center"/>
        </w:trPr>
        <w:tc>
          <w:tcPr>
            <w:tcW w:w="2030" w:type="dxa"/>
            <w:tcBorders>
              <w:top w:val="nil"/>
              <w:left w:val="single" w:color="auto" w:sz="4" w:space="0"/>
              <w:bottom w:val="single" w:color="auto" w:sz="4" w:space="0"/>
              <w:right w:val="single" w:color="auto" w:sz="4" w:space="0"/>
            </w:tcBorders>
            <w:noWrap w:val="0"/>
            <w:vAlign w:val="center"/>
          </w:tcPr>
          <w:p>
            <w:pPr>
              <w:pStyle w:val="27"/>
              <w:bidi w:val="0"/>
            </w:pPr>
            <w:r>
              <w:t>栽植密度</w:t>
            </w:r>
          </w:p>
        </w:tc>
        <w:tc>
          <w:tcPr>
            <w:tcW w:w="3160" w:type="dxa"/>
            <w:tcBorders>
              <w:top w:val="nil"/>
              <w:left w:val="nil"/>
              <w:bottom w:val="single" w:color="auto" w:sz="4" w:space="0"/>
              <w:right w:val="single" w:color="auto" w:sz="4" w:space="0"/>
            </w:tcBorders>
            <w:noWrap w:val="0"/>
            <w:vAlign w:val="center"/>
          </w:tcPr>
          <w:p>
            <w:pPr>
              <w:pStyle w:val="27"/>
              <w:bidi w:val="0"/>
              <w:rPr>
                <w:rFonts w:hint="eastAsia" w:eastAsia="宋体"/>
                <w:lang w:eastAsia="zh-CN"/>
              </w:rPr>
            </w:pPr>
            <w:r>
              <w:rPr>
                <w:rFonts w:hint="eastAsia"/>
                <w:lang w:val="en-US" w:eastAsia="zh-CN"/>
              </w:rPr>
              <w:t>2</w:t>
            </w:r>
          </w:p>
        </w:tc>
        <w:tc>
          <w:tcPr>
            <w:tcW w:w="4096" w:type="dxa"/>
            <w:tcBorders>
              <w:top w:val="nil"/>
              <w:left w:val="nil"/>
              <w:bottom w:val="single" w:color="auto" w:sz="4" w:space="0"/>
              <w:right w:val="single" w:color="auto" w:sz="4" w:space="0"/>
            </w:tcBorders>
            <w:noWrap w:val="0"/>
            <w:vAlign w:val="center"/>
          </w:tcPr>
          <w:p>
            <w:pPr>
              <w:pStyle w:val="27"/>
              <w:bidi w:val="0"/>
            </w:pPr>
            <w:r>
              <w:t>3</w:t>
            </w:r>
          </w:p>
        </w:tc>
      </w:tr>
      <w:tr>
        <w:tblPrEx>
          <w:tblCellMar>
            <w:top w:w="0" w:type="dxa"/>
            <w:left w:w="108" w:type="dxa"/>
            <w:bottom w:w="0" w:type="dxa"/>
            <w:right w:w="108" w:type="dxa"/>
          </w:tblCellMar>
        </w:tblPrEx>
        <w:trPr>
          <w:trHeight w:val="261" w:hRule="atLeast"/>
          <w:jc w:val="center"/>
        </w:trPr>
        <w:tc>
          <w:tcPr>
            <w:tcW w:w="2030" w:type="dxa"/>
            <w:tcBorders>
              <w:top w:val="nil"/>
              <w:left w:val="single" w:color="auto" w:sz="4" w:space="0"/>
              <w:bottom w:val="single" w:color="auto" w:sz="4" w:space="0"/>
              <w:right w:val="single" w:color="auto" w:sz="4" w:space="0"/>
            </w:tcBorders>
            <w:noWrap w:val="0"/>
            <w:vAlign w:val="center"/>
          </w:tcPr>
          <w:p>
            <w:pPr>
              <w:pStyle w:val="27"/>
              <w:bidi w:val="0"/>
            </w:pPr>
            <w:r>
              <w:t>成活率</w:t>
            </w:r>
          </w:p>
        </w:tc>
        <w:tc>
          <w:tcPr>
            <w:tcW w:w="3160" w:type="dxa"/>
            <w:tcBorders>
              <w:top w:val="nil"/>
              <w:left w:val="nil"/>
              <w:bottom w:val="single" w:color="auto" w:sz="4" w:space="0"/>
              <w:right w:val="single" w:color="auto" w:sz="4" w:space="0"/>
            </w:tcBorders>
            <w:noWrap w:val="0"/>
            <w:vAlign w:val="center"/>
          </w:tcPr>
          <w:p>
            <w:pPr>
              <w:pStyle w:val="27"/>
              <w:bidi w:val="0"/>
              <w:rPr>
                <w:rFonts w:hint="eastAsia" w:eastAsia="宋体"/>
                <w:lang w:eastAsia="zh-CN"/>
              </w:rPr>
            </w:pPr>
            <w:r>
              <w:rPr>
                <w:rFonts w:hint="eastAsia"/>
                <w:lang w:val="en-US" w:eastAsia="zh-CN"/>
              </w:rPr>
              <w:t>2</w:t>
            </w:r>
          </w:p>
        </w:tc>
        <w:tc>
          <w:tcPr>
            <w:tcW w:w="4096" w:type="dxa"/>
            <w:tcBorders>
              <w:top w:val="nil"/>
              <w:left w:val="nil"/>
              <w:bottom w:val="single" w:color="auto" w:sz="4" w:space="0"/>
              <w:right w:val="single" w:color="auto" w:sz="4" w:space="0"/>
            </w:tcBorders>
            <w:noWrap w:val="0"/>
            <w:vAlign w:val="center"/>
          </w:tcPr>
          <w:p>
            <w:pPr>
              <w:pStyle w:val="27"/>
              <w:bidi w:val="0"/>
            </w:pPr>
            <w:r>
              <w:t>3</w:t>
            </w:r>
          </w:p>
        </w:tc>
      </w:tr>
      <w:tr>
        <w:tblPrEx>
          <w:tblCellMar>
            <w:top w:w="0" w:type="dxa"/>
            <w:left w:w="108" w:type="dxa"/>
            <w:bottom w:w="0" w:type="dxa"/>
            <w:right w:w="108" w:type="dxa"/>
          </w:tblCellMar>
        </w:tblPrEx>
        <w:trPr>
          <w:trHeight w:val="261" w:hRule="atLeast"/>
          <w:jc w:val="center"/>
        </w:trPr>
        <w:tc>
          <w:tcPr>
            <w:tcW w:w="2030" w:type="dxa"/>
            <w:tcBorders>
              <w:top w:val="nil"/>
              <w:left w:val="single" w:color="auto" w:sz="4" w:space="0"/>
              <w:bottom w:val="single" w:color="auto" w:sz="4" w:space="0"/>
              <w:right w:val="single" w:color="auto" w:sz="4" w:space="0"/>
            </w:tcBorders>
            <w:noWrap w:val="0"/>
            <w:vAlign w:val="center"/>
          </w:tcPr>
          <w:p>
            <w:pPr>
              <w:pStyle w:val="27"/>
              <w:bidi w:val="0"/>
            </w:pPr>
            <w:r>
              <w:t>郁闭度</w:t>
            </w:r>
          </w:p>
        </w:tc>
        <w:tc>
          <w:tcPr>
            <w:tcW w:w="3160" w:type="dxa"/>
            <w:tcBorders>
              <w:top w:val="nil"/>
              <w:left w:val="nil"/>
              <w:bottom w:val="single" w:color="auto" w:sz="4" w:space="0"/>
              <w:right w:val="single" w:color="auto" w:sz="4" w:space="0"/>
            </w:tcBorders>
            <w:noWrap w:val="0"/>
            <w:vAlign w:val="center"/>
          </w:tcPr>
          <w:p>
            <w:pPr>
              <w:pStyle w:val="27"/>
              <w:bidi w:val="0"/>
              <w:rPr>
                <w:rFonts w:hint="eastAsia" w:eastAsia="宋体"/>
                <w:lang w:eastAsia="zh-CN"/>
              </w:rPr>
            </w:pPr>
            <w:r>
              <w:rPr>
                <w:rFonts w:hint="eastAsia"/>
                <w:lang w:val="en-US" w:eastAsia="zh-CN"/>
              </w:rPr>
              <w:t>2</w:t>
            </w:r>
          </w:p>
        </w:tc>
        <w:tc>
          <w:tcPr>
            <w:tcW w:w="4096" w:type="dxa"/>
            <w:tcBorders>
              <w:top w:val="nil"/>
              <w:left w:val="nil"/>
              <w:bottom w:val="single" w:color="auto" w:sz="4" w:space="0"/>
              <w:right w:val="single" w:color="auto" w:sz="4" w:space="0"/>
            </w:tcBorders>
            <w:noWrap w:val="0"/>
            <w:vAlign w:val="center"/>
          </w:tcPr>
          <w:p>
            <w:pPr>
              <w:pStyle w:val="27"/>
              <w:bidi w:val="0"/>
            </w:pPr>
            <w:r>
              <w:t>3</w:t>
            </w:r>
          </w:p>
        </w:tc>
      </w:tr>
    </w:tbl>
    <w:p>
      <w:pPr>
        <w:bidi w:val="0"/>
        <w:rPr>
          <w:rFonts w:hint="eastAsia"/>
          <w:lang w:eastAsia="zh-CN"/>
        </w:rPr>
      </w:pPr>
      <w:r>
        <w:rPr>
          <w:rFonts w:hint="eastAsia"/>
          <w:lang w:eastAsia="zh-CN"/>
        </w:rPr>
        <w:t>（</w:t>
      </w:r>
      <w:r>
        <w:rPr>
          <w:rFonts w:hint="eastAsia"/>
          <w:lang w:val="en-US" w:eastAsia="zh-CN"/>
        </w:rPr>
        <w:t>3</w:t>
      </w:r>
      <w:r>
        <w:rPr>
          <w:rFonts w:hint="eastAsia"/>
          <w:lang w:eastAsia="zh-CN"/>
        </w:rPr>
        <w:t>）</w:t>
      </w:r>
      <w:r>
        <w:rPr>
          <w:rFonts w:hint="eastAsia"/>
        </w:rPr>
        <w:t>土壤质量监测</w:t>
      </w:r>
    </w:p>
    <w:p>
      <w:pPr>
        <w:bidi w:val="0"/>
        <w:rPr>
          <w:rFonts w:hint="eastAsia"/>
        </w:rPr>
      </w:pPr>
      <w:r>
        <w:rPr>
          <w:rFonts w:hint="eastAsia"/>
        </w:rPr>
        <w:t>监测内容包括地形坡度、有效土层厚度、土壤有效水分、土壤容重、酸碱度（pH值）、有机质含量、有效磷含量、全氮含量、土壤侵蚀模数等。</w:t>
      </w:r>
    </w:p>
    <w:p>
      <w:pPr>
        <w:pStyle w:val="8"/>
        <w:bidi w:val="0"/>
        <w:rPr>
          <w:rFonts w:hint="default"/>
        </w:rPr>
      </w:pPr>
      <w:r>
        <w:rPr>
          <w:rFonts w:hint="eastAsia"/>
        </w:rPr>
        <w:t>表</w:t>
      </w:r>
      <w:r>
        <w:rPr>
          <w:rFonts w:hint="eastAsia"/>
          <w:lang w:val="en-US" w:eastAsia="zh-CN"/>
        </w:rPr>
        <w:t>5</w:t>
      </w:r>
      <w:r>
        <w:rPr>
          <w:rFonts w:hint="eastAsia"/>
        </w:rPr>
        <w:t>-</w:t>
      </w:r>
      <w:r>
        <w:rPr>
          <w:rFonts w:hint="eastAsia"/>
          <w:lang w:val="en-US" w:eastAsia="zh-CN"/>
        </w:rPr>
        <w:t>2</w:t>
      </w:r>
      <w:r>
        <w:rPr>
          <w:rFonts w:hint="default"/>
        </w:rPr>
        <w:t xml:space="preserve"> </w:t>
      </w:r>
      <w:r>
        <w:rPr>
          <w:rFonts w:hint="eastAsia"/>
        </w:rPr>
        <w:t>土壤质量监测方案表</w:t>
      </w:r>
    </w:p>
    <w:tbl>
      <w:tblPr>
        <w:tblStyle w:val="16"/>
        <w:tblW w:w="48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503"/>
        <w:gridCol w:w="2005"/>
        <w:gridCol w:w="2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jc w:val="center"/>
        </w:trPr>
        <w:tc>
          <w:tcPr>
            <w:tcW w:w="1275" w:type="pct"/>
            <w:tcBorders>
              <w:tl2br w:val="nil"/>
              <w:tr2bl w:val="nil"/>
            </w:tcBorders>
            <w:noWrap w:val="0"/>
            <w:vAlign w:val="center"/>
          </w:tcPr>
          <w:p>
            <w:pPr>
              <w:pStyle w:val="27"/>
              <w:bidi w:val="0"/>
              <w:rPr>
                <w:rFonts w:hint="eastAsia"/>
              </w:rPr>
            </w:pPr>
            <w:r>
              <w:rPr>
                <w:rFonts w:hint="eastAsia"/>
              </w:rPr>
              <w:t>监测内容</w:t>
            </w:r>
          </w:p>
        </w:tc>
        <w:tc>
          <w:tcPr>
            <w:tcW w:w="1296" w:type="pct"/>
            <w:tcBorders>
              <w:tl2br w:val="nil"/>
              <w:tr2bl w:val="nil"/>
            </w:tcBorders>
            <w:noWrap w:val="0"/>
            <w:vAlign w:val="center"/>
          </w:tcPr>
          <w:p>
            <w:pPr>
              <w:pStyle w:val="27"/>
              <w:bidi w:val="0"/>
              <w:rPr>
                <w:rFonts w:hint="eastAsia"/>
              </w:rPr>
            </w:pPr>
            <w:r>
              <w:rPr>
                <w:rFonts w:hint="eastAsia"/>
              </w:rPr>
              <w:t>监测频次（次/年）</w:t>
            </w:r>
          </w:p>
        </w:tc>
        <w:tc>
          <w:tcPr>
            <w:tcW w:w="1038" w:type="pct"/>
            <w:tcBorders>
              <w:tl2br w:val="nil"/>
              <w:tr2bl w:val="nil"/>
            </w:tcBorders>
            <w:noWrap w:val="0"/>
            <w:vAlign w:val="center"/>
          </w:tcPr>
          <w:p>
            <w:pPr>
              <w:pStyle w:val="27"/>
              <w:bidi w:val="0"/>
              <w:rPr>
                <w:rFonts w:hint="eastAsia"/>
              </w:rPr>
            </w:pPr>
            <w:r>
              <w:rPr>
                <w:rFonts w:hint="eastAsia"/>
              </w:rPr>
              <w:t>监测点数量（个）</w:t>
            </w:r>
          </w:p>
        </w:tc>
        <w:tc>
          <w:tcPr>
            <w:tcW w:w="1389" w:type="pct"/>
            <w:tcBorders>
              <w:tl2br w:val="nil"/>
              <w:tr2bl w:val="nil"/>
            </w:tcBorders>
            <w:noWrap w:val="0"/>
            <w:vAlign w:val="center"/>
          </w:tcPr>
          <w:p>
            <w:pPr>
              <w:pStyle w:val="27"/>
              <w:bidi w:val="0"/>
              <w:rPr>
                <w:rFonts w:hint="eastAsia"/>
              </w:rPr>
            </w:pPr>
            <w:r>
              <w:rPr>
                <w:rFonts w:hint="eastAsia"/>
              </w:rPr>
              <w:t>样点持续监测时间（年）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地面坡度</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1389" w:type="pct"/>
            <w:tcBorders>
              <w:tl2br w:val="nil"/>
              <w:tr2bl w:val="nil"/>
            </w:tcBorders>
            <w:noWrap w:val="0"/>
            <w:vAlign w:val="center"/>
          </w:tcPr>
          <w:p>
            <w:pPr>
              <w:pStyle w:val="27"/>
              <w:bidi w:val="0"/>
              <w:rPr>
                <w:rFonts w:hint="eastAsia"/>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覆土厚度</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1389" w:type="pct"/>
            <w:tcBorders>
              <w:tl2br w:val="nil"/>
              <w:tr2bl w:val="nil"/>
            </w:tcBorders>
            <w:noWrap w:val="0"/>
            <w:vAlign w:val="center"/>
          </w:tcPr>
          <w:p>
            <w:pPr>
              <w:pStyle w:val="27"/>
              <w:bidi w:val="0"/>
              <w:rPr>
                <w:rFonts w:hint="eastAsia"/>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pH值</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重金属含量</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有效土层厚度</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土壤质地</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val="en-US"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土壤砾石含量</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土壤容重（压实）</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有机质</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全氮</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275" w:type="pct"/>
            <w:tcBorders>
              <w:tl2br w:val="nil"/>
              <w:tr2bl w:val="nil"/>
            </w:tcBorders>
            <w:noWrap w:val="0"/>
            <w:vAlign w:val="center"/>
          </w:tcPr>
          <w:p>
            <w:pPr>
              <w:pStyle w:val="27"/>
              <w:bidi w:val="0"/>
              <w:rPr>
                <w:rFonts w:hint="eastAsia"/>
              </w:rPr>
            </w:pPr>
            <w:r>
              <w:rPr>
                <w:rFonts w:hint="eastAsia"/>
              </w:rPr>
              <w:t>有效磷</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275" w:type="pct"/>
            <w:tcBorders>
              <w:tl2br w:val="nil"/>
              <w:tr2bl w:val="nil"/>
            </w:tcBorders>
            <w:noWrap w:val="0"/>
            <w:vAlign w:val="center"/>
          </w:tcPr>
          <w:p>
            <w:pPr>
              <w:pStyle w:val="27"/>
              <w:bidi w:val="0"/>
              <w:rPr>
                <w:rFonts w:hint="eastAsia"/>
              </w:rPr>
            </w:pPr>
            <w:r>
              <w:rPr>
                <w:rFonts w:hint="eastAsia"/>
              </w:rPr>
              <w:t>有效钾</w:t>
            </w:r>
          </w:p>
        </w:tc>
        <w:tc>
          <w:tcPr>
            <w:tcW w:w="1296" w:type="pct"/>
            <w:tcBorders>
              <w:tl2br w:val="nil"/>
              <w:tr2bl w:val="nil"/>
            </w:tcBorders>
            <w:noWrap w:val="0"/>
            <w:vAlign w:val="center"/>
          </w:tcPr>
          <w:p>
            <w:pPr>
              <w:pStyle w:val="27"/>
              <w:bidi w:val="0"/>
              <w:rPr>
                <w:rFonts w:hint="eastAsia" w:eastAsia="宋体"/>
                <w:lang w:eastAsia="zh-CN"/>
              </w:rPr>
            </w:pPr>
            <w:r>
              <w:rPr>
                <w:rFonts w:hint="eastAsia"/>
                <w:lang w:val="en-US" w:eastAsia="zh-CN"/>
              </w:rPr>
              <w:t>2</w:t>
            </w:r>
          </w:p>
        </w:tc>
        <w:tc>
          <w:tcPr>
            <w:tcW w:w="1038" w:type="pct"/>
            <w:tcBorders>
              <w:tl2br w:val="nil"/>
              <w:tr2bl w:val="nil"/>
            </w:tcBorders>
            <w:noWrap w:val="0"/>
            <w:vAlign w:val="center"/>
          </w:tcPr>
          <w:p>
            <w:pPr>
              <w:pStyle w:val="27"/>
              <w:bidi w:val="0"/>
              <w:rPr>
                <w:rFonts w:hint="eastAsia" w:eastAsia="宋体"/>
                <w:lang w:eastAsia="zh-CN"/>
              </w:rPr>
            </w:pPr>
            <w:r>
              <w:rPr>
                <w:rFonts w:hint="eastAsia"/>
                <w:lang w:val="en-US" w:eastAsia="zh-CN"/>
              </w:rPr>
              <w:t>7</w:t>
            </w:r>
          </w:p>
        </w:tc>
        <w:tc>
          <w:tcPr>
            <w:tcW w:w="2295" w:type="dxa"/>
            <w:tcBorders>
              <w:tl2br w:val="nil"/>
              <w:tr2bl w:val="nil"/>
            </w:tcBorders>
            <w:noWrap w:val="0"/>
            <w:vAlign w:val="center"/>
          </w:tcPr>
          <w:p>
            <w:pPr>
              <w:pStyle w:val="27"/>
              <w:bidi w:val="0"/>
              <w:rPr>
                <w:rFonts w:hint="eastAsia"/>
              </w:rPr>
            </w:pPr>
            <w:r>
              <w:rPr>
                <w:rFonts w:hint="eastAsia"/>
                <w:lang w:val="en-US" w:eastAsia="zh-CN"/>
              </w:rPr>
              <w:t>3</w:t>
            </w:r>
          </w:p>
        </w:tc>
      </w:tr>
    </w:tbl>
    <w:p>
      <w:pPr>
        <w:bidi w:val="0"/>
        <w:rPr>
          <w:rFonts w:hint="eastAsia"/>
        </w:rPr>
      </w:pPr>
      <w:r>
        <w:rPr>
          <w:rFonts w:hint="eastAsia"/>
        </w:rPr>
        <w:t>3</w:t>
      </w:r>
      <w:r>
        <w:rPr>
          <w:rFonts w:hint="eastAsia"/>
          <w:lang w:val="en-US" w:eastAsia="zh-CN"/>
        </w:rPr>
        <w:t>）</w:t>
      </w:r>
      <w:r>
        <w:rPr>
          <w:rFonts w:hint="eastAsia"/>
        </w:rPr>
        <w:t>监测方法</w:t>
      </w:r>
    </w:p>
    <w:p>
      <w:pPr>
        <w:bidi w:val="0"/>
        <w:rPr>
          <w:rFonts w:hint="eastAsia"/>
          <w:lang w:val="iu-Latn-CA"/>
        </w:rPr>
      </w:pPr>
      <w:r>
        <w:rPr>
          <w:rFonts w:hint="eastAsia"/>
          <w:lang w:eastAsia="zh-CN"/>
        </w:rPr>
        <w:t>（</w:t>
      </w:r>
      <w:r>
        <w:rPr>
          <w:rFonts w:hint="eastAsia"/>
          <w:lang w:val="en-US" w:eastAsia="zh-CN"/>
        </w:rPr>
        <w:t>1</w:t>
      </w:r>
      <w:r>
        <w:rPr>
          <w:rFonts w:hint="eastAsia"/>
          <w:lang w:eastAsia="zh-CN"/>
        </w:rPr>
        <w:t>）土地损毁监测</w:t>
      </w:r>
    </w:p>
    <w:p>
      <w:pPr>
        <w:bidi w:val="0"/>
        <w:rPr>
          <w:rFonts w:hint="eastAsia"/>
          <w:lang w:eastAsia="zh-CN"/>
        </w:rPr>
      </w:pPr>
      <w:r>
        <w:rPr>
          <w:rFonts w:hint="eastAsia"/>
        </w:rPr>
        <w:t>监测方法以《土地复垦技术标准（试行）》为准</w:t>
      </w:r>
      <w:r>
        <w:rPr>
          <w:rFonts w:hint="eastAsia"/>
          <w:lang w:eastAsia="zh-CN"/>
        </w:rPr>
        <w:t>，</w:t>
      </w:r>
      <w:r>
        <w:rPr>
          <w:rFonts w:hint="eastAsia"/>
          <w:lang w:val="iu-Latn-CA"/>
        </w:rPr>
        <w:t>采用</w:t>
      </w:r>
      <w:r>
        <w:rPr>
          <w:rFonts w:hint="eastAsia"/>
          <w:lang w:val="en-US" w:eastAsia="zh-CN"/>
        </w:rPr>
        <w:t>无人机航测方式进行监测。</w:t>
      </w:r>
    </w:p>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复垦植被监测</w:t>
      </w:r>
    </w:p>
    <w:p>
      <w:pPr>
        <w:bidi w:val="0"/>
        <w:rPr>
          <w:rFonts w:hint="eastAsia"/>
        </w:rPr>
      </w:pPr>
      <w:r>
        <w:rPr>
          <w:rFonts w:hint="eastAsia"/>
        </w:rPr>
        <w:t>监测方法以《土地复垦技术标准（试行）》为准</w:t>
      </w:r>
      <w:r>
        <w:rPr>
          <w:rFonts w:hint="eastAsia"/>
          <w:lang w:eastAsia="zh-CN"/>
        </w:rPr>
        <w:t>，</w:t>
      </w:r>
      <w:r>
        <w:rPr>
          <w:rFonts w:hint="eastAsia"/>
        </w:rPr>
        <w:t>采用网格法、随机法、分区布点</w:t>
      </w:r>
      <w:r>
        <w:rPr>
          <w:rFonts w:hint="eastAsia"/>
          <w:lang w:eastAsia="zh-CN"/>
        </w:rPr>
        <w:t>法等</w:t>
      </w:r>
      <w:r>
        <w:rPr>
          <w:rFonts w:hint="eastAsia"/>
        </w:rPr>
        <w:t>结合</w:t>
      </w:r>
      <w:r>
        <w:rPr>
          <w:rFonts w:hint="eastAsia"/>
          <w:lang w:val="en-US" w:eastAsia="zh-CN"/>
        </w:rPr>
        <w:t>方式</w:t>
      </w:r>
      <w:r>
        <w:rPr>
          <w:rFonts w:hint="eastAsia"/>
        </w:rPr>
        <w:t>。</w:t>
      </w:r>
    </w:p>
    <w:p>
      <w:pPr>
        <w:bidi w:val="0"/>
        <w:rPr>
          <w:rFonts w:hint="eastAsia"/>
          <w:lang w:eastAsia="zh-CN"/>
        </w:rPr>
      </w:pPr>
      <w:r>
        <w:rPr>
          <w:rFonts w:hint="eastAsia"/>
          <w:lang w:eastAsia="zh-CN"/>
        </w:rPr>
        <w:t>（</w:t>
      </w:r>
      <w:r>
        <w:rPr>
          <w:rFonts w:hint="eastAsia"/>
          <w:lang w:val="en-US" w:eastAsia="zh-CN"/>
        </w:rPr>
        <w:t>3</w:t>
      </w:r>
      <w:r>
        <w:rPr>
          <w:rFonts w:hint="eastAsia"/>
          <w:lang w:eastAsia="zh-CN"/>
        </w:rPr>
        <w:t>）</w:t>
      </w:r>
      <w:r>
        <w:rPr>
          <w:rFonts w:hint="eastAsia"/>
        </w:rPr>
        <w:t>土壤质量监测</w:t>
      </w:r>
    </w:p>
    <w:p>
      <w:pPr>
        <w:bidi w:val="0"/>
        <w:rPr>
          <w:rFonts w:hint="default" w:eastAsia="宋体"/>
          <w:lang w:val="en-US" w:eastAsia="zh-CN"/>
        </w:rPr>
      </w:pPr>
      <w:r>
        <w:rPr>
          <w:rFonts w:hint="eastAsia"/>
        </w:rPr>
        <w:t>本复垦方案监测方法以《土地复垦技术标准（试行）》为准。采用网格法、随机法、分区布点法结合</w:t>
      </w:r>
      <w:r>
        <w:rPr>
          <w:rFonts w:hint="eastAsia"/>
          <w:lang w:val="en-US" w:eastAsia="zh-CN"/>
        </w:rPr>
        <w:t>方式</w:t>
      </w:r>
      <w:r>
        <w:rPr>
          <w:rFonts w:hint="eastAsia"/>
        </w:rPr>
        <w:t>。</w:t>
      </w:r>
    </w:p>
    <w:p>
      <w:pPr>
        <w:bidi w:val="0"/>
        <w:rPr>
          <w:rFonts w:hint="eastAsia"/>
          <w:lang w:eastAsia="zh-CN"/>
        </w:rPr>
      </w:pPr>
      <w:r>
        <w:rPr>
          <w:rFonts w:hint="eastAsia"/>
          <w:lang w:val="en-US" w:eastAsia="zh-CN"/>
        </w:rPr>
        <w:t>4）</w:t>
      </w:r>
      <w:r>
        <w:rPr>
          <w:rFonts w:hint="eastAsia"/>
        </w:rPr>
        <w:t>监测</w:t>
      </w:r>
      <w:r>
        <w:rPr>
          <w:rFonts w:hint="eastAsia"/>
          <w:lang w:val="en-US" w:eastAsia="zh-CN"/>
        </w:rPr>
        <w:t>要求</w:t>
      </w:r>
    </w:p>
    <w:p>
      <w:pPr>
        <w:bidi w:val="0"/>
        <w:rPr>
          <w:rFonts w:hint="eastAsia"/>
          <w:lang w:val="en-US" w:eastAsia="zh-CN"/>
        </w:rPr>
      </w:pPr>
      <w:r>
        <w:rPr>
          <w:rFonts w:hint="eastAsia"/>
          <w:lang w:eastAsia="zh-CN"/>
        </w:rPr>
        <w:t>（</w:t>
      </w:r>
      <w:r>
        <w:rPr>
          <w:rFonts w:hint="eastAsia"/>
          <w:lang w:val="en-US" w:eastAsia="zh-CN"/>
        </w:rPr>
        <w:t>1</w:t>
      </w:r>
      <w:r>
        <w:rPr>
          <w:rFonts w:hint="eastAsia"/>
          <w:lang w:eastAsia="zh-CN"/>
        </w:rPr>
        <w:t>）土地损毁监测</w:t>
      </w:r>
    </w:p>
    <w:p>
      <w:pPr>
        <w:bidi w:val="0"/>
        <w:rPr>
          <w:rFonts w:hint="default" w:eastAsia="宋体"/>
          <w:lang w:val="en-US" w:eastAsia="zh-CN"/>
        </w:rPr>
      </w:pPr>
      <w:r>
        <w:rPr>
          <w:rFonts w:hint="eastAsia"/>
          <w:lang w:val="en-US" w:eastAsia="zh-CN"/>
        </w:rPr>
        <w:t>确保相邻两次航测数据坐标系以及高程系统的统一，精度达到要求。</w:t>
      </w:r>
    </w:p>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复垦植被监测</w:t>
      </w:r>
    </w:p>
    <w:p>
      <w:pPr>
        <w:bidi w:val="0"/>
        <w:rPr>
          <w:rFonts w:hint="eastAsia"/>
        </w:rPr>
      </w:pPr>
      <w:r>
        <w:rPr>
          <w:rFonts w:hint="eastAsia"/>
        </w:rPr>
        <w:t>选有代表性的地块作为标准样地，在样地内随机确定样方，样方大小应考虑植被株行距大小的影响，样方的面积为水平投影面积，本项目确定的样方为 50m×50m，用样方的观测值计算林地的郁闭度。</w:t>
      </w:r>
    </w:p>
    <w:p>
      <w:pPr>
        <w:bidi w:val="0"/>
        <w:rPr>
          <w:rFonts w:hint="eastAsia"/>
          <w:lang w:val="en-US" w:eastAsia="zh-CN"/>
        </w:rPr>
      </w:pPr>
      <w:r>
        <w:rPr>
          <w:rFonts w:hint="eastAsia"/>
          <w:lang w:eastAsia="zh-CN"/>
        </w:rPr>
        <w:t>（</w:t>
      </w:r>
      <w:r>
        <w:rPr>
          <w:rFonts w:hint="eastAsia"/>
          <w:lang w:val="en-US" w:eastAsia="zh-CN"/>
        </w:rPr>
        <w:t>3</w:t>
      </w:r>
      <w:r>
        <w:rPr>
          <w:rFonts w:hint="eastAsia"/>
          <w:lang w:eastAsia="zh-CN"/>
        </w:rPr>
        <w:t>）</w:t>
      </w:r>
      <w:r>
        <w:rPr>
          <w:rFonts w:hint="eastAsia"/>
        </w:rPr>
        <w:t>土壤质量监测</w:t>
      </w:r>
    </w:p>
    <w:p>
      <w:pPr>
        <w:bidi w:val="0"/>
        <w:rPr>
          <w:rFonts w:hint="eastAsia"/>
        </w:rPr>
      </w:pPr>
      <w:r>
        <w:rPr>
          <w:rFonts w:hint="eastAsia"/>
        </w:rPr>
        <w:t>采样点需准确定位（GPS）。采样深度需根据监测目标确定（如 0-20cm 表土、20</w:t>
      </w:r>
      <w:r>
        <w:rPr>
          <w:rFonts w:hint="eastAsia"/>
          <w:lang w:eastAsia="zh-CN"/>
        </w:rPr>
        <w:t>—</w:t>
      </w:r>
      <w:r>
        <w:rPr>
          <w:rFonts w:hint="eastAsia"/>
        </w:rPr>
        <w:t>60cm 心土、污染扩散深度等）。样品采集、保存、运输、制备、分析需严格遵循相关标准，保证质量控制和数据可比性。记录详细的环境背景信息（天气、植被、人为活动等）。</w:t>
      </w:r>
    </w:p>
    <w:p>
      <w:pPr>
        <w:bidi w:val="0"/>
        <w:rPr>
          <w:rFonts w:hint="eastAsia"/>
          <w:lang w:val="iu-Latn-CA"/>
        </w:rPr>
      </w:pPr>
      <w:r>
        <w:rPr>
          <w:rFonts w:hint="eastAsia"/>
          <w:lang w:val="en-US" w:eastAsia="zh-CN"/>
        </w:rPr>
        <w:t>5）监测时限</w:t>
      </w:r>
    </w:p>
    <w:p>
      <w:pPr>
        <w:bidi w:val="0"/>
        <w:rPr>
          <w:rFonts w:hint="eastAsia"/>
          <w:lang w:eastAsia="zh-CN"/>
        </w:rPr>
      </w:pPr>
      <w:r>
        <w:rPr>
          <w:rFonts w:hint="eastAsia"/>
          <w:lang w:eastAsia="zh-CN"/>
        </w:rPr>
        <w:t>（</w:t>
      </w:r>
      <w:r>
        <w:rPr>
          <w:rFonts w:hint="eastAsia"/>
          <w:lang w:val="en-US" w:eastAsia="zh-CN"/>
        </w:rPr>
        <w:t>1</w:t>
      </w:r>
      <w:r>
        <w:rPr>
          <w:rFonts w:hint="eastAsia"/>
          <w:lang w:eastAsia="zh-CN"/>
        </w:rPr>
        <w:t>）土地损毁监测</w:t>
      </w:r>
    </w:p>
    <w:p>
      <w:pPr>
        <w:bidi w:val="0"/>
        <w:rPr>
          <w:rFonts w:hint="default"/>
          <w:lang w:val="en-US" w:eastAsia="zh-CN"/>
        </w:rPr>
      </w:pPr>
      <w:r>
        <w:rPr>
          <w:rFonts w:hint="eastAsia"/>
          <w:lang w:val="en-US" w:eastAsia="zh-CN"/>
        </w:rPr>
        <w:t>包含整个生产期，每年一次。</w:t>
      </w:r>
    </w:p>
    <w:p>
      <w:pPr>
        <w:bidi w:val="0"/>
        <w:rPr>
          <w:rFonts w:hint="eastAsia" w:eastAsia="宋体"/>
          <w:lang w:val="en-US" w:eastAsia="zh-CN"/>
        </w:rPr>
      </w:pPr>
      <w:r>
        <w:rPr>
          <w:rFonts w:hint="eastAsia"/>
          <w:lang w:eastAsia="zh-CN"/>
        </w:rPr>
        <w:t>（</w:t>
      </w:r>
      <w:r>
        <w:rPr>
          <w:rFonts w:hint="eastAsia"/>
          <w:lang w:val="en-US" w:eastAsia="zh-CN"/>
        </w:rPr>
        <w:t>2</w:t>
      </w:r>
      <w:r>
        <w:rPr>
          <w:rFonts w:hint="eastAsia"/>
          <w:lang w:eastAsia="zh-CN"/>
        </w:rPr>
        <w:t>）</w:t>
      </w:r>
      <w:r>
        <w:rPr>
          <w:rFonts w:hint="eastAsia"/>
        </w:rPr>
        <w:t>复垦植被监测</w:t>
      </w:r>
      <w:r>
        <w:rPr>
          <w:rFonts w:hint="eastAsia"/>
          <w:lang w:val="en-US" w:eastAsia="zh-CN"/>
        </w:rPr>
        <w:t>和</w:t>
      </w:r>
      <w:r>
        <w:rPr>
          <w:rFonts w:hint="eastAsia"/>
        </w:rPr>
        <w:t>土壤质量监测</w:t>
      </w:r>
    </w:p>
    <w:p>
      <w:pPr>
        <w:bidi w:val="0"/>
        <w:rPr>
          <w:rFonts w:hint="eastAsia" w:eastAsia="宋体"/>
          <w:lang w:val="en-US" w:eastAsia="zh-CN"/>
        </w:rPr>
      </w:pPr>
      <w:r>
        <w:rPr>
          <w:rFonts w:hint="eastAsia"/>
          <w:sz w:val="28"/>
          <w:szCs w:val="28"/>
          <w:shd w:val="clear" w:color="auto" w:fill="FFFFFF"/>
          <w:lang w:val="en-US" w:eastAsia="zh-CN"/>
        </w:rPr>
        <w:t>管护期</w:t>
      </w:r>
      <w:r>
        <w:rPr>
          <w:rFonts w:hint="eastAsia" w:ascii="Times New Roman" w:hAnsi="Times New Roman"/>
          <w:sz w:val="28"/>
          <w:szCs w:val="28"/>
          <w:shd w:val="clear" w:color="auto" w:fill="FFFFFF"/>
          <w:lang w:val="en-US" w:eastAsia="zh-CN"/>
        </w:rPr>
        <w:t>每年对</w:t>
      </w:r>
      <w:r>
        <w:rPr>
          <w:rFonts w:hint="eastAsia"/>
        </w:rPr>
        <w:t>复垦植被监测</w:t>
      </w:r>
      <w:r>
        <w:rPr>
          <w:rFonts w:hint="eastAsia"/>
          <w:lang w:val="en-US" w:eastAsia="zh-CN"/>
        </w:rPr>
        <w:t>和</w:t>
      </w:r>
      <w:r>
        <w:rPr>
          <w:rFonts w:hint="eastAsia"/>
        </w:rPr>
        <w:t>土壤质量监测</w:t>
      </w:r>
      <w:r>
        <w:rPr>
          <w:rFonts w:hint="eastAsia"/>
          <w:lang w:val="en-US" w:eastAsia="zh-CN"/>
        </w:rPr>
        <w:t>和</w:t>
      </w:r>
      <w:r>
        <w:rPr>
          <w:rFonts w:hint="eastAsia" w:ascii="Times New Roman" w:hAnsi="Times New Roman"/>
          <w:sz w:val="28"/>
          <w:szCs w:val="28"/>
          <w:shd w:val="clear" w:color="auto" w:fill="FFFFFF"/>
        </w:rPr>
        <w:t>春秋各一次</w:t>
      </w:r>
      <w:r>
        <w:rPr>
          <w:rFonts w:ascii="Times New Roman" w:hAnsi="Times New Roman"/>
          <w:sz w:val="28"/>
          <w:szCs w:val="28"/>
          <w:shd w:val="clear" w:color="auto" w:fill="FFFFFF"/>
        </w:rPr>
        <w:t>，持续监测3年</w:t>
      </w:r>
      <w:r>
        <w:rPr>
          <w:rFonts w:hint="eastAsia" w:ascii="Times New Roman" w:hAnsi="Times New Roman"/>
          <w:sz w:val="28"/>
          <w:szCs w:val="28"/>
          <w:shd w:val="clear" w:color="auto" w:fill="FFFFFF"/>
          <w:lang w:eastAsia="zh-CN"/>
        </w:rPr>
        <w:t>。</w:t>
      </w:r>
    </w:p>
    <w:p>
      <w:pPr>
        <w:pStyle w:val="3"/>
        <w:bidi w:val="0"/>
      </w:pPr>
      <w:bookmarkStart w:id="115" w:name="_Toc20692"/>
      <w:bookmarkStart w:id="116" w:name="_Toc13973"/>
      <w:bookmarkStart w:id="117" w:name="_Toc2886"/>
      <w:bookmarkStart w:id="118" w:name="_Toc7744"/>
      <w:r>
        <w:rPr>
          <w:rFonts w:hint="eastAsia"/>
          <w:lang w:val="en-US" w:eastAsia="zh-CN"/>
        </w:rPr>
        <w:t>二、</w:t>
      </w:r>
      <w:r>
        <w:rPr>
          <w:rFonts w:hint="eastAsia"/>
        </w:rPr>
        <w:t>管护</w:t>
      </w:r>
      <w:r>
        <w:rPr>
          <w:rFonts w:hint="eastAsia"/>
          <w:lang w:val="en-US" w:eastAsia="zh-CN"/>
        </w:rPr>
        <w:t>目标与</w:t>
      </w:r>
      <w:r>
        <w:rPr>
          <w:rFonts w:hint="eastAsia"/>
        </w:rPr>
        <w:t>措施</w:t>
      </w:r>
      <w:bookmarkEnd w:id="115"/>
      <w:bookmarkEnd w:id="116"/>
      <w:bookmarkEnd w:id="117"/>
      <w:bookmarkEnd w:id="118"/>
    </w:p>
    <w:p>
      <w:pPr>
        <w:bidi w:val="0"/>
        <w:rPr>
          <w:rFonts w:hint="default"/>
        </w:rPr>
      </w:pPr>
      <w:r>
        <w:rPr>
          <w:rFonts w:hint="eastAsia"/>
        </w:rPr>
        <w:t>复垦土地植被管护工作对于植物的生长至关重要，植物种植之后仍需要一系列诸如补种、加种、浇水、防冻等管护措施。主要表现在以下几个方面：</w:t>
      </w:r>
    </w:p>
    <w:p>
      <w:pPr>
        <w:bidi w:val="0"/>
        <w:rPr>
          <w:rFonts w:hint="default"/>
        </w:rPr>
      </w:pPr>
      <w:bookmarkStart w:id="119" w:name="_Toc358636290"/>
      <w:r>
        <w:rPr>
          <w:rFonts w:hint="eastAsia"/>
        </w:rPr>
        <w:t>（1）灌溉施肥措施</w:t>
      </w:r>
      <w:bookmarkEnd w:id="119"/>
    </w:p>
    <w:p>
      <w:pPr>
        <w:bidi w:val="0"/>
        <w:rPr>
          <w:rFonts w:hint="default"/>
        </w:rPr>
      </w:pPr>
      <w:r>
        <w:rPr>
          <w:rFonts w:hint="eastAsia"/>
        </w:rPr>
        <w:t>矿区气候属中温带半湿润大陆性季风气候，夏季雨量充沛，冬季寒冷少雨，矿区多年平均降水量为541.9</w:t>
      </w:r>
      <w:r>
        <w:rPr>
          <w:rFonts w:hint="default"/>
        </w:rPr>
        <w:t>mmmm</w:t>
      </w:r>
      <w:r>
        <w:rPr>
          <w:rFonts w:hint="eastAsia"/>
        </w:rPr>
        <w:t>，夏季能够满足植物生长的需求，不需设计专门的灌溉管道等装置。植物种植及移栽第一年，为增加出苗率以及植物的成活率</w:t>
      </w:r>
      <w:r>
        <w:rPr>
          <w:rFonts w:hint="eastAsia"/>
          <w:lang w:eastAsia="zh-CN"/>
        </w:rPr>
        <w:t>需要</w:t>
      </w:r>
      <w:r>
        <w:rPr>
          <w:rFonts w:hint="eastAsia"/>
        </w:rPr>
        <w:t>一定的灌溉施肥措施，采用水车拉水灌溉的方式，在种植或栽植后当时以及之后定期灌溉，两年之后可以转为完全依靠自然降水。</w:t>
      </w:r>
    </w:p>
    <w:p>
      <w:pPr>
        <w:bidi w:val="0"/>
        <w:rPr>
          <w:rFonts w:hint="default"/>
        </w:rPr>
      </w:pPr>
      <w:r>
        <w:rPr>
          <w:rFonts w:hint="eastAsia"/>
        </w:rPr>
        <w:t>不同植物种植时可以适当施以不同量的化肥做底肥，之后土壤中的营养物质基本能够满足植物生长需要，为提高植物的长势，可采取追肥措施。</w:t>
      </w:r>
    </w:p>
    <w:p>
      <w:pPr>
        <w:bidi w:val="0"/>
        <w:rPr>
          <w:rFonts w:hint="default"/>
        </w:rPr>
      </w:pPr>
      <w:bookmarkStart w:id="120" w:name="_Toc358636291"/>
      <w:r>
        <w:rPr>
          <w:rFonts w:hint="eastAsia"/>
        </w:rPr>
        <w:t>（2）幼林抚育及病虫害防治措施</w:t>
      </w:r>
      <w:bookmarkEnd w:id="120"/>
    </w:p>
    <w:p>
      <w:pPr>
        <w:bidi w:val="0"/>
        <w:rPr>
          <w:rFonts w:hint="default"/>
        </w:rPr>
      </w:pPr>
      <w:r>
        <w:rPr>
          <w:rFonts w:hint="eastAsia"/>
        </w:rPr>
        <w:t>幼林抚育工作应在春末进行，以免造成水土流失。具体抚育措施为</w:t>
      </w:r>
      <w:r>
        <w:rPr>
          <w:rFonts w:hint="eastAsia"/>
          <w:lang w:eastAsia="zh-CN"/>
        </w:rPr>
        <w:t>适时</w:t>
      </w:r>
      <w:r>
        <w:rPr>
          <w:rFonts w:hint="eastAsia"/>
        </w:rPr>
        <w:t>进行</w:t>
      </w:r>
      <w:r>
        <w:rPr>
          <w:rFonts w:hint="eastAsia"/>
          <w:lang w:val="en-US" w:eastAsia="zh-CN"/>
        </w:rPr>
        <w:t>浇</w:t>
      </w:r>
      <w:r>
        <w:rPr>
          <w:rFonts w:hint="eastAsia"/>
        </w:rPr>
        <w:t>灌、</w:t>
      </w:r>
      <w:r>
        <w:rPr>
          <w:rFonts w:hint="eastAsia"/>
          <w:lang w:eastAsia="zh-CN"/>
        </w:rPr>
        <w:t>除草</w:t>
      </w:r>
      <w:r>
        <w:rPr>
          <w:rFonts w:hint="eastAsia"/>
        </w:rPr>
        <w:t>、松土、培土、施肥等。严禁打枝，保护林下植被和枯枝落叶，以达到保持和改良土壤，提高肥力的作用。</w:t>
      </w:r>
    </w:p>
    <w:p>
      <w:pPr>
        <w:bidi w:val="0"/>
        <w:rPr>
          <w:rFonts w:hint="default"/>
        </w:rPr>
      </w:pPr>
      <w:r>
        <w:rPr>
          <w:rFonts w:hint="eastAsia"/>
        </w:rPr>
        <w:t>病虫害防治以预防为主，特别是幼林阶段，需针对不同植物易染病虫害种类（如褐斑病、煤烟病等病虫危害），掌握病虫害发生规律，及时采取适宜的药物进行预防治疗，疏林补密，轮流封禁，保持郁闭。</w:t>
      </w:r>
    </w:p>
    <w:p>
      <w:pPr>
        <w:bidi w:val="0"/>
        <w:rPr>
          <w:rFonts w:hint="default"/>
        </w:rPr>
      </w:pPr>
      <w:bookmarkStart w:id="121" w:name="_Toc358636292"/>
      <w:r>
        <w:rPr>
          <w:rFonts w:hint="eastAsia"/>
        </w:rPr>
        <w:t>（3）补种加种等管护措施</w:t>
      </w:r>
      <w:bookmarkEnd w:id="121"/>
    </w:p>
    <w:p>
      <w:pPr>
        <w:bidi w:val="0"/>
        <w:rPr>
          <w:rFonts w:hint="default"/>
        </w:rPr>
      </w:pPr>
      <w:r>
        <w:rPr>
          <w:rFonts w:hint="eastAsia"/>
        </w:rPr>
        <w:t>种植后的一两个月内需要对栽植区域进行补植，确保成活率，以保证能</w:t>
      </w:r>
      <w:r>
        <w:rPr>
          <w:rFonts w:hint="eastAsia"/>
          <w:lang w:eastAsia="zh-CN"/>
        </w:rPr>
        <w:t>够让</w:t>
      </w:r>
      <w:r>
        <w:rPr>
          <w:rFonts w:hint="eastAsia"/>
        </w:rPr>
        <w:t>植被尽快覆盖地表，减少水土流失的可能。</w:t>
      </w:r>
    </w:p>
    <w:p>
      <w:pPr>
        <w:bidi w:val="0"/>
      </w:pPr>
      <w:r>
        <w:rPr>
          <w:rFonts w:hint="eastAsia"/>
        </w:rPr>
        <w:t>区域复垦后的植被为人造植被，</w:t>
      </w:r>
      <w:r>
        <w:rPr>
          <w:rFonts w:hint="eastAsia"/>
          <w:lang w:eastAsia="zh-CN"/>
        </w:rPr>
        <w:t>虽然</w:t>
      </w:r>
      <w:r>
        <w:rPr>
          <w:rFonts w:hint="eastAsia"/>
        </w:rPr>
        <w:t>在选择植物种类以及进行搭配的过程中尽量趋于合理，但是与自然植被相比仍有较多不足，因此复垦后进行封育管护，在项目区选择有代表性的地点设立长期可视的封育管理宣传牌，严禁放牧、捕杀动物等损毁林地和损毁森林的行为，聘请护林员等措施，切实保护、维护好复垦区的生态环境，以增加区域生物多样性，使其生态环境趋于合理。</w:t>
      </w:r>
    </w:p>
    <w:p>
      <w:pPr>
        <w:pStyle w:val="3"/>
        <w:bidi w:val="0"/>
        <w:rPr>
          <w:rFonts w:hint="eastAsia"/>
        </w:rPr>
      </w:pPr>
      <w:bookmarkStart w:id="122" w:name="_Toc14262"/>
      <w:bookmarkStart w:id="123" w:name="_Toc145"/>
      <w:bookmarkStart w:id="124" w:name="_Toc18406"/>
      <w:bookmarkStart w:id="125" w:name="_Toc32026"/>
      <w:r>
        <w:rPr>
          <w:rFonts w:hint="eastAsia"/>
          <w:lang w:val="en-US" w:eastAsia="zh-CN"/>
        </w:rPr>
        <w:t>三</w:t>
      </w:r>
      <w:r>
        <w:rPr>
          <w:rFonts w:hint="eastAsia"/>
        </w:rPr>
        <w:t>、工程量</w:t>
      </w:r>
      <w:bookmarkEnd w:id="122"/>
      <w:bookmarkEnd w:id="123"/>
      <w:bookmarkEnd w:id="124"/>
      <w:bookmarkEnd w:id="125"/>
    </w:p>
    <w:p>
      <w:pPr>
        <w:bidi w:val="0"/>
      </w:pPr>
      <w:r>
        <w:t>本方案设计监测与管护主要</w:t>
      </w:r>
      <w:r>
        <w:rPr>
          <w:rFonts w:hint="eastAsia"/>
          <w:lang w:val="en-US" w:eastAsia="zh-CN"/>
        </w:rPr>
        <w:t>不稳定斜坡</w:t>
      </w:r>
      <w:r>
        <w:t>监测、</w:t>
      </w:r>
      <w:r>
        <w:rPr>
          <w:rFonts w:hint="eastAsia"/>
          <w:lang w:val="en-US" w:eastAsia="zh-CN"/>
        </w:rPr>
        <w:t>土地损毁</w:t>
      </w:r>
      <w:r>
        <w:t>监测、土壤质量监测、植被恢复效果监测、修复后林地管护，主要工程量见下表。</w:t>
      </w:r>
    </w:p>
    <w:p>
      <w:pPr>
        <w:pStyle w:val="8"/>
        <w:bidi w:val="0"/>
      </w:pPr>
      <w:r>
        <w:t>表</w:t>
      </w:r>
      <w:r>
        <w:rPr>
          <w:rFonts w:hint="eastAsia"/>
          <w:lang w:val="en-US" w:eastAsia="zh-CN"/>
        </w:rPr>
        <w:t xml:space="preserve"> 5</w:t>
      </w:r>
      <w:r>
        <w:t>-3 监测与管护工程量表</w:t>
      </w:r>
    </w:p>
    <w:tbl>
      <w:tblPr>
        <w:tblStyle w:val="16"/>
        <w:tblW w:w="97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3"/>
        <w:gridCol w:w="2435"/>
        <w:gridCol w:w="1623"/>
        <w:gridCol w:w="1890"/>
        <w:gridCol w:w="2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3478"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项目</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单位</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工程量</w:t>
            </w:r>
          </w:p>
        </w:tc>
        <w:tc>
          <w:tcPr>
            <w:tcW w:w="2726"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（一）</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监测工程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18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（点*年*次/年）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不稳定边坡监测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w:t>
            </w:r>
            <w:r>
              <w:rPr>
                <w:rFonts w:hint="default"/>
                <w:lang w:val="en-US" w:eastAsia="zh-CN"/>
              </w:rPr>
              <w:t>*</w:t>
            </w:r>
            <w:r>
              <w:rPr>
                <w:rFonts w:hint="eastAsia"/>
                <w:lang w:val="en-US" w:eastAsia="zh-CN"/>
              </w:rPr>
              <w:t>*</w:t>
            </w: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土地损毁监测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w:t>
            </w:r>
            <w:r>
              <w:rPr>
                <w:rFonts w:hint="default"/>
                <w:lang w:val="en-US" w:eastAsia="zh-CN"/>
              </w:rPr>
              <w:t>*</w:t>
            </w:r>
            <w:r>
              <w:rPr>
                <w:rFonts w:hint="eastAsia"/>
                <w:lang w:val="en-US" w:eastAsia="zh-CN"/>
              </w:rPr>
              <w:t>*</w:t>
            </w: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3</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土壤质量监测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w:t>
            </w: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4</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土地复垦效果监测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样方次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w:t>
            </w: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（二）</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管护工程</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eastAsia="宋体"/>
                <w:lang w:eastAsia="zh-CN"/>
              </w:rPr>
            </w:pPr>
            <w:r>
              <w:rPr>
                <w:rFonts w:hint="eastAsia"/>
                <w:lang w:eastAsia="zh-CN"/>
              </w:rPr>
              <w:t>（</w:t>
            </w:r>
            <w:r>
              <w:rPr>
                <w:rFonts w:hint="default"/>
                <w:lang w:val="en-US" w:eastAsia="zh-CN"/>
              </w:rPr>
              <w:t>hm</w:t>
            </w:r>
            <w:r>
              <w:rPr>
                <w:rFonts w:hint="default"/>
                <w:vertAlign w:val="superscript"/>
                <w:lang w:val="en-US" w:eastAsia="zh-CN"/>
              </w:rPr>
              <w:t>2</w:t>
            </w:r>
            <w:r>
              <w:rPr>
                <w:rFonts w:hint="default"/>
                <w:lang w:val="en-US" w:eastAsia="zh-CN"/>
              </w:rPr>
              <w:t>×</w:t>
            </w:r>
            <w:r>
              <w:rPr>
                <w:rFonts w:hint="eastAsia"/>
                <w:lang w:val="en-US" w:eastAsia="zh-CN"/>
              </w:rPr>
              <w:t>年</w:t>
            </w:r>
            <w:r>
              <w:rPr>
                <w:rFonts w:hint="eastAsia"/>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1</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林地管护</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hm</w:t>
            </w:r>
            <w:r>
              <w:rPr>
                <w:rFonts w:hint="default"/>
                <w:vertAlign w:val="superscript"/>
                <w:lang w:val="en-US" w:eastAsia="zh-CN"/>
              </w:rPr>
              <w:t>2</w:t>
            </w:r>
            <w:r>
              <w:rPr>
                <w:rFonts w:hint="default"/>
                <w:lang w:val="en-US" w:eastAsia="zh-CN"/>
              </w:rPr>
              <w:t>×</w:t>
            </w:r>
            <w:r>
              <w:rPr>
                <w:rFonts w:hint="eastAsia"/>
                <w:lang w:val="en-US" w:eastAsia="zh-CN"/>
              </w:rPr>
              <w:t>年</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lang w:val="en-US" w:eastAsia="zh-CN"/>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eastAsia"/>
                <w:lang w:val="en-US" w:eastAsia="zh-CN"/>
              </w:rPr>
              <w:t>*.****</w:t>
            </w: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04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eastAsia="zh-CN"/>
              </w:rPr>
            </w:pPr>
            <w:bookmarkStart w:id="126" w:name="_Toc12008"/>
            <w:bookmarkStart w:id="127" w:name="_Toc11085"/>
            <w:bookmarkStart w:id="128" w:name="_Toc21613"/>
            <w:bookmarkStart w:id="129" w:name="_Toc13879"/>
            <w:bookmarkStart w:id="130" w:name="_Toc1282"/>
            <w:bookmarkStart w:id="131" w:name="_Toc2039"/>
            <w:r>
              <w:rPr>
                <w:rFonts w:hint="default"/>
                <w:lang w:val="en-US" w:eastAsia="zh-CN"/>
              </w:rPr>
              <w:t>2</w:t>
            </w:r>
          </w:p>
        </w:tc>
        <w:tc>
          <w:tcPr>
            <w:tcW w:w="243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eastAsia="zh-CN"/>
              </w:rPr>
            </w:pPr>
            <w:r>
              <w:rPr>
                <w:rFonts w:hint="eastAsia"/>
                <w:lang w:val="en-US" w:eastAsia="zh-CN"/>
              </w:rPr>
              <w:t>草地管护</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lang w:val="en-US" w:eastAsia="zh-CN"/>
              </w:rPr>
            </w:pPr>
            <w:r>
              <w:rPr>
                <w:rFonts w:hint="default"/>
                <w:lang w:val="en-US" w:eastAsia="zh-CN"/>
              </w:rPr>
              <w:t>hm</w:t>
            </w:r>
            <w:r>
              <w:rPr>
                <w:vertAlign w:val="superscript"/>
                <w:lang w:val="en-US" w:eastAsia="zh-CN"/>
              </w:rPr>
              <w:t>2</w:t>
            </w:r>
            <w:r>
              <w:rPr>
                <w:rFonts w:hint="default"/>
                <w:lang w:val="en-US" w:eastAsia="zh-CN"/>
              </w:rPr>
              <w:t>×</w:t>
            </w:r>
            <w:r>
              <w:rPr>
                <w:rFonts w:hint="eastAsia"/>
                <w:lang w:val="en-US" w:eastAsia="zh-CN"/>
              </w:rPr>
              <w:t>年</w:t>
            </w:r>
          </w:p>
        </w:tc>
        <w:tc>
          <w:tcPr>
            <w:tcW w:w="189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lang w:val="en-US" w:eastAsia="zh-CN"/>
              </w:rPr>
            </w:pPr>
            <w:r>
              <w:rPr>
                <w:rFonts w:hint="eastAsia"/>
                <w:lang w:val="en-US" w:eastAsia="zh-CN"/>
              </w:rPr>
              <w:t>*.****</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lang w:val="en-US" w:eastAsia="zh-CN"/>
              </w:rPr>
            </w:pPr>
            <w:r>
              <w:rPr>
                <w:rFonts w:hint="default"/>
                <w:lang w:val="en-US" w:eastAsia="zh-CN"/>
              </w:rPr>
              <w:t>*.******</w:t>
            </w:r>
          </w:p>
        </w:tc>
      </w:tr>
      <w:bookmarkEnd w:id="102"/>
      <w:bookmarkEnd w:id="103"/>
      <w:bookmarkEnd w:id="104"/>
    </w:tbl>
    <w:p>
      <w:pPr>
        <w:pStyle w:val="2"/>
        <w:spacing w:before="0" w:after="0" w:line="360" w:lineRule="auto"/>
        <w:ind w:firstLine="0" w:firstLineChars="0"/>
        <w:jc w:val="center"/>
        <w:rPr>
          <w:sz w:val="28"/>
          <w:szCs w:val="28"/>
        </w:rPr>
        <w:sectPr>
          <w:pgSz w:w="11906" w:h="16838"/>
          <w:pgMar w:top="1440" w:right="1080" w:bottom="1440" w:left="1080" w:header="851" w:footer="992" w:gutter="0"/>
          <w:cols w:space="720" w:num="1"/>
          <w:docGrid w:type="lines" w:linePitch="336" w:charSpace="0"/>
        </w:sectPr>
      </w:pPr>
    </w:p>
    <w:p>
      <w:pPr>
        <w:pStyle w:val="2"/>
        <w:bidi w:val="0"/>
        <w:rPr>
          <w:rFonts w:hint="eastAsia"/>
          <w:lang w:val="en-US" w:eastAsia="zh-CN"/>
        </w:rPr>
      </w:pPr>
      <w:bookmarkStart w:id="132" w:name="_Toc2601"/>
      <w:r>
        <w:t>第</w:t>
      </w:r>
      <w:r>
        <w:rPr>
          <w:rFonts w:hint="eastAsia"/>
          <w:lang w:val="en-US" w:eastAsia="zh-CN"/>
        </w:rPr>
        <w:t>六</w:t>
      </w:r>
      <w:r>
        <w:t>章 工作部署</w:t>
      </w:r>
      <w:r>
        <w:rPr>
          <w:rFonts w:hint="eastAsia"/>
          <w:lang w:val="en-US" w:eastAsia="zh-CN"/>
        </w:rPr>
        <w:t>与经费估算</w:t>
      </w:r>
      <w:bookmarkEnd w:id="132"/>
    </w:p>
    <w:p>
      <w:pPr>
        <w:pStyle w:val="3"/>
        <w:bidi w:val="0"/>
      </w:pPr>
      <w:bookmarkStart w:id="133" w:name="_Toc26823"/>
      <w:bookmarkStart w:id="134" w:name="_Toc19246"/>
      <w:r>
        <w:t>一、总体部署</w:t>
      </w:r>
      <w:bookmarkEnd w:id="133"/>
      <w:bookmarkEnd w:id="134"/>
    </w:p>
    <w:p>
      <w:pPr>
        <w:ind w:firstLine="560"/>
        <w:rPr>
          <w:sz w:val="28"/>
          <w:szCs w:val="28"/>
        </w:rPr>
      </w:pPr>
      <w:r>
        <w:rPr>
          <w:rFonts w:hint="eastAsia"/>
          <w:sz w:val="28"/>
          <w:szCs w:val="28"/>
        </w:rPr>
        <w:t>针对各分区的地质环境和地质灾害的形式、强度及其危害程度，按照轻重缓急的原则合理布设防治措施，建立工程措施、植物措施和复垦措施相结合的地质环境保护与土地复垦体系。通过措施布局，力求使本建设项目造成的地质环境问题及地质灾害得以集中和全面的治理，在发挥工程措施控制性和速效性特点的同时，充分发挥治理措施和复垦措施的长效性和美化效果，有效防止工程建设和生产过程中的地质环境问题和地质灾害，恢复和改善项目的生态环境。</w:t>
      </w:r>
    </w:p>
    <w:p>
      <w:pPr>
        <w:ind w:firstLine="560"/>
        <w:rPr>
          <w:sz w:val="28"/>
          <w:szCs w:val="28"/>
        </w:rPr>
      </w:pPr>
      <w:r>
        <w:rPr>
          <w:rFonts w:hint="eastAsia"/>
          <w:sz w:val="28"/>
          <w:szCs w:val="28"/>
        </w:rPr>
        <w:t>根据《矿山地质环境保护与恢复治理方案编制规范》（DZ/T223-2011）、《土地复垦方案编制规程》结合本矿山的实际情况，将本项目矿山</w:t>
      </w:r>
      <w:r>
        <w:rPr>
          <w:rFonts w:hint="eastAsia"/>
          <w:sz w:val="28"/>
          <w:szCs w:val="28"/>
          <w:lang w:val="en-US" w:eastAsia="zh-CN"/>
        </w:rPr>
        <w:t>生态修复方案划分为两个</w:t>
      </w:r>
      <w:r>
        <w:rPr>
          <w:rFonts w:hint="eastAsia"/>
          <w:sz w:val="28"/>
          <w:szCs w:val="28"/>
        </w:rPr>
        <w:t>阶段： 202</w:t>
      </w:r>
      <w:r>
        <w:rPr>
          <w:rFonts w:hint="eastAsia"/>
          <w:sz w:val="28"/>
          <w:szCs w:val="28"/>
          <w:lang w:val="en-US" w:eastAsia="zh-CN"/>
        </w:rPr>
        <w:t>6</w:t>
      </w:r>
      <w:r>
        <w:rPr>
          <w:rFonts w:hint="eastAsia"/>
          <w:sz w:val="28"/>
          <w:szCs w:val="28"/>
        </w:rPr>
        <w:t>年</w:t>
      </w:r>
      <w:r>
        <w:rPr>
          <w:rFonts w:hint="eastAsia"/>
          <w:sz w:val="28"/>
          <w:szCs w:val="28"/>
          <w:lang w:val="en-US" w:eastAsia="zh-CN"/>
        </w:rPr>
        <w:t>6</w:t>
      </w:r>
      <w:r>
        <w:rPr>
          <w:rFonts w:hint="eastAsia"/>
          <w:sz w:val="28"/>
          <w:szCs w:val="28"/>
        </w:rPr>
        <w:t>月</w:t>
      </w:r>
      <w:r>
        <w:rPr>
          <w:rFonts w:hint="eastAsia"/>
          <w:sz w:val="28"/>
          <w:szCs w:val="28"/>
          <w:lang w:eastAsia="zh-CN"/>
        </w:rPr>
        <w:t>—</w:t>
      </w:r>
      <w:r>
        <w:rPr>
          <w:rFonts w:hint="eastAsia"/>
          <w:sz w:val="28"/>
          <w:szCs w:val="28"/>
        </w:rPr>
        <w:t>20</w:t>
      </w:r>
      <w:r>
        <w:rPr>
          <w:rFonts w:hint="eastAsia"/>
          <w:sz w:val="28"/>
          <w:szCs w:val="28"/>
          <w:lang w:val="en-US" w:eastAsia="zh-CN"/>
        </w:rPr>
        <w:t>31</w:t>
      </w:r>
      <w:r>
        <w:rPr>
          <w:rFonts w:hint="eastAsia"/>
          <w:sz w:val="28"/>
          <w:szCs w:val="28"/>
        </w:rPr>
        <w:t>年</w:t>
      </w:r>
      <w:r>
        <w:rPr>
          <w:rFonts w:hint="eastAsia"/>
          <w:sz w:val="28"/>
          <w:szCs w:val="28"/>
          <w:lang w:val="en-US" w:eastAsia="zh-CN"/>
        </w:rPr>
        <w:t>6</w:t>
      </w:r>
      <w:r>
        <w:rPr>
          <w:rFonts w:hint="eastAsia"/>
          <w:sz w:val="28"/>
          <w:szCs w:val="28"/>
        </w:rPr>
        <w:t>月生产及监测治理期与复垦期、20</w:t>
      </w:r>
      <w:r>
        <w:rPr>
          <w:rFonts w:hint="eastAsia"/>
          <w:sz w:val="28"/>
          <w:szCs w:val="28"/>
          <w:lang w:val="en-US" w:eastAsia="zh-CN"/>
        </w:rPr>
        <w:t>31</w:t>
      </w:r>
      <w:r>
        <w:rPr>
          <w:rFonts w:hint="eastAsia"/>
          <w:sz w:val="28"/>
          <w:szCs w:val="28"/>
        </w:rPr>
        <w:t>年</w:t>
      </w:r>
      <w:r>
        <w:rPr>
          <w:rFonts w:hint="eastAsia"/>
          <w:sz w:val="28"/>
          <w:szCs w:val="28"/>
          <w:lang w:val="en-US" w:eastAsia="zh-CN"/>
        </w:rPr>
        <w:t>6</w:t>
      </w:r>
      <w:r>
        <w:rPr>
          <w:rFonts w:hint="eastAsia"/>
          <w:sz w:val="28"/>
          <w:szCs w:val="28"/>
        </w:rPr>
        <w:t>月</w:t>
      </w:r>
      <w:r>
        <w:rPr>
          <w:rFonts w:hint="eastAsia"/>
          <w:sz w:val="28"/>
          <w:szCs w:val="28"/>
          <w:lang w:eastAsia="zh-CN"/>
        </w:rPr>
        <w:t>—</w:t>
      </w:r>
      <w:r>
        <w:rPr>
          <w:rFonts w:hint="eastAsia"/>
          <w:sz w:val="28"/>
          <w:szCs w:val="28"/>
        </w:rPr>
        <w:t>20</w:t>
      </w:r>
      <w:r>
        <w:rPr>
          <w:rFonts w:hint="eastAsia"/>
          <w:sz w:val="28"/>
          <w:szCs w:val="28"/>
          <w:lang w:val="en-US" w:eastAsia="zh-CN"/>
        </w:rPr>
        <w:t>33</w:t>
      </w:r>
      <w:r>
        <w:rPr>
          <w:rFonts w:hint="eastAsia"/>
          <w:sz w:val="28"/>
          <w:szCs w:val="28"/>
        </w:rPr>
        <w:t>年</w:t>
      </w:r>
      <w:r>
        <w:rPr>
          <w:rFonts w:hint="eastAsia"/>
          <w:sz w:val="28"/>
          <w:szCs w:val="28"/>
          <w:lang w:val="en-US" w:eastAsia="zh-CN"/>
        </w:rPr>
        <w:t>6</w:t>
      </w:r>
      <w:r>
        <w:rPr>
          <w:rFonts w:hint="eastAsia"/>
          <w:sz w:val="28"/>
          <w:szCs w:val="28"/>
        </w:rPr>
        <w:t>月监测及管护期</w:t>
      </w:r>
      <w:r>
        <w:rPr>
          <w:rFonts w:hint="eastAsia"/>
          <w:sz w:val="28"/>
          <w:szCs w:val="28"/>
          <w:lang w:eastAsia="zh-CN"/>
        </w:rPr>
        <w:t>两个阶段</w:t>
      </w:r>
      <w:r>
        <w:rPr>
          <w:rFonts w:hint="eastAsia"/>
          <w:sz w:val="28"/>
          <w:szCs w:val="28"/>
        </w:rPr>
        <w:t>。</w:t>
      </w:r>
    </w:p>
    <w:p>
      <w:pPr>
        <w:pStyle w:val="4"/>
        <w:bidi w:val="0"/>
        <w:rPr>
          <w:rFonts w:hint="eastAsia"/>
        </w:rPr>
      </w:pPr>
      <w:r>
        <w:rPr>
          <w:rFonts w:hint="eastAsia"/>
        </w:rPr>
        <w:t>（一）近期（5年内）实施计划</w:t>
      </w:r>
    </w:p>
    <w:p>
      <w:pPr>
        <w:rPr>
          <w:rFonts w:hint="eastAsia"/>
          <w:lang w:eastAsia="zh-CN"/>
        </w:rPr>
      </w:pPr>
      <w:r>
        <w:rPr>
          <w:rFonts w:hint="eastAsia"/>
        </w:rPr>
        <w:t>本项目设计开采服务年限为</w:t>
      </w:r>
      <w:r>
        <w:rPr>
          <w:rFonts w:hint="eastAsia"/>
          <w:lang w:val="en-US" w:eastAsia="zh-CN"/>
        </w:rPr>
        <w:t>5</w:t>
      </w:r>
      <w:r>
        <w:rPr>
          <w:rFonts w:hint="eastAsia"/>
        </w:rPr>
        <w:t>年，近期年度</w:t>
      </w:r>
      <w:r>
        <w:rPr>
          <w:rFonts w:hint="eastAsia"/>
          <w:lang w:val="en-US" w:eastAsia="zh-CN"/>
        </w:rPr>
        <w:t>包含生产期，</w:t>
      </w:r>
      <w:r>
        <w:rPr>
          <w:rFonts w:hint="eastAsia"/>
        </w:rPr>
        <w:t>安排工作主要体现在</w:t>
      </w:r>
      <w:r>
        <w:rPr>
          <w:rFonts w:hint="eastAsia"/>
          <w:lang w:val="en-US" w:eastAsia="zh-CN"/>
        </w:rPr>
        <w:t>2026</w:t>
      </w:r>
      <w:r>
        <w:rPr>
          <w:rFonts w:hint="eastAsia"/>
        </w:rPr>
        <w:t>年</w:t>
      </w:r>
      <w:r>
        <w:rPr>
          <w:rFonts w:hint="eastAsia"/>
          <w:lang w:val="en-US" w:eastAsia="zh-CN"/>
        </w:rPr>
        <w:t>6月至2031年6月。包含生产期、复垦期以及管护期</w:t>
      </w:r>
      <w:r>
        <w:rPr>
          <w:rFonts w:hint="eastAsia"/>
          <w:lang w:eastAsia="zh-CN"/>
        </w:rPr>
        <w:t>，</w:t>
      </w:r>
      <w:r>
        <w:rPr>
          <w:rFonts w:hint="eastAsia"/>
        </w:rPr>
        <w:t>工程主要包括设立警示牌、</w:t>
      </w:r>
      <w:r>
        <w:rPr>
          <w:rFonts w:hint="eastAsia"/>
          <w:lang w:val="en-US" w:eastAsia="zh-CN"/>
        </w:rPr>
        <w:t>围栏、土地损毁监测、建筑物拆除、建筑垃圾清运、地面清理平整、土地翻耕、表土回覆、植树工程、栽植爬山虎、土壤质量监测、土地复垦效果监测、林地管护等</w:t>
      </w:r>
      <w:r>
        <w:rPr>
          <w:rFonts w:hint="eastAsia"/>
        </w:rPr>
        <w:t>，安排如下表（具体以矿山实际运营为准，本设计仅供参考）</w:t>
      </w:r>
      <w:r>
        <w:rPr>
          <w:rFonts w:hint="eastAsia"/>
          <w:lang w:eastAsia="zh-CN"/>
        </w:rPr>
        <w:t>。</w:t>
      </w:r>
    </w:p>
    <w:p>
      <w:pPr>
        <w:pStyle w:val="8"/>
        <w:bidi w:val="0"/>
      </w:pPr>
      <w:r>
        <w:t xml:space="preserve">表 </w:t>
      </w:r>
      <w:r>
        <w:rPr>
          <w:rFonts w:hint="eastAsia"/>
          <w:lang w:val="en-US" w:eastAsia="zh-CN"/>
        </w:rPr>
        <w:t>6-1 近期（</w:t>
      </w:r>
      <w:r>
        <w:rPr>
          <w:rFonts w:hint="default"/>
          <w:lang w:val="en-US" w:eastAsia="zh-CN"/>
        </w:rPr>
        <w:t xml:space="preserve">5 </w:t>
      </w:r>
      <w:r>
        <w:rPr>
          <w:rFonts w:hint="eastAsia"/>
          <w:lang w:val="en-US" w:eastAsia="zh-CN"/>
        </w:rPr>
        <w:t>年内）实施计划阶段工作计划安排表</w:t>
      </w:r>
    </w:p>
    <w:tbl>
      <w:tblPr>
        <w:tblStyle w:val="16"/>
        <w:tblW w:w="98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8"/>
        <w:gridCol w:w="3270"/>
        <w:gridCol w:w="57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6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327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时间</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6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327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2026年6月—2029年6月</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不稳定边坡监测、土地损毁监测、设置警示牌、围栏、栽植爬山虎。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6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eastAsia="zh-CN"/>
              </w:rPr>
            </w:pPr>
            <w:bookmarkStart w:id="135" w:name="_Toc30790"/>
            <w:r>
              <w:rPr>
                <w:rFonts w:hint="eastAsia"/>
                <w:lang w:val="en-US" w:eastAsia="zh-CN"/>
              </w:rPr>
              <w:t>2</w:t>
            </w:r>
          </w:p>
        </w:tc>
        <w:tc>
          <w:tcPr>
            <w:tcW w:w="327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eastAsia="zh-CN"/>
              </w:rPr>
            </w:pPr>
            <w:r>
              <w:rPr>
                <w:rFonts w:hint="eastAsia"/>
                <w:lang w:val="en-US" w:eastAsia="zh-CN"/>
              </w:rPr>
              <w:t>2029年6月—2030年6月</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lang w:val="en-US" w:eastAsia="zh-CN"/>
              </w:rPr>
            </w:pPr>
            <w:r>
              <w:rPr>
                <w:rFonts w:hint="eastAsia"/>
                <w:lang w:val="en-US" w:eastAsia="zh-CN"/>
              </w:rPr>
              <w:t>建筑物拆除、建筑垃圾清运、地面清理平整、土地翻耕、表土回覆、植树工程、栽植爬山虎。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6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eastAsia="zh-CN"/>
              </w:rPr>
            </w:pPr>
            <w:r>
              <w:rPr>
                <w:rFonts w:hint="eastAsia"/>
                <w:lang w:val="en-US" w:eastAsia="zh-CN"/>
              </w:rPr>
              <w:t>3</w:t>
            </w:r>
          </w:p>
        </w:tc>
        <w:tc>
          <w:tcPr>
            <w:tcW w:w="327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lang w:val="en-US" w:eastAsia="zh-CN"/>
              </w:rPr>
            </w:pPr>
            <w:r>
              <w:rPr>
                <w:rFonts w:hint="eastAsia"/>
                <w:lang w:val="en-US" w:eastAsia="zh-CN"/>
              </w:rPr>
              <w:t>2030年6月—3031年6月</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lang w:val="en-US" w:eastAsia="zh-CN"/>
              </w:rPr>
            </w:pPr>
            <w:r>
              <w:rPr>
                <w:rFonts w:hint="eastAsia"/>
                <w:lang w:val="en-US" w:eastAsia="zh-CN"/>
              </w:rPr>
              <w:t>土壤质量监测、土地复垦效果监测、林地管护。</w:t>
            </w:r>
          </w:p>
        </w:tc>
      </w:tr>
    </w:tbl>
    <w:p>
      <w:pPr>
        <w:bidi w:val="0"/>
        <w:rPr>
          <w:rFonts w:hint="eastAsia"/>
        </w:rPr>
      </w:pPr>
    </w:p>
    <w:p>
      <w:pPr>
        <w:pStyle w:val="4"/>
        <w:bidi w:val="0"/>
        <w:rPr>
          <w:rFonts w:hint="eastAsia"/>
        </w:rPr>
      </w:pPr>
      <w:r>
        <w:rPr>
          <w:rFonts w:hint="eastAsia"/>
        </w:rPr>
        <w:t>（二）中期（第6</w:t>
      </w:r>
      <w:r>
        <w:rPr>
          <w:rFonts w:hint="eastAsia"/>
          <w:lang w:eastAsia="zh-CN"/>
        </w:rPr>
        <w:t>—</w:t>
      </w:r>
      <w:r>
        <w:rPr>
          <w:rFonts w:hint="eastAsia"/>
          <w:lang w:val="en-US" w:eastAsia="zh-CN"/>
        </w:rPr>
        <w:t>8</w:t>
      </w:r>
      <w:r>
        <w:rPr>
          <w:rFonts w:hint="eastAsia"/>
        </w:rPr>
        <w:t>年）实施计划</w:t>
      </w:r>
      <w:bookmarkEnd w:id="135"/>
    </w:p>
    <w:p>
      <w:pPr>
        <w:ind w:firstLine="560"/>
        <w:rPr>
          <w:rFonts w:hint="eastAsia"/>
          <w:lang w:val="en-US" w:eastAsia="zh-CN"/>
        </w:rPr>
      </w:pPr>
      <w:r>
        <w:rPr>
          <w:rFonts w:hint="eastAsia"/>
          <w:lang w:val="en-US" w:eastAsia="zh-CN"/>
        </w:rPr>
        <w:t>中</w:t>
      </w:r>
      <w:r>
        <w:rPr>
          <w:rFonts w:hint="eastAsia"/>
        </w:rPr>
        <w:t>期年度安排</w:t>
      </w:r>
      <w:r>
        <w:rPr>
          <w:rFonts w:hint="eastAsia"/>
          <w:lang w:val="en-US" w:eastAsia="zh-CN"/>
        </w:rPr>
        <w:t>为管护期，</w:t>
      </w:r>
      <w:r>
        <w:rPr>
          <w:rFonts w:hint="eastAsia"/>
        </w:rPr>
        <w:t>工作主要体现在</w:t>
      </w:r>
      <w:r>
        <w:rPr>
          <w:rFonts w:hint="eastAsia"/>
          <w:lang w:val="en-US" w:eastAsia="zh-CN"/>
        </w:rPr>
        <w:t>2031年6月至2033年6月。中</w:t>
      </w:r>
      <w:r>
        <w:rPr>
          <w:rFonts w:hint="eastAsia"/>
        </w:rPr>
        <w:t>期内工程主要包括土壤质量监测、植被恢复效果监测、植被管护</w:t>
      </w:r>
      <w:r>
        <w:rPr>
          <w:rFonts w:hint="eastAsia"/>
          <w:lang w:val="en-US" w:eastAsia="zh-CN"/>
        </w:rPr>
        <w:t>，</w:t>
      </w:r>
      <w:r>
        <w:rPr>
          <w:rFonts w:hint="eastAsia"/>
        </w:rPr>
        <w:t>安排如下表</w:t>
      </w:r>
      <w:r>
        <w:rPr>
          <w:rFonts w:hint="eastAsia"/>
          <w:lang w:val="en-US" w:eastAsia="zh-CN"/>
        </w:rPr>
        <w:t>。</w:t>
      </w:r>
    </w:p>
    <w:p>
      <w:pPr>
        <w:pStyle w:val="8"/>
        <w:bidi w:val="0"/>
      </w:pPr>
      <w:r>
        <w:t xml:space="preserve">表 </w:t>
      </w:r>
      <w:r>
        <w:rPr>
          <w:rFonts w:hint="eastAsia"/>
          <w:lang w:val="en-US" w:eastAsia="zh-CN"/>
        </w:rPr>
        <w:t>6-2 中期（第6—10年）实施计划安排表</w:t>
      </w:r>
    </w:p>
    <w:tbl>
      <w:tblPr>
        <w:tblStyle w:val="16"/>
        <w:tblW w:w="98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1"/>
        <w:gridCol w:w="3067"/>
        <w:gridCol w:w="57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3067"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时间</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07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3067"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2031年6月—2033年6月</w:t>
            </w:r>
          </w:p>
        </w:tc>
        <w:tc>
          <w:tcPr>
            <w:tcW w:w="573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eastAsia="宋体"/>
                <w:lang w:val="en-US" w:eastAsia="zh-CN"/>
              </w:rPr>
            </w:pPr>
            <w:r>
              <w:rPr>
                <w:rFonts w:hint="eastAsia"/>
              </w:rPr>
              <w:t>土壤质量监测</w:t>
            </w:r>
            <w:r>
              <w:rPr>
                <w:rFonts w:hint="eastAsia"/>
                <w:lang w:eastAsia="zh-CN"/>
              </w:rPr>
              <w:t>、</w:t>
            </w:r>
            <w:r>
              <w:rPr>
                <w:rFonts w:hint="eastAsia"/>
              </w:rPr>
              <w:t>植被恢复效果监测、植被管护</w:t>
            </w:r>
            <w:r>
              <w:rPr>
                <w:rFonts w:hint="eastAsia"/>
                <w:lang w:eastAsia="zh-CN"/>
              </w:rPr>
              <w:t>。</w:t>
            </w:r>
          </w:p>
        </w:tc>
      </w:tr>
    </w:tbl>
    <w:p>
      <w:pPr>
        <w:bidi w:val="0"/>
        <w:rPr>
          <w:rFonts w:hint="eastAsia"/>
          <w:lang w:val="en-US" w:eastAsia="zh-CN"/>
        </w:rPr>
      </w:pPr>
      <w:bookmarkStart w:id="136" w:name="_Toc155865972"/>
      <w:bookmarkStart w:id="137" w:name="_Toc490"/>
      <w:bookmarkStart w:id="138" w:name="_Toc22006"/>
    </w:p>
    <w:p>
      <w:pPr>
        <w:pStyle w:val="3"/>
        <w:bidi w:val="0"/>
      </w:pPr>
      <w:bookmarkStart w:id="139" w:name="_Toc29502"/>
      <w:r>
        <w:rPr>
          <w:rFonts w:hint="eastAsia"/>
          <w:lang w:val="en-US" w:eastAsia="zh-CN"/>
        </w:rPr>
        <w:t>二、总体</w:t>
      </w:r>
      <w:r>
        <w:t>经费估算</w:t>
      </w:r>
      <w:bookmarkEnd w:id="136"/>
      <w:bookmarkEnd w:id="137"/>
      <w:bookmarkEnd w:id="138"/>
      <w:bookmarkEnd w:id="139"/>
    </w:p>
    <w:p>
      <w:pPr>
        <w:pStyle w:val="4"/>
        <w:bidi w:val="0"/>
        <w:rPr>
          <w:rFonts w:hint="eastAsia"/>
        </w:rPr>
      </w:pPr>
      <w:bookmarkStart w:id="140" w:name="_Toc15843"/>
      <w:bookmarkStart w:id="141" w:name="_Toc8979"/>
      <w:bookmarkStart w:id="142" w:name="_Toc13053"/>
      <w:r>
        <w:rPr>
          <w:rFonts w:hint="eastAsia"/>
        </w:rPr>
        <w:t>（一）经费估算依据</w:t>
      </w:r>
      <w:bookmarkEnd w:id="140"/>
    </w:p>
    <w:p>
      <w:pPr>
        <w:pStyle w:val="5"/>
        <w:bidi w:val="0"/>
        <w:rPr>
          <w:rFonts w:hint="eastAsia"/>
          <w:lang w:val="iu-Latn-CA"/>
        </w:rPr>
      </w:pPr>
      <w:bookmarkStart w:id="143" w:name="_Toc106"/>
      <w:r>
        <w:rPr>
          <w:rFonts w:hint="eastAsia"/>
          <w:lang w:val="en-US" w:eastAsia="zh-CN"/>
        </w:rPr>
        <w:t>1.</w:t>
      </w:r>
      <w:r>
        <w:rPr>
          <w:rFonts w:hint="eastAsia"/>
          <w:lang w:val="iu-Latn-CA"/>
        </w:rPr>
        <w:t>估算依据</w:t>
      </w:r>
      <w:bookmarkEnd w:id="143"/>
    </w:p>
    <w:p>
      <w:pPr>
        <w:bidi w:val="0"/>
        <w:rPr>
          <w:rFonts w:hint="eastAsia"/>
          <w:lang w:val="iu-Latn-CA"/>
        </w:rPr>
      </w:pPr>
      <w:r>
        <w:rPr>
          <w:rFonts w:hint="eastAsia"/>
          <w:lang w:val="en-US" w:eastAsia="zh-CN"/>
        </w:rPr>
        <w:t>矿区生态修复</w:t>
      </w:r>
      <w:r>
        <w:rPr>
          <w:rFonts w:hint="eastAsia"/>
          <w:lang w:val="iu-Latn-CA"/>
        </w:rPr>
        <w:t>方案是根据国家规定矿山项目建设配套方案，目前尚未出台与之配套的相关费用计算定额和标准。估算编制执行依据为：</w:t>
      </w:r>
    </w:p>
    <w:p>
      <w:pPr>
        <w:bidi w:val="0"/>
        <w:rPr>
          <w:rFonts w:hint="eastAsia"/>
          <w:lang w:val="iu-Latn-CA" w:eastAsia="zh-CN"/>
        </w:rPr>
      </w:pPr>
      <w:r>
        <w:rPr>
          <w:rFonts w:hint="eastAsia"/>
          <w:lang w:val="iu-Latn-CA"/>
        </w:rPr>
        <w:t>1、《黑龙江省土地管理条例》</w:t>
      </w:r>
      <w:r>
        <w:rPr>
          <w:rFonts w:hint="eastAsia"/>
          <w:lang w:val="iu-Latn-CA" w:eastAsia="zh-CN"/>
        </w:rPr>
        <w:t>；</w:t>
      </w:r>
    </w:p>
    <w:p>
      <w:pPr>
        <w:bidi w:val="0"/>
        <w:rPr>
          <w:rFonts w:hint="eastAsia"/>
          <w:lang w:val="iu-Latn-CA" w:eastAsia="zh-CN"/>
        </w:rPr>
      </w:pPr>
      <w:r>
        <w:rPr>
          <w:rFonts w:hint="eastAsia"/>
          <w:lang w:val="iu-Latn-CA"/>
        </w:rPr>
        <w:t>2、《黑龙江省土地</w:t>
      </w:r>
      <w:r>
        <w:rPr>
          <w:rFonts w:hint="eastAsia"/>
          <w:lang w:val="iu-Latn-CA" w:eastAsia="zh-CN"/>
        </w:rPr>
        <w:t>开发</w:t>
      </w:r>
      <w:r>
        <w:rPr>
          <w:rFonts w:hint="eastAsia"/>
          <w:lang w:val="iu-Latn-CA"/>
        </w:rPr>
        <w:t>项目预算定额标准》（黑财建</w:t>
      </w:r>
      <w:r>
        <w:rPr>
          <w:rFonts w:hint="eastAsia"/>
          <w:lang w:val="iu-Latn-CA" w:eastAsia="zh-CN"/>
        </w:rPr>
        <w:t>〔2013〕294号</w:t>
      </w:r>
      <w:r>
        <w:rPr>
          <w:rFonts w:hint="eastAsia"/>
          <w:lang w:val="iu-Latn-CA"/>
        </w:rPr>
        <w:t>）</w:t>
      </w:r>
      <w:r>
        <w:rPr>
          <w:rFonts w:hint="eastAsia"/>
          <w:lang w:val="iu-Latn-CA" w:eastAsia="zh-CN"/>
        </w:rPr>
        <w:t>；</w:t>
      </w:r>
    </w:p>
    <w:p>
      <w:pPr>
        <w:bidi w:val="0"/>
        <w:rPr>
          <w:rFonts w:hint="eastAsia"/>
          <w:lang w:val="iu-Latn-CA"/>
        </w:rPr>
      </w:pPr>
      <w:r>
        <w:rPr>
          <w:rFonts w:hint="eastAsia"/>
          <w:lang w:val="iu-Latn-CA"/>
        </w:rPr>
        <w:t>3、《土地开发整理项目规划设计规范》（TD/T1012-2000）；</w:t>
      </w:r>
    </w:p>
    <w:p>
      <w:pPr>
        <w:bidi w:val="0"/>
        <w:rPr>
          <w:rFonts w:hint="eastAsia"/>
          <w:lang w:val="iu-Latn-CA"/>
        </w:rPr>
      </w:pPr>
      <w:r>
        <w:rPr>
          <w:rFonts w:hint="eastAsia"/>
          <w:lang w:val="iu-Latn-CA"/>
        </w:rPr>
        <w:t>4、TD/T1031.3-2011《土地复垦方案编制规程》；</w:t>
      </w:r>
    </w:p>
    <w:p>
      <w:pPr>
        <w:bidi w:val="0"/>
        <w:rPr>
          <w:rFonts w:hint="eastAsia"/>
          <w:lang w:val="iu-Latn-CA"/>
        </w:rPr>
      </w:pPr>
      <w:r>
        <w:rPr>
          <w:rFonts w:hint="eastAsia"/>
          <w:lang w:val="iu-Latn-CA"/>
        </w:rPr>
        <w:t xml:space="preserve">5、《土地复垦方案编制实务》（2011年6月国土资源部土地整理中心编著）； </w:t>
      </w:r>
    </w:p>
    <w:p>
      <w:pPr>
        <w:bidi w:val="0"/>
        <w:rPr>
          <w:rFonts w:hint="eastAsia"/>
          <w:lang w:val="iu-Latn-CA" w:eastAsia="zh-CN"/>
        </w:rPr>
      </w:pPr>
      <w:r>
        <w:rPr>
          <w:rFonts w:hint="eastAsia"/>
          <w:lang w:val="iu-Latn-CA"/>
        </w:rPr>
        <w:t>6、《黑龙江省物价监督管理局、财政厅关于黑龙江省环境监测服务收费标准的批复》黑价联</w:t>
      </w:r>
      <w:r>
        <w:rPr>
          <w:rFonts w:hint="eastAsia"/>
          <w:lang w:val="iu-Latn-CA" w:eastAsia="zh-CN"/>
        </w:rPr>
        <w:t>〔2013〕18号；</w:t>
      </w:r>
    </w:p>
    <w:p>
      <w:pPr>
        <w:bidi w:val="0"/>
      </w:pPr>
      <w:r>
        <w:rPr>
          <w:rFonts w:hint="eastAsia"/>
          <w:lang w:val="iu-Latn-CA"/>
        </w:rPr>
        <w:t>矿产开发项目属于新设建设项目，但又与一般</w:t>
      </w:r>
      <w:r>
        <w:rPr>
          <w:rFonts w:hint="eastAsia"/>
          <w:lang w:val="iu-Latn-CA" w:eastAsia="zh-CN"/>
        </w:rPr>
        <w:t>废弃地</w:t>
      </w:r>
      <w:r>
        <w:rPr>
          <w:rFonts w:hint="eastAsia"/>
          <w:lang w:val="iu-Latn-CA"/>
        </w:rPr>
        <w:t>有所不同。矿产开发对地质环境破坏的预测有不确定性，因为开采过程中可能出现地质情况变化的现象，从而导致方案的工程量的变化。为此，本项目在编制投资估算时按近细远粗的原则，适当简化，估算属于弹性估算，由调整系数进行调整。</w:t>
      </w:r>
    </w:p>
    <w:p>
      <w:pPr>
        <w:pStyle w:val="5"/>
        <w:bidi w:val="0"/>
        <w:rPr>
          <w:rFonts w:hint="eastAsia"/>
          <w:lang w:val="iu-Latn-CA"/>
        </w:rPr>
      </w:pPr>
      <w:bookmarkStart w:id="144" w:name="_Toc11782"/>
      <w:r>
        <w:rPr>
          <w:rFonts w:hint="eastAsia"/>
          <w:lang w:val="en-US" w:eastAsia="zh-CN"/>
        </w:rPr>
        <w:t>2.</w:t>
      </w:r>
      <w:r>
        <w:rPr>
          <w:rFonts w:hint="eastAsia"/>
          <w:lang w:val="iu-Latn-CA"/>
        </w:rPr>
        <w:t>基础单价</w:t>
      </w:r>
      <w:bookmarkEnd w:id="144"/>
    </w:p>
    <w:p>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人工预算单价</w:t>
      </w:r>
    </w:p>
    <w:p>
      <w:pPr>
        <w:bidi w:val="0"/>
        <w:rPr>
          <w:rFonts w:hint="eastAsia"/>
          <w:lang w:val="iu-Latn-CA"/>
        </w:rPr>
      </w:pPr>
      <w:r>
        <w:rPr>
          <w:rFonts w:hint="eastAsia"/>
          <w:lang w:val="iu-Latn-CA"/>
        </w:rPr>
        <w:t>人工工日单价：根据《黑龙江省土地</w:t>
      </w:r>
      <w:r>
        <w:rPr>
          <w:rFonts w:hint="eastAsia"/>
          <w:lang w:val="iu-Latn-CA" w:eastAsia="zh-CN"/>
        </w:rPr>
        <w:t>开发</w:t>
      </w:r>
      <w:r>
        <w:rPr>
          <w:rFonts w:hint="eastAsia"/>
          <w:lang w:val="iu-Latn-CA"/>
        </w:rPr>
        <w:t>项目预算定额标准》（黑财建</w:t>
      </w:r>
      <w:r>
        <w:rPr>
          <w:rFonts w:hint="eastAsia"/>
          <w:lang w:val="iu-Latn-CA" w:eastAsia="zh-CN"/>
        </w:rPr>
        <w:t>〔2013〕294号</w:t>
      </w:r>
      <w:r>
        <w:rPr>
          <w:rFonts w:hint="eastAsia"/>
          <w:lang w:val="iu-Latn-CA"/>
        </w:rPr>
        <w:t>），确定甲类工：</w:t>
      </w:r>
      <w:r>
        <w:rPr>
          <w:rFonts w:hint="eastAsia"/>
        </w:rPr>
        <w:t>**.**</w:t>
      </w:r>
      <w:r>
        <w:rPr>
          <w:rFonts w:hint="eastAsia"/>
          <w:lang w:val="iu-Latn-CA"/>
        </w:rPr>
        <w:t>元/工日；乙类工：</w:t>
      </w:r>
      <w:r>
        <w:rPr>
          <w:rFonts w:hint="eastAsia"/>
        </w:rPr>
        <w:t>**.**</w:t>
      </w:r>
      <w:r>
        <w:rPr>
          <w:rFonts w:hint="eastAsia"/>
          <w:lang w:val="iu-Latn-CA"/>
        </w:rPr>
        <w:t>元/工日。详见人工预算单价计算表。</w:t>
      </w:r>
    </w:p>
    <w:p>
      <w:pPr>
        <w:pStyle w:val="8"/>
        <w:bidi w:val="0"/>
        <w:rPr>
          <w:rFonts w:hint="eastAsia"/>
          <w:lang w:val="en-US" w:eastAsia="zh-CN"/>
        </w:rPr>
      </w:pPr>
      <w:r>
        <w:t xml:space="preserve">表 </w:t>
      </w:r>
      <w:r>
        <w:rPr>
          <w:rFonts w:hint="eastAsia"/>
          <w:lang w:val="en-US" w:eastAsia="zh-CN"/>
        </w:rPr>
        <w:t xml:space="preserve">6-3 </w:t>
      </w:r>
      <w:r>
        <w:rPr>
          <w:rFonts w:hint="eastAsia"/>
        </w:rPr>
        <w:t>人工费预算单价计算表（甲类</w:t>
      </w:r>
      <w:r>
        <w:rPr>
          <w:rFonts w:hint="eastAsia"/>
          <w:lang w:eastAsia="zh-CN"/>
        </w:rPr>
        <w:t>）</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2666"/>
        <w:gridCol w:w="3374"/>
        <w:gridCol w:w="1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rPr>
              <w:t>序号</w:t>
            </w:r>
          </w:p>
        </w:tc>
        <w:tc>
          <w:tcPr>
            <w:tcW w:w="2666" w:type="dxa"/>
            <w:noWrap w:val="0"/>
            <w:vAlign w:val="center"/>
          </w:tcPr>
          <w:p>
            <w:pPr>
              <w:pStyle w:val="27"/>
              <w:bidi w:val="0"/>
              <w:rPr>
                <w:rFonts w:hint="eastAsia"/>
              </w:rPr>
            </w:pPr>
            <w:r>
              <w:rPr>
                <w:rFonts w:hint="eastAsia"/>
              </w:rPr>
              <w:t>项目</w:t>
            </w:r>
          </w:p>
        </w:tc>
        <w:tc>
          <w:tcPr>
            <w:tcW w:w="3374" w:type="dxa"/>
            <w:noWrap w:val="0"/>
            <w:vAlign w:val="center"/>
          </w:tcPr>
          <w:p>
            <w:pPr>
              <w:pStyle w:val="27"/>
              <w:bidi w:val="0"/>
              <w:rPr>
                <w:rFonts w:hint="eastAsia"/>
              </w:rPr>
            </w:pPr>
            <w:r>
              <w:rPr>
                <w:rFonts w:hint="eastAsia"/>
              </w:rPr>
              <w:t>计算式</w:t>
            </w:r>
          </w:p>
        </w:tc>
        <w:tc>
          <w:tcPr>
            <w:tcW w:w="1097" w:type="dxa"/>
            <w:noWrap w:val="0"/>
            <w:vAlign w:val="center"/>
          </w:tcPr>
          <w:p>
            <w:pPr>
              <w:pStyle w:val="27"/>
              <w:bidi w:val="0"/>
              <w:rPr>
                <w:rFonts w:hint="eastAsia"/>
              </w:rPr>
            </w:pPr>
            <w:r>
              <w:rPr>
                <w:rFonts w:hint="eastAsia"/>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rPr>
              <w:t>1</w:t>
            </w:r>
          </w:p>
        </w:tc>
        <w:tc>
          <w:tcPr>
            <w:tcW w:w="2666" w:type="dxa"/>
            <w:noWrap w:val="0"/>
            <w:vAlign w:val="center"/>
          </w:tcPr>
          <w:p>
            <w:pPr>
              <w:pStyle w:val="27"/>
              <w:bidi w:val="0"/>
              <w:rPr>
                <w:rFonts w:hint="eastAsia"/>
              </w:rPr>
            </w:pPr>
            <w:r>
              <w:rPr>
                <w:rFonts w:hint="eastAsia"/>
              </w:rPr>
              <w:t>基本工资</w:t>
            </w:r>
          </w:p>
        </w:tc>
        <w:tc>
          <w:tcPr>
            <w:tcW w:w="3374" w:type="dxa"/>
            <w:noWrap w:val="0"/>
            <w:vAlign w:val="center"/>
          </w:tcPr>
          <w:p>
            <w:pPr>
              <w:pStyle w:val="27"/>
              <w:bidi w:val="0"/>
              <w:rPr>
                <w:rFonts w:hint="eastAsia"/>
              </w:rPr>
            </w:pPr>
            <w:r>
              <w:rPr>
                <w:rFonts w:hint="eastAsia"/>
              </w:rPr>
              <w:t>540×12÷</w:t>
            </w:r>
            <w:r>
              <w:rPr>
                <w:rFonts w:hint="eastAsia"/>
                <w:lang w:eastAsia="zh-CN"/>
              </w:rPr>
              <w:t>(</w:t>
            </w:r>
            <w:r>
              <w:rPr>
                <w:rFonts w:hint="eastAsia"/>
              </w:rPr>
              <w:t>250</w:t>
            </w:r>
            <w:r>
              <w:rPr>
                <w:rFonts w:hint="eastAsia"/>
                <w:lang w:eastAsia="zh-CN"/>
              </w:rPr>
              <w:t>-</w:t>
            </w:r>
            <w:r>
              <w:rPr>
                <w:rFonts w:hint="eastAsia"/>
              </w:rPr>
              <w:t>10</w:t>
            </w:r>
            <w:r>
              <w:rPr>
                <w:rFonts w:hint="eastAsia"/>
                <w:lang w:eastAsia="zh-CN"/>
              </w:rPr>
              <w:t>)</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rPr>
              <w:t>2</w:t>
            </w:r>
          </w:p>
        </w:tc>
        <w:tc>
          <w:tcPr>
            <w:tcW w:w="2666" w:type="dxa"/>
            <w:noWrap w:val="0"/>
            <w:vAlign w:val="center"/>
          </w:tcPr>
          <w:p>
            <w:pPr>
              <w:pStyle w:val="27"/>
              <w:bidi w:val="0"/>
              <w:rPr>
                <w:rFonts w:hint="eastAsia"/>
              </w:rPr>
            </w:pPr>
            <w:r>
              <w:rPr>
                <w:rFonts w:hint="eastAsia"/>
              </w:rPr>
              <w:t>辅助工资</w:t>
            </w:r>
          </w:p>
        </w:tc>
        <w:tc>
          <w:tcPr>
            <w:tcW w:w="3374" w:type="dxa"/>
            <w:noWrap w:val="0"/>
            <w:vAlign w:val="center"/>
          </w:tcPr>
          <w:p>
            <w:pPr>
              <w:pStyle w:val="27"/>
              <w:bidi w:val="0"/>
              <w:rPr>
                <w:rFonts w:hint="eastAsia"/>
              </w:rPr>
            </w:pPr>
            <w:r>
              <w:rPr>
                <w:rFonts w:hint="eastAsia"/>
              </w:rPr>
              <w:t>以下四项之和</w:t>
            </w:r>
          </w:p>
        </w:tc>
        <w:tc>
          <w:tcPr>
            <w:tcW w:w="1097" w:type="dxa"/>
            <w:noWrap w:val="0"/>
            <w:vAlign w:val="center"/>
          </w:tcPr>
          <w:p>
            <w:pPr>
              <w:pStyle w:val="27"/>
              <w:bidi w:val="0"/>
              <w:rPr>
                <w:rFonts w:hint="eastAsia"/>
              </w:rPr>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lang w:eastAsia="zh-CN"/>
              </w:rPr>
              <w:t>(</w:t>
            </w:r>
            <w:r>
              <w:rPr>
                <w:rFonts w:hint="eastAsia"/>
              </w:rPr>
              <w:t>1</w:t>
            </w:r>
            <w:r>
              <w:rPr>
                <w:rFonts w:hint="eastAsia"/>
                <w:lang w:eastAsia="zh-CN"/>
              </w:rPr>
              <w:t>)</w:t>
            </w:r>
          </w:p>
        </w:tc>
        <w:tc>
          <w:tcPr>
            <w:tcW w:w="2666" w:type="dxa"/>
            <w:noWrap w:val="0"/>
            <w:vAlign w:val="center"/>
          </w:tcPr>
          <w:p>
            <w:pPr>
              <w:pStyle w:val="27"/>
              <w:bidi w:val="0"/>
              <w:rPr>
                <w:rFonts w:hint="eastAsia"/>
              </w:rPr>
            </w:pPr>
            <w:r>
              <w:rPr>
                <w:rFonts w:hint="eastAsia"/>
              </w:rPr>
              <w:t>地区津贴</w:t>
            </w:r>
          </w:p>
        </w:tc>
        <w:tc>
          <w:tcPr>
            <w:tcW w:w="3374" w:type="dxa"/>
            <w:noWrap w:val="0"/>
            <w:vAlign w:val="center"/>
          </w:tcPr>
          <w:p>
            <w:pPr>
              <w:pStyle w:val="27"/>
              <w:bidi w:val="0"/>
              <w:rPr>
                <w:rFonts w:hint="eastAsia"/>
              </w:rPr>
            </w:pPr>
            <w:r>
              <w:rPr>
                <w:rFonts w:hint="eastAsia"/>
              </w:rPr>
              <w:t>45×12÷</w:t>
            </w:r>
            <w:r>
              <w:rPr>
                <w:rFonts w:hint="eastAsia"/>
                <w:lang w:eastAsia="zh-CN"/>
              </w:rPr>
              <w:t>(</w:t>
            </w:r>
            <w:r>
              <w:rPr>
                <w:rFonts w:hint="eastAsia"/>
              </w:rPr>
              <w:t>250-10</w:t>
            </w:r>
            <w:r>
              <w:rPr>
                <w:rFonts w:hint="eastAsia"/>
                <w:lang w:eastAsia="zh-CN"/>
              </w:rPr>
              <w:t>)</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2</w:t>
            </w:r>
            <w:r>
              <w:rPr>
                <w:rFonts w:hint="eastAsia"/>
                <w:lang w:eastAsia="zh-CN"/>
              </w:rPr>
              <w:t>)</w:t>
            </w:r>
          </w:p>
        </w:tc>
        <w:tc>
          <w:tcPr>
            <w:tcW w:w="2666" w:type="dxa"/>
            <w:noWrap w:val="0"/>
            <w:vAlign w:val="center"/>
          </w:tcPr>
          <w:p>
            <w:pPr>
              <w:pStyle w:val="27"/>
              <w:bidi w:val="0"/>
              <w:rPr>
                <w:rFonts w:hint="eastAsia"/>
              </w:rPr>
            </w:pPr>
            <w:r>
              <w:rPr>
                <w:rFonts w:hint="eastAsia"/>
              </w:rPr>
              <w:t>施工津贴</w:t>
            </w:r>
          </w:p>
        </w:tc>
        <w:tc>
          <w:tcPr>
            <w:tcW w:w="3374" w:type="dxa"/>
            <w:noWrap w:val="0"/>
            <w:vAlign w:val="center"/>
          </w:tcPr>
          <w:p>
            <w:pPr>
              <w:pStyle w:val="27"/>
              <w:bidi w:val="0"/>
              <w:rPr>
                <w:rFonts w:hint="eastAsia"/>
              </w:rPr>
            </w:pPr>
            <w:r>
              <w:rPr>
                <w:rFonts w:hint="eastAsia"/>
              </w:rPr>
              <w:t>3.5×365×0.95÷</w:t>
            </w:r>
            <w:r>
              <w:rPr>
                <w:rFonts w:hint="eastAsia"/>
                <w:lang w:eastAsia="zh-CN"/>
              </w:rPr>
              <w:t>(</w:t>
            </w:r>
            <w:r>
              <w:rPr>
                <w:rFonts w:hint="eastAsia"/>
              </w:rPr>
              <w:t>250-10</w:t>
            </w:r>
            <w:r>
              <w:rPr>
                <w:rFonts w:hint="eastAsia"/>
                <w:lang w:eastAsia="zh-CN"/>
              </w:rPr>
              <w:t>)</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3</w:t>
            </w:r>
            <w:r>
              <w:rPr>
                <w:rFonts w:hint="eastAsia"/>
                <w:lang w:eastAsia="zh-CN"/>
              </w:rPr>
              <w:t>)</w:t>
            </w:r>
          </w:p>
        </w:tc>
        <w:tc>
          <w:tcPr>
            <w:tcW w:w="2666" w:type="dxa"/>
            <w:noWrap w:val="0"/>
            <w:vAlign w:val="center"/>
          </w:tcPr>
          <w:p>
            <w:pPr>
              <w:pStyle w:val="27"/>
              <w:bidi w:val="0"/>
              <w:rPr>
                <w:rFonts w:hint="eastAsia"/>
              </w:rPr>
            </w:pPr>
            <w:r>
              <w:rPr>
                <w:rFonts w:hint="eastAsia"/>
              </w:rPr>
              <w:t>夜餐津贴</w:t>
            </w:r>
          </w:p>
        </w:tc>
        <w:tc>
          <w:tcPr>
            <w:tcW w:w="3374" w:type="dxa"/>
            <w:noWrap w:val="0"/>
            <w:vAlign w:val="center"/>
          </w:tcPr>
          <w:p>
            <w:pPr>
              <w:pStyle w:val="27"/>
              <w:bidi w:val="0"/>
              <w:rPr>
                <w:rFonts w:hint="eastAsia"/>
              </w:rPr>
            </w:pPr>
            <w:r>
              <w:rPr>
                <w:rFonts w:hint="eastAsia"/>
                <w:lang w:eastAsia="zh-CN"/>
              </w:rPr>
              <w:t>(</w:t>
            </w:r>
            <w:r>
              <w:rPr>
                <w:rFonts w:hint="eastAsia"/>
              </w:rPr>
              <w:t>3.5+4.5</w:t>
            </w:r>
            <w:r>
              <w:rPr>
                <w:rFonts w:hint="eastAsia"/>
                <w:lang w:eastAsia="zh-CN"/>
              </w:rPr>
              <w:t>)</w:t>
            </w:r>
            <w:r>
              <w:rPr>
                <w:rFonts w:hint="eastAsia"/>
              </w:rPr>
              <w:t>÷2×0.2</w:t>
            </w:r>
          </w:p>
        </w:tc>
        <w:tc>
          <w:tcPr>
            <w:tcW w:w="1097" w:type="dxa"/>
            <w:noWrap w:val="0"/>
            <w:vAlign w:val="center"/>
          </w:tcPr>
          <w:p>
            <w:pPr>
              <w:pStyle w:val="27"/>
              <w:bidi w:val="0"/>
              <w:rPr>
                <w:rFonts w:hint="eastAsia"/>
              </w:rPr>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4</w:t>
            </w:r>
            <w:r>
              <w:rPr>
                <w:rFonts w:hint="eastAsia"/>
                <w:lang w:eastAsia="zh-CN"/>
              </w:rPr>
              <w:t>)</w:t>
            </w:r>
          </w:p>
        </w:tc>
        <w:tc>
          <w:tcPr>
            <w:tcW w:w="2666" w:type="dxa"/>
            <w:noWrap w:val="0"/>
            <w:vAlign w:val="center"/>
          </w:tcPr>
          <w:p>
            <w:pPr>
              <w:pStyle w:val="27"/>
              <w:bidi w:val="0"/>
              <w:rPr>
                <w:rFonts w:hint="eastAsia"/>
              </w:rPr>
            </w:pPr>
            <w:r>
              <w:rPr>
                <w:rFonts w:hint="eastAsia"/>
              </w:rPr>
              <w:t>节日加班津贴</w:t>
            </w:r>
          </w:p>
        </w:tc>
        <w:tc>
          <w:tcPr>
            <w:tcW w:w="3374" w:type="dxa"/>
            <w:noWrap w:val="0"/>
            <w:vAlign w:val="center"/>
          </w:tcPr>
          <w:p>
            <w:pPr>
              <w:pStyle w:val="27"/>
              <w:bidi w:val="0"/>
              <w:rPr>
                <w:rFonts w:hint="eastAsia"/>
              </w:rPr>
            </w:pPr>
            <w:r>
              <w:rPr>
                <w:rFonts w:hint="eastAsia"/>
              </w:rPr>
              <w:t>27.00×</w:t>
            </w:r>
            <w:r>
              <w:rPr>
                <w:rFonts w:hint="eastAsia"/>
                <w:lang w:eastAsia="zh-CN"/>
              </w:rPr>
              <w:t>(</w:t>
            </w:r>
            <w:r>
              <w:rPr>
                <w:rFonts w:hint="eastAsia"/>
              </w:rPr>
              <w:t>3-1</w:t>
            </w:r>
            <w:r>
              <w:rPr>
                <w:rFonts w:hint="eastAsia"/>
                <w:lang w:eastAsia="zh-CN"/>
              </w:rPr>
              <w:t>)</w:t>
            </w:r>
            <w:r>
              <w:rPr>
                <w:rFonts w:hint="eastAsia"/>
              </w:rPr>
              <w:t>×11÷250×0.35</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rPr>
              <w:t>3</w:t>
            </w:r>
          </w:p>
        </w:tc>
        <w:tc>
          <w:tcPr>
            <w:tcW w:w="2666" w:type="dxa"/>
            <w:noWrap w:val="0"/>
            <w:vAlign w:val="center"/>
          </w:tcPr>
          <w:p>
            <w:pPr>
              <w:pStyle w:val="27"/>
              <w:bidi w:val="0"/>
              <w:rPr>
                <w:rFonts w:hint="eastAsia"/>
              </w:rPr>
            </w:pPr>
            <w:r>
              <w:rPr>
                <w:rFonts w:hint="eastAsia"/>
              </w:rPr>
              <w:t>工资附加费</w:t>
            </w:r>
          </w:p>
        </w:tc>
        <w:tc>
          <w:tcPr>
            <w:tcW w:w="3374" w:type="dxa"/>
            <w:noWrap w:val="0"/>
            <w:vAlign w:val="center"/>
          </w:tcPr>
          <w:p>
            <w:pPr>
              <w:pStyle w:val="27"/>
              <w:bidi w:val="0"/>
              <w:rPr>
                <w:rFonts w:hint="eastAsia"/>
              </w:rPr>
            </w:pPr>
            <w:r>
              <w:rPr>
                <w:rFonts w:hint="eastAsia"/>
              </w:rPr>
              <w:t>以下七项之和</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lang w:eastAsia="zh-CN"/>
              </w:rPr>
              <w:t>(</w:t>
            </w:r>
            <w:r>
              <w:rPr>
                <w:rFonts w:hint="eastAsia"/>
              </w:rPr>
              <w:t>1</w:t>
            </w:r>
            <w:r>
              <w:rPr>
                <w:rFonts w:hint="eastAsia"/>
                <w:lang w:eastAsia="zh-CN"/>
              </w:rPr>
              <w:t>)</w:t>
            </w:r>
          </w:p>
        </w:tc>
        <w:tc>
          <w:tcPr>
            <w:tcW w:w="2666" w:type="dxa"/>
            <w:noWrap w:val="0"/>
            <w:vAlign w:val="center"/>
          </w:tcPr>
          <w:p>
            <w:pPr>
              <w:pStyle w:val="27"/>
              <w:bidi w:val="0"/>
              <w:rPr>
                <w:rFonts w:hint="eastAsia"/>
              </w:rPr>
            </w:pPr>
            <w:r>
              <w:rPr>
                <w:rFonts w:hint="eastAsia"/>
              </w:rPr>
              <w:t>职工福利基金</w:t>
            </w:r>
          </w:p>
        </w:tc>
        <w:tc>
          <w:tcPr>
            <w:tcW w:w="3374" w:type="dxa"/>
            <w:noWrap w:val="0"/>
            <w:vAlign w:val="center"/>
          </w:tcPr>
          <w:p>
            <w:pPr>
              <w:pStyle w:val="27"/>
              <w:bidi w:val="0"/>
              <w:rPr>
                <w:rFonts w:hint="eastAsia"/>
              </w:rPr>
            </w:pPr>
            <w:r>
              <w:rPr>
                <w:rFonts w:hint="eastAsia"/>
                <w:lang w:eastAsia="zh-CN"/>
              </w:rPr>
              <w:t>(</w:t>
            </w:r>
            <w:r>
              <w:rPr>
                <w:rFonts w:hint="eastAsia"/>
              </w:rPr>
              <w:t>27+8.94)×14%</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2</w:t>
            </w:r>
            <w:r>
              <w:rPr>
                <w:rFonts w:hint="eastAsia"/>
                <w:lang w:eastAsia="zh-CN"/>
              </w:rPr>
              <w:t>)</w:t>
            </w:r>
          </w:p>
        </w:tc>
        <w:tc>
          <w:tcPr>
            <w:tcW w:w="2666" w:type="dxa"/>
            <w:noWrap w:val="0"/>
            <w:vAlign w:val="center"/>
          </w:tcPr>
          <w:p>
            <w:pPr>
              <w:pStyle w:val="27"/>
              <w:bidi w:val="0"/>
              <w:rPr>
                <w:rFonts w:hint="eastAsia"/>
              </w:rPr>
            </w:pPr>
            <w:r>
              <w:rPr>
                <w:rFonts w:hint="eastAsia"/>
              </w:rPr>
              <w:t>工会经费</w:t>
            </w:r>
          </w:p>
        </w:tc>
        <w:tc>
          <w:tcPr>
            <w:tcW w:w="3374" w:type="dxa"/>
            <w:noWrap w:val="0"/>
            <w:vAlign w:val="center"/>
          </w:tcPr>
          <w:p>
            <w:pPr>
              <w:pStyle w:val="27"/>
              <w:bidi w:val="0"/>
              <w:rPr>
                <w:rFonts w:hint="eastAsia"/>
              </w:rPr>
            </w:pPr>
            <w:r>
              <w:rPr>
                <w:rFonts w:hint="eastAsia"/>
                <w:lang w:eastAsia="zh-CN"/>
              </w:rPr>
              <w:t>(</w:t>
            </w:r>
            <w:r>
              <w:rPr>
                <w:rFonts w:hint="eastAsia"/>
              </w:rPr>
              <w:t>27+8.94)×2%</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3</w:t>
            </w:r>
            <w:r>
              <w:rPr>
                <w:rFonts w:hint="eastAsia"/>
                <w:lang w:eastAsia="zh-CN"/>
              </w:rPr>
              <w:t>)</w:t>
            </w:r>
          </w:p>
        </w:tc>
        <w:tc>
          <w:tcPr>
            <w:tcW w:w="2666" w:type="dxa"/>
            <w:noWrap w:val="0"/>
            <w:vAlign w:val="center"/>
          </w:tcPr>
          <w:p>
            <w:pPr>
              <w:pStyle w:val="27"/>
              <w:bidi w:val="0"/>
              <w:rPr>
                <w:rFonts w:hint="eastAsia"/>
              </w:rPr>
            </w:pPr>
            <w:r>
              <w:rPr>
                <w:rFonts w:hint="eastAsia"/>
              </w:rPr>
              <w:t>养老保险费</w:t>
            </w:r>
          </w:p>
        </w:tc>
        <w:tc>
          <w:tcPr>
            <w:tcW w:w="3374" w:type="dxa"/>
            <w:noWrap w:val="0"/>
            <w:vAlign w:val="center"/>
          </w:tcPr>
          <w:p>
            <w:pPr>
              <w:pStyle w:val="27"/>
              <w:bidi w:val="0"/>
              <w:rPr>
                <w:rFonts w:hint="eastAsia"/>
              </w:rPr>
            </w:pPr>
            <w:r>
              <w:rPr>
                <w:rFonts w:hint="eastAsia"/>
                <w:lang w:eastAsia="zh-CN"/>
              </w:rPr>
              <w:t>(</w:t>
            </w:r>
            <w:r>
              <w:rPr>
                <w:rFonts w:hint="eastAsia"/>
              </w:rPr>
              <w:t>27+8.94)×30%</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4</w:t>
            </w:r>
            <w:r>
              <w:rPr>
                <w:rFonts w:hint="eastAsia"/>
                <w:lang w:eastAsia="zh-CN"/>
              </w:rPr>
              <w:t>)</w:t>
            </w:r>
          </w:p>
        </w:tc>
        <w:tc>
          <w:tcPr>
            <w:tcW w:w="2666" w:type="dxa"/>
            <w:noWrap w:val="0"/>
            <w:vAlign w:val="center"/>
          </w:tcPr>
          <w:p>
            <w:pPr>
              <w:pStyle w:val="27"/>
              <w:bidi w:val="0"/>
              <w:rPr>
                <w:rFonts w:hint="eastAsia"/>
              </w:rPr>
            </w:pPr>
            <w:r>
              <w:rPr>
                <w:rFonts w:hint="eastAsia"/>
              </w:rPr>
              <w:t>医疗保险费</w:t>
            </w:r>
          </w:p>
        </w:tc>
        <w:tc>
          <w:tcPr>
            <w:tcW w:w="3374" w:type="dxa"/>
            <w:noWrap w:val="0"/>
            <w:vAlign w:val="center"/>
          </w:tcPr>
          <w:p>
            <w:pPr>
              <w:pStyle w:val="27"/>
              <w:bidi w:val="0"/>
              <w:rPr>
                <w:rFonts w:hint="eastAsia"/>
              </w:rPr>
            </w:pPr>
            <w:r>
              <w:rPr>
                <w:rFonts w:hint="eastAsia"/>
                <w:lang w:eastAsia="zh-CN"/>
              </w:rPr>
              <w:t>(</w:t>
            </w:r>
            <w:r>
              <w:rPr>
                <w:rFonts w:hint="eastAsia"/>
              </w:rPr>
              <w:t>27+8.94)×4%</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lang w:eastAsia="zh-CN"/>
              </w:rPr>
              <w:t>(</w:t>
            </w:r>
            <w:r>
              <w:rPr>
                <w:rFonts w:hint="eastAsia"/>
              </w:rPr>
              <w:t>5</w:t>
            </w:r>
            <w:r>
              <w:rPr>
                <w:rFonts w:hint="eastAsia"/>
                <w:lang w:eastAsia="zh-CN"/>
              </w:rPr>
              <w:t>)</w:t>
            </w:r>
          </w:p>
        </w:tc>
        <w:tc>
          <w:tcPr>
            <w:tcW w:w="2666" w:type="dxa"/>
            <w:noWrap w:val="0"/>
            <w:vAlign w:val="center"/>
          </w:tcPr>
          <w:p>
            <w:pPr>
              <w:pStyle w:val="27"/>
              <w:bidi w:val="0"/>
              <w:rPr>
                <w:rFonts w:hint="eastAsia"/>
              </w:rPr>
            </w:pPr>
            <w:r>
              <w:rPr>
                <w:rFonts w:hint="eastAsia"/>
              </w:rPr>
              <w:t>工伤保险费</w:t>
            </w:r>
          </w:p>
        </w:tc>
        <w:tc>
          <w:tcPr>
            <w:tcW w:w="3374" w:type="dxa"/>
            <w:noWrap w:val="0"/>
            <w:vAlign w:val="center"/>
          </w:tcPr>
          <w:p>
            <w:pPr>
              <w:pStyle w:val="27"/>
              <w:bidi w:val="0"/>
              <w:rPr>
                <w:rFonts w:hint="eastAsia"/>
              </w:rPr>
            </w:pPr>
            <w:r>
              <w:rPr>
                <w:rFonts w:hint="eastAsia"/>
                <w:lang w:eastAsia="zh-CN"/>
              </w:rPr>
              <w:t>(</w:t>
            </w:r>
            <w:r>
              <w:rPr>
                <w:rFonts w:hint="eastAsia"/>
              </w:rPr>
              <w:t>27+8.94)×1.5%</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6</w:t>
            </w:r>
            <w:r>
              <w:rPr>
                <w:rFonts w:hint="eastAsia"/>
                <w:lang w:eastAsia="zh-CN"/>
              </w:rPr>
              <w:t>)</w:t>
            </w:r>
          </w:p>
        </w:tc>
        <w:tc>
          <w:tcPr>
            <w:tcW w:w="2666" w:type="dxa"/>
            <w:noWrap w:val="0"/>
            <w:vAlign w:val="center"/>
          </w:tcPr>
          <w:p>
            <w:pPr>
              <w:pStyle w:val="27"/>
              <w:bidi w:val="0"/>
              <w:rPr>
                <w:rFonts w:hint="eastAsia"/>
              </w:rPr>
            </w:pPr>
            <w:r>
              <w:rPr>
                <w:rFonts w:hint="eastAsia"/>
              </w:rPr>
              <w:t>职工失业保险基金</w:t>
            </w:r>
          </w:p>
        </w:tc>
        <w:tc>
          <w:tcPr>
            <w:tcW w:w="3374" w:type="dxa"/>
            <w:noWrap w:val="0"/>
            <w:vAlign w:val="center"/>
          </w:tcPr>
          <w:p>
            <w:pPr>
              <w:pStyle w:val="27"/>
              <w:bidi w:val="0"/>
              <w:rPr>
                <w:rFonts w:hint="eastAsia"/>
              </w:rPr>
            </w:pPr>
            <w:r>
              <w:rPr>
                <w:rFonts w:hint="eastAsia"/>
                <w:lang w:eastAsia="zh-CN"/>
              </w:rPr>
              <w:t>(</w:t>
            </w:r>
            <w:r>
              <w:rPr>
                <w:rFonts w:hint="eastAsia"/>
              </w:rPr>
              <w:t>27+8.94)×2%</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top"/>
          </w:tcPr>
          <w:p>
            <w:pPr>
              <w:pStyle w:val="27"/>
              <w:bidi w:val="0"/>
              <w:rPr>
                <w:rFonts w:hint="eastAsia"/>
              </w:rPr>
            </w:pPr>
            <w:r>
              <w:rPr>
                <w:rFonts w:hint="eastAsia"/>
                <w:lang w:eastAsia="zh-CN"/>
              </w:rPr>
              <w:t>(</w:t>
            </w:r>
            <w:r>
              <w:rPr>
                <w:rFonts w:hint="eastAsia"/>
              </w:rPr>
              <w:t>7</w:t>
            </w:r>
            <w:r>
              <w:rPr>
                <w:rFonts w:hint="eastAsia"/>
                <w:lang w:eastAsia="zh-CN"/>
              </w:rPr>
              <w:t>)</w:t>
            </w:r>
          </w:p>
        </w:tc>
        <w:tc>
          <w:tcPr>
            <w:tcW w:w="2666" w:type="dxa"/>
            <w:noWrap w:val="0"/>
            <w:vAlign w:val="center"/>
          </w:tcPr>
          <w:p>
            <w:pPr>
              <w:pStyle w:val="27"/>
              <w:bidi w:val="0"/>
              <w:rPr>
                <w:rFonts w:hint="eastAsia"/>
              </w:rPr>
            </w:pPr>
            <w:r>
              <w:rPr>
                <w:rFonts w:hint="eastAsia"/>
              </w:rPr>
              <w:t>住房</w:t>
            </w:r>
            <w:r>
              <w:rPr>
                <w:rFonts w:hint="eastAsia"/>
                <w:lang w:eastAsia="zh-CN"/>
              </w:rPr>
              <w:t>公积金</w:t>
            </w:r>
          </w:p>
        </w:tc>
        <w:tc>
          <w:tcPr>
            <w:tcW w:w="3374" w:type="dxa"/>
            <w:noWrap w:val="0"/>
            <w:vAlign w:val="center"/>
          </w:tcPr>
          <w:p>
            <w:pPr>
              <w:pStyle w:val="27"/>
              <w:bidi w:val="0"/>
              <w:rPr>
                <w:rFonts w:hint="eastAsia"/>
              </w:rPr>
            </w:pPr>
            <w:r>
              <w:rPr>
                <w:rFonts w:hint="eastAsia"/>
                <w:lang w:eastAsia="zh-CN"/>
              </w:rPr>
              <w:t>(</w:t>
            </w:r>
            <w:r>
              <w:rPr>
                <w:rFonts w:hint="eastAsia"/>
              </w:rPr>
              <w:t>27+8.94)×8%</w:t>
            </w:r>
          </w:p>
        </w:tc>
        <w:tc>
          <w:tcPr>
            <w:tcW w:w="1097"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91" w:type="dxa"/>
            <w:noWrap w:val="0"/>
            <w:vAlign w:val="center"/>
          </w:tcPr>
          <w:p>
            <w:pPr>
              <w:pStyle w:val="27"/>
              <w:bidi w:val="0"/>
              <w:rPr>
                <w:rFonts w:hint="eastAsia"/>
              </w:rPr>
            </w:pPr>
            <w:r>
              <w:rPr>
                <w:rFonts w:hint="eastAsia"/>
              </w:rPr>
              <w:t>4</w:t>
            </w:r>
          </w:p>
        </w:tc>
        <w:tc>
          <w:tcPr>
            <w:tcW w:w="2666" w:type="dxa"/>
            <w:noWrap w:val="0"/>
            <w:vAlign w:val="center"/>
          </w:tcPr>
          <w:p>
            <w:pPr>
              <w:pStyle w:val="27"/>
              <w:bidi w:val="0"/>
              <w:rPr>
                <w:rFonts w:hint="eastAsia"/>
              </w:rPr>
            </w:pPr>
            <w:r>
              <w:rPr>
                <w:rFonts w:hint="eastAsia"/>
              </w:rPr>
              <w:t>人工费单价</w:t>
            </w:r>
          </w:p>
        </w:tc>
        <w:tc>
          <w:tcPr>
            <w:tcW w:w="3374" w:type="dxa"/>
            <w:noWrap w:val="0"/>
            <w:vAlign w:val="center"/>
          </w:tcPr>
          <w:p>
            <w:pPr>
              <w:pStyle w:val="27"/>
              <w:bidi w:val="0"/>
              <w:rPr>
                <w:rFonts w:hint="eastAsia"/>
              </w:rPr>
            </w:pPr>
            <w:r>
              <w:rPr>
                <w:rFonts w:hint="eastAsia"/>
              </w:rPr>
              <w:t>27.00+8.94+22.10</w:t>
            </w:r>
          </w:p>
        </w:tc>
        <w:tc>
          <w:tcPr>
            <w:tcW w:w="1097" w:type="dxa"/>
            <w:noWrap w:val="0"/>
            <w:vAlign w:val="center"/>
          </w:tcPr>
          <w:p>
            <w:pPr>
              <w:pStyle w:val="27"/>
              <w:bidi w:val="0"/>
              <w:rPr>
                <w:rFonts w:hint="eastAsia"/>
              </w:rPr>
            </w:pPr>
            <w:r>
              <w:rPr>
                <w:rFonts w:hint="eastAsia"/>
              </w:rPr>
              <w:t xml:space="preserve">**.** </w:t>
            </w:r>
          </w:p>
        </w:tc>
      </w:tr>
    </w:tbl>
    <w:p>
      <w:pPr>
        <w:pStyle w:val="27"/>
        <w:bidi w:val="0"/>
        <w:rPr>
          <w:rFonts w:hint="eastAsia"/>
        </w:rPr>
      </w:pPr>
    </w:p>
    <w:p>
      <w:pPr>
        <w:pStyle w:val="8"/>
        <w:rPr>
          <w:rFonts w:hint="eastAsia" w:eastAsia="黑体"/>
          <w:lang w:val="en-US" w:eastAsia="zh-CN"/>
        </w:rPr>
      </w:pPr>
      <w:r>
        <w:t xml:space="preserve">表 </w:t>
      </w:r>
      <w:r>
        <w:rPr>
          <w:rFonts w:hint="eastAsia"/>
          <w:lang w:val="en-US" w:eastAsia="zh-CN"/>
        </w:rPr>
        <w:t xml:space="preserve">6-4 </w:t>
      </w:r>
      <w:r>
        <w:rPr>
          <w:rFonts w:hint="eastAsia"/>
        </w:rPr>
        <w:t>人工费预算单价计算表（乙类</w:t>
      </w:r>
      <w:r>
        <w:rPr>
          <w:rFonts w:hint="eastAsia"/>
          <w:lang w:eastAsia="zh-CN"/>
        </w:rPr>
        <w:t>）</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2627"/>
        <w:gridCol w:w="33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序号</w:t>
            </w:r>
          </w:p>
        </w:tc>
        <w:tc>
          <w:tcPr>
            <w:tcW w:w="2627" w:type="dxa"/>
            <w:noWrap w:val="0"/>
            <w:vAlign w:val="center"/>
          </w:tcPr>
          <w:p>
            <w:pPr>
              <w:pStyle w:val="27"/>
              <w:bidi w:val="0"/>
              <w:rPr>
                <w:rFonts w:hint="eastAsia"/>
              </w:rPr>
            </w:pPr>
            <w:r>
              <w:rPr>
                <w:rFonts w:hint="eastAsia"/>
              </w:rPr>
              <w:t>项目</w:t>
            </w:r>
          </w:p>
        </w:tc>
        <w:tc>
          <w:tcPr>
            <w:tcW w:w="3323" w:type="dxa"/>
            <w:noWrap w:val="0"/>
            <w:vAlign w:val="center"/>
          </w:tcPr>
          <w:p>
            <w:pPr>
              <w:pStyle w:val="27"/>
              <w:bidi w:val="0"/>
              <w:rPr>
                <w:rFonts w:hint="eastAsia"/>
              </w:rPr>
            </w:pPr>
            <w:r>
              <w:rPr>
                <w:rFonts w:hint="eastAsia"/>
              </w:rPr>
              <w:t>计算式</w:t>
            </w:r>
          </w:p>
        </w:tc>
        <w:tc>
          <w:tcPr>
            <w:tcW w:w="1209" w:type="dxa"/>
            <w:noWrap w:val="0"/>
            <w:vAlign w:val="center"/>
          </w:tcPr>
          <w:p>
            <w:pPr>
              <w:pStyle w:val="27"/>
              <w:bidi w:val="0"/>
              <w:rPr>
                <w:rFonts w:hint="eastAsia"/>
              </w:rPr>
            </w:pPr>
            <w:r>
              <w:rPr>
                <w:rFonts w:hint="eastAsia"/>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1</w:t>
            </w:r>
          </w:p>
        </w:tc>
        <w:tc>
          <w:tcPr>
            <w:tcW w:w="2627" w:type="dxa"/>
            <w:noWrap w:val="0"/>
            <w:vAlign w:val="center"/>
          </w:tcPr>
          <w:p>
            <w:pPr>
              <w:pStyle w:val="27"/>
              <w:bidi w:val="0"/>
              <w:rPr>
                <w:rFonts w:hint="eastAsia"/>
              </w:rPr>
            </w:pPr>
            <w:r>
              <w:rPr>
                <w:rFonts w:hint="eastAsia"/>
              </w:rPr>
              <w:t>基本工资</w:t>
            </w:r>
          </w:p>
        </w:tc>
        <w:tc>
          <w:tcPr>
            <w:tcW w:w="3323" w:type="dxa"/>
            <w:noWrap w:val="0"/>
            <w:vAlign w:val="center"/>
          </w:tcPr>
          <w:p>
            <w:pPr>
              <w:pStyle w:val="27"/>
              <w:bidi w:val="0"/>
              <w:rPr>
                <w:rFonts w:hint="eastAsia"/>
              </w:rPr>
            </w:pPr>
            <w:r>
              <w:rPr>
                <w:rFonts w:hint="eastAsia"/>
              </w:rPr>
              <w:t>445×12÷</w:t>
            </w:r>
            <w:r>
              <w:rPr>
                <w:rFonts w:hint="eastAsia"/>
                <w:lang w:eastAsia="zh-CN"/>
              </w:rPr>
              <w:t>(</w:t>
            </w:r>
            <w:r>
              <w:rPr>
                <w:rFonts w:hint="eastAsia"/>
              </w:rPr>
              <w:t>250</w:t>
            </w:r>
            <w:r>
              <w:rPr>
                <w:rFonts w:hint="eastAsia"/>
                <w:lang w:eastAsia="zh-CN"/>
              </w:rPr>
              <w:t>-</w:t>
            </w:r>
            <w:r>
              <w:rPr>
                <w:rFonts w:hint="eastAsia"/>
              </w:rPr>
              <w:t>10</w:t>
            </w:r>
            <w:r>
              <w:rPr>
                <w:rFonts w:hint="eastAsia"/>
                <w:lang w:eastAsia="zh-CN"/>
              </w:rPr>
              <w:t>)</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2</w:t>
            </w:r>
          </w:p>
        </w:tc>
        <w:tc>
          <w:tcPr>
            <w:tcW w:w="2627" w:type="dxa"/>
            <w:noWrap w:val="0"/>
            <w:vAlign w:val="center"/>
          </w:tcPr>
          <w:p>
            <w:pPr>
              <w:pStyle w:val="27"/>
              <w:bidi w:val="0"/>
              <w:rPr>
                <w:rFonts w:hint="eastAsia"/>
              </w:rPr>
            </w:pPr>
            <w:r>
              <w:rPr>
                <w:rFonts w:hint="eastAsia"/>
              </w:rPr>
              <w:t>辅助工资</w:t>
            </w:r>
          </w:p>
        </w:tc>
        <w:tc>
          <w:tcPr>
            <w:tcW w:w="3323" w:type="dxa"/>
            <w:noWrap w:val="0"/>
            <w:vAlign w:val="center"/>
          </w:tcPr>
          <w:p>
            <w:pPr>
              <w:pStyle w:val="27"/>
              <w:bidi w:val="0"/>
              <w:rPr>
                <w:rFonts w:hint="eastAsia"/>
              </w:rPr>
            </w:pPr>
            <w:r>
              <w:rPr>
                <w:rFonts w:hint="eastAsia"/>
              </w:rPr>
              <w:t>以下四项之和</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⑴</w:t>
            </w:r>
          </w:p>
        </w:tc>
        <w:tc>
          <w:tcPr>
            <w:tcW w:w="2627" w:type="dxa"/>
            <w:noWrap w:val="0"/>
            <w:vAlign w:val="center"/>
          </w:tcPr>
          <w:p>
            <w:pPr>
              <w:pStyle w:val="27"/>
              <w:bidi w:val="0"/>
              <w:rPr>
                <w:rFonts w:hint="eastAsia"/>
              </w:rPr>
            </w:pPr>
            <w:r>
              <w:rPr>
                <w:rFonts w:hint="eastAsia"/>
              </w:rPr>
              <w:t>地区津贴</w:t>
            </w:r>
          </w:p>
        </w:tc>
        <w:tc>
          <w:tcPr>
            <w:tcW w:w="3323" w:type="dxa"/>
            <w:noWrap w:val="0"/>
            <w:vAlign w:val="center"/>
          </w:tcPr>
          <w:p>
            <w:pPr>
              <w:pStyle w:val="27"/>
              <w:bidi w:val="0"/>
              <w:rPr>
                <w:rFonts w:hint="eastAsia"/>
              </w:rPr>
            </w:pPr>
            <w:r>
              <w:rPr>
                <w:rFonts w:hint="eastAsia"/>
              </w:rPr>
              <w:t>45×12÷</w:t>
            </w:r>
            <w:r>
              <w:rPr>
                <w:rFonts w:hint="eastAsia"/>
                <w:lang w:eastAsia="zh-CN"/>
              </w:rPr>
              <w:t>(</w:t>
            </w:r>
            <w:r>
              <w:rPr>
                <w:rFonts w:hint="eastAsia"/>
              </w:rPr>
              <w:t>250-10</w:t>
            </w:r>
            <w:r>
              <w:rPr>
                <w:rFonts w:hint="eastAsia"/>
                <w:lang w:eastAsia="zh-CN"/>
              </w:rPr>
              <w:t>)</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⑵</w:t>
            </w:r>
          </w:p>
        </w:tc>
        <w:tc>
          <w:tcPr>
            <w:tcW w:w="2627" w:type="dxa"/>
            <w:noWrap w:val="0"/>
            <w:vAlign w:val="center"/>
          </w:tcPr>
          <w:p>
            <w:pPr>
              <w:pStyle w:val="27"/>
              <w:bidi w:val="0"/>
              <w:rPr>
                <w:rFonts w:hint="eastAsia"/>
              </w:rPr>
            </w:pPr>
            <w:r>
              <w:rPr>
                <w:rFonts w:hint="eastAsia"/>
              </w:rPr>
              <w:t>施工津贴</w:t>
            </w:r>
          </w:p>
        </w:tc>
        <w:tc>
          <w:tcPr>
            <w:tcW w:w="3323" w:type="dxa"/>
            <w:noWrap w:val="0"/>
            <w:vAlign w:val="center"/>
          </w:tcPr>
          <w:p>
            <w:pPr>
              <w:pStyle w:val="27"/>
              <w:bidi w:val="0"/>
              <w:rPr>
                <w:rFonts w:hint="eastAsia"/>
              </w:rPr>
            </w:pPr>
            <w:r>
              <w:rPr>
                <w:rFonts w:hint="eastAsia"/>
              </w:rPr>
              <w:t>2.0×365×0.95÷</w:t>
            </w:r>
            <w:r>
              <w:rPr>
                <w:rFonts w:hint="eastAsia"/>
                <w:lang w:eastAsia="zh-CN"/>
              </w:rPr>
              <w:t>(</w:t>
            </w:r>
            <w:r>
              <w:rPr>
                <w:rFonts w:hint="eastAsia"/>
              </w:rPr>
              <w:t>250-10</w:t>
            </w:r>
            <w:r>
              <w:rPr>
                <w:rFonts w:hint="eastAsia"/>
                <w:lang w:eastAsia="zh-CN"/>
              </w:rPr>
              <w:t>)</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⑶</w:t>
            </w:r>
          </w:p>
        </w:tc>
        <w:tc>
          <w:tcPr>
            <w:tcW w:w="2627" w:type="dxa"/>
            <w:noWrap w:val="0"/>
            <w:vAlign w:val="center"/>
          </w:tcPr>
          <w:p>
            <w:pPr>
              <w:pStyle w:val="27"/>
              <w:bidi w:val="0"/>
              <w:rPr>
                <w:rFonts w:hint="eastAsia"/>
              </w:rPr>
            </w:pPr>
            <w:r>
              <w:rPr>
                <w:rFonts w:hint="eastAsia"/>
              </w:rPr>
              <w:t>夜餐津贴</w:t>
            </w:r>
          </w:p>
        </w:tc>
        <w:tc>
          <w:tcPr>
            <w:tcW w:w="3323" w:type="dxa"/>
            <w:noWrap w:val="0"/>
            <w:vAlign w:val="center"/>
          </w:tcPr>
          <w:p>
            <w:pPr>
              <w:pStyle w:val="27"/>
              <w:bidi w:val="0"/>
              <w:rPr>
                <w:rFonts w:hint="eastAsia"/>
              </w:rPr>
            </w:pPr>
            <w:r>
              <w:rPr>
                <w:rFonts w:hint="eastAsia"/>
                <w:lang w:eastAsia="zh-CN"/>
              </w:rPr>
              <w:t>(</w:t>
            </w:r>
            <w:r>
              <w:rPr>
                <w:rFonts w:hint="eastAsia"/>
              </w:rPr>
              <w:t>3.5+4.5</w:t>
            </w:r>
            <w:r>
              <w:rPr>
                <w:rFonts w:hint="eastAsia"/>
                <w:lang w:eastAsia="zh-CN"/>
              </w:rPr>
              <w:t>)</w:t>
            </w:r>
            <w:r>
              <w:rPr>
                <w:rFonts w:hint="eastAsia"/>
              </w:rPr>
              <w:t>÷2×0.05</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⑷</w:t>
            </w:r>
          </w:p>
        </w:tc>
        <w:tc>
          <w:tcPr>
            <w:tcW w:w="2627" w:type="dxa"/>
            <w:noWrap w:val="0"/>
            <w:vAlign w:val="center"/>
          </w:tcPr>
          <w:p>
            <w:pPr>
              <w:pStyle w:val="27"/>
              <w:bidi w:val="0"/>
              <w:rPr>
                <w:rFonts w:hint="eastAsia"/>
              </w:rPr>
            </w:pPr>
            <w:r>
              <w:rPr>
                <w:rFonts w:hint="eastAsia"/>
              </w:rPr>
              <w:t>节日加班津贴</w:t>
            </w:r>
          </w:p>
        </w:tc>
        <w:tc>
          <w:tcPr>
            <w:tcW w:w="3323" w:type="dxa"/>
            <w:noWrap w:val="0"/>
            <w:vAlign w:val="center"/>
          </w:tcPr>
          <w:p>
            <w:pPr>
              <w:pStyle w:val="27"/>
              <w:bidi w:val="0"/>
              <w:rPr>
                <w:rFonts w:hint="eastAsia"/>
              </w:rPr>
            </w:pPr>
            <w:r>
              <w:rPr>
                <w:rFonts w:hint="eastAsia"/>
              </w:rPr>
              <w:t>22.25×</w:t>
            </w:r>
            <w:r>
              <w:rPr>
                <w:rFonts w:hint="eastAsia"/>
                <w:lang w:eastAsia="zh-CN"/>
              </w:rPr>
              <w:t>(</w:t>
            </w:r>
            <w:r>
              <w:rPr>
                <w:rFonts w:hint="eastAsia"/>
              </w:rPr>
              <w:t>3-1</w:t>
            </w:r>
            <w:r>
              <w:rPr>
                <w:rFonts w:hint="eastAsia"/>
                <w:lang w:eastAsia="zh-CN"/>
              </w:rPr>
              <w:t>)</w:t>
            </w:r>
            <w:r>
              <w:rPr>
                <w:rFonts w:hint="eastAsia"/>
              </w:rPr>
              <w:t>×11÷250×0.15</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3</w:t>
            </w:r>
          </w:p>
        </w:tc>
        <w:tc>
          <w:tcPr>
            <w:tcW w:w="2627" w:type="dxa"/>
            <w:noWrap w:val="0"/>
            <w:vAlign w:val="center"/>
          </w:tcPr>
          <w:p>
            <w:pPr>
              <w:pStyle w:val="27"/>
              <w:bidi w:val="0"/>
              <w:rPr>
                <w:rFonts w:hint="eastAsia"/>
              </w:rPr>
            </w:pPr>
            <w:r>
              <w:rPr>
                <w:rFonts w:hint="eastAsia"/>
              </w:rPr>
              <w:t>工资附加费</w:t>
            </w:r>
          </w:p>
        </w:tc>
        <w:tc>
          <w:tcPr>
            <w:tcW w:w="3323" w:type="dxa"/>
            <w:noWrap w:val="0"/>
            <w:vAlign w:val="center"/>
          </w:tcPr>
          <w:p>
            <w:pPr>
              <w:pStyle w:val="27"/>
              <w:bidi w:val="0"/>
              <w:rPr>
                <w:rFonts w:hint="eastAsia"/>
              </w:rPr>
            </w:pPr>
            <w:r>
              <w:rPr>
                <w:rFonts w:hint="eastAsia"/>
              </w:rPr>
              <w:t>以下七项之和</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⑴</w:t>
            </w:r>
          </w:p>
        </w:tc>
        <w:tc>
          <w:tcPr>
            <w:tcW w:w="2627" w:type="dxa"/>
            <w:noWrap w:val="0"/>
            <w:vAlign w:val="center"/>
          </w:tcPr>
          <w:p>
            <w:pPr>
              <w:pStyle w:val="27"/>
              <w:bidi w:val="0"/>
              <w:rPr>
                <w:rFonts w:hint="eastAsia"/>
              </w:rPr>
            </w:pPr>
            <w:r>
              <w:rPr>
                <w:rFonts w:hint="eastAsia"/>
              </w:rPr>
              <w:t>职工福利基金</w:t>
            </w:r>
          </w:p>
        </w:tc>
        <w:tc>
          <w:tcPr>
            <w:tcW w:w="3323" w:type="dxa"/>
            <w:noWrap w:val="0"/>
            <w:vAlign w:val="center"/>
          </w:tcPr>
          <w:p>
            <w:pPr>
              <w:pStyle w:val="27"/>
              <w:bidi w:val="0"/>
              <w:rPr>
                <w:rFonts w:hint="eastAsia"/>
              </w:rPr>
            </w:pPr>
            <w:r>
              <w:rPr>
                <w:rFonts w:hint="eastAsia"/>
                <w:lang w:eastAsia="zh-CN"/>
              </w:rPr>
              <w:t>(</w:t>
            </w:r>
            <w:r>
              <w:rPr>
                <w:rFonts w:hint="eastAsia"/>
              </w:rPr>
              <w:t>22.25+5.63)×14%</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⑵</w:t>
            </w:r>
          </w:p>
        </w:tc>
        <w:tc>
          <w:tcPr>
            <w:tcW w:w="2627" w:type="dxa"/>
            <w:noWrap w:val="0"/>
            <w:vAlign w:val="center"/>
          </w:tcPr>
          <w:p>
            <w:pPr>
              <w:pStyle w:val="27"/>
              <w:bidi w:val="0"/>
              <w:rPr>
                <w:rFonts w:hint="eastAsia"/>
              </w:rPr>
            </w:pPr>
            <w:r>
              <w:rPr>
                <w:rFonts w:hint="eastAsia"/>
              </w:rPr>
              <w:t>工会经费</w:t>
            </w:r>
          </w:p>
        </w:tc>
        <w:tc>
          <w:tcPr>
            <w:tcW w:w="3323" w:type="dxa"/>
            <w:noWrap w:val="0"/>
            <w:vAlign w:val="center"/>
          </w:tcPr>
          <w:p>
            <w:pPr>
              <w:pStyle w:val="27"/>
              <w:bidi w:val="0"/>
              <w:rPr>
                <w:rFonts w:hint="eastAsia"/>
              </w:rPr>
            </w:pPr>
            <w:r>
              <w:rPr>
                <w:rFonts w:hint="eastAsia"/>
                <w:lang w:eastAsia="zh-CN"/>
              </w:rPr>
              <w:t>(</w:t>
            </w:r>
            <w:r>
              <w:rPr>
                <w:rFonts w:hint="eastAsia"/>
              </w:rPr>
              <w:t>22.25+5.63)×2%</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⑶</w:t>
            </w:r>
          </w:p>
        </w:tc>
        <w:tc>
          <w:tcPr>
            <w:tcW w:w="2627" w:type="dxa"/>
            <w:noWrap w:val="0"/>
            <w:vAlign w:val="center"/>
          </w:tcPr>
          <w:p>
            <w:pPr>
              <w:pStyle w:val="27"/>
              <w:bidi w:val="0"/>
              <w:rPr>
                <w:rFonts w:hint="eastAsia"/>
              </w:rPr>
            </w:pPr>
            <w:r>
              <w:rPr>
                <w:rFonts w:hint="eastAsia"/>
              </w:rPr>
              <w:t>养老保险费</w:t>
            </w:r>
          </w:p>
        </w:tc>
        <w:tc>
          <w:tcPr>
            <w:tcW w:w="3323" w:type="dxa"/>
            <w:noWrap w:val="0"/>
            <w:vAlign w:val="center"/>
          </w:tcPr>
          <w:p>
            <w:pPr>
              <w:pStyle w:val="27"/>
              <w:bidi w:val="0"/>
              <w:rPr>
                <w:rFonts w:hint="eastAsia"/>
              </w:rPr>
            </w:pPr>
            <w:r>
              <w:rPr>
                <w:rFonts w:hint="eastAsia"/>
                <w:lang w:eastAsia="zh-CN"/>
              </w:rPr>
              <w:t>(</w:t>
            </w:r>
            <w:r>
              <w:rPr>
                <w:rFonts w:hint="eastAsia"/>
              </w:rPr>
              <w:t>22.25+5.63)×30%</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⑷</w:t>
            </w:r>
          </w:p>
        </w:tc>
        <w:tc>
          <w:tcPr>
            <w:tcW w:w="2627" w:type="dxa"/>
            <w:noWrap w:val="0"/>
            <w:vAlign w:val="center"/>
          </w:tcPr>
          <w:p>
            <w:pPr>
              <w:pStyle w:val="27"/>
              <w:bidi w:val="0"/>
              <w:rPr>
                <w:rFonts w:hint="eastAsia"/>
              </w:rPr>
            </w:pPr>
            <w:r>
              <w:rPr>
                <w:rFonts w:hint="eastAsia"/>
              </w:rPr>
              <w:t>医疗保险费</w:t>
            </w:r>
          </w:p>
        </w:tc>
        <w:tc>
          <w:tcPr>
            <w:tcW w:w="3323" w:type="dxa"/>
            <w:noWrap w:val="0"/>
            <w:vAlign w:val="center"/>
          </w:tcPr>
          <w:p>
            <w:pPr>
              <w:pStyle w:val="27"/>
              <w:bidi w:val="0"/>
              <w:rPr>
                <w:rFonts w:hint="eastAsia"/>
              </w:rPr>
            </w:pPr>
            <w:r>
              <w:rPr>
                <w:rFonts w:hint="eastAsia"/>
                <w:lang w:eastAsia="zh-CN"/>
              </w:rPr>
              <w:t>(</w:t>
            </w:r>
            <w:r>
              <w:rPr>
                <w:rFonts w:hint="eastAsia"/>
              </w:rPr>
              <w:t>22.25+5.63)×4%</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⑸</w:t>
            </w:r>
          </w:p>
        </w:tc>
        <w:tc>
          <w:tcPr>
            <w:tcW w:w="2627" w:type="dxa"/>
            <w:noWrap w:val="0"/>
            <w:vAlign w:val="center"/>
          </w:tcPr>
          <w:p>
            <w:pPr>
              <w:pStyle w:val="27"/>
              <w:bidi w:val="0"/>
              <w:rPr>
                <w:rFonts w:hint="eastAsia"/>
              </w:rPr>
            </w:pPr>
            <w:r>
              <w:rPr>
                <w:rFonts w:hint="eastAsia"/>
              </w:rPr>
              <w:t>工伤保险费</w:t>
            </w:r>
          </w:p>
        </w:tc>
        <w:tc>
          <w:tcPr>
            <w:tcW w:w="3323" w:type="dxa"/>
            <w:noWrap w:val="0"/>
            <w:vAlign w:val="center"/>
          </w:tcPr>
          <w:p>
            <w:pPr>
              <w:pStyle w:val="27"/>
              <w:bidi w:val="0"/>
              <w:rPr>
                <w:rFonts w:hint="eastAsia"/>
              </w:rPr>
            </w:pPr>
            <w:r>
              <w:rPr>
                <w:rFonts w:hint="eastAsia"/>
                <w:lang w:eastAsia="zh-CN"/>
              </w:rPr>
              <w:t>(</w:t>
            </w:r>
            <w:r>
              <w:rPr>
                <w:rFonts w:hint="eastAsia"/>
              </w:rPr>
              <w:t>22.25+5.63)×1.5%</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⑹</w:t>
            </w:r>
          </w:p>
        </w:tc>
        <w:tc>
          <w:tcPr>
            <w:tcW w:w="2627" w:type="dxa"/>
            <w:noWrap w:val="0"/>
            <w:vAlign w:val="center"/>
          </w:tcPr>
          <w:p>
            <w:pPr>
              <w:pStyle w:val="27"/>
              <w:bidi w:val="0"/>
              <w:rPr>
                <w:rFonts w:hint="eastAsia"/>
              </w:rPr>
            </w:pPr>
            <w:r>
              <w:rPr>
                <w:rFonts w:hint="eastAsia"/>
              </w:rPr>
              <w:t>失业保险</w:t>
            </w:r>
          </w:p>
        </w:tc>
        <w:tc>
          <w:tcPr>
            <w:tcW w:w="3323" w:type="dxa"/>
            <w:noWrap w:val="0"/>
            <w:vAlign w:val="center"/>
          </w:tcPr>
          <w:p>
            <w:pPr>
              <w:pStyle w:val="27"/>
              <w:bidi w:val="0"/>
              <w:rPr>
                <w:rFonts w:hint="eastAsia"/>
              </w:rPr>
            </w:pPr>
            <w:r>
              <w:rPr>
                <w:rFonts w:hint="eastAsia"/>
                <w:lang w:eastAsia="zh-CN"/>
              </w:rPr>
              <w:t>(</w:t>
            </w:r>
            <w:r>
              <w:rPr>
                <w:rFonts w:hint="eastAsia"/>
              </w:rPr>
              <w:t>22.25+5.63)×2%</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⑺</w:t>
            </w:r>
          </w:p>
        </w:tc>
        <w:tc>
          <w:tcPr>
            <w:tcW w:w="2627" w:type="dxa"/>
            <w:noWrap w:val="0"/>
            <w:vAlign w:val="center"/>
          </w:tcPr>
          <w:p>
            <w:pPr>
              <w:pStyle w:val="27"/>
              <w:bidi w:val="0"/>
              <w:rPr>
                <w:rFonts w:hint="eastAsia"/>
              </w:rPr>
            </w:pPr>
            <w:r>
              <w:rPr>
                <w:rFonts w:hint="eastAsia"/>
              </w:rPr>
              <w:t>住房</w:t>
            </w:r>
            <w:r>
              <w:rPr>
                <w:rFonts w:hint="eastAsia"/>
                <w:lang w:eastAsia="zh-CN"/>
              </w:rPr>
              <w:t>公积金</w:t>
            </w:r>
          </w:p>
        </w:tc>
        <w:tc>
          <w:tcPr>
            <w:tcW w:w="3323" w:type="dxa"/>
            <w:noWrap w:val="0"/>
            <w:vAlign w:val="center"/>
          </w:tcPr>
          <w:p>
            <w:pPr>
              <w:pStyle w:val="27"/>
              <w:bidi w:val="0"/>
              <w:rPr>
                <w:rFonts w:hint="eastAsia"/>
              </w:rPr>
            </w:pPr>
            <w:r>
              <w:rPr>
                <w:rFonts w:hint="eastAsia"/>
                <w:lang w:eastAsia="zh-CN"/>
              </w:rPr>
              <w:t>(</w:t>
            </w:r>
            <w:r>
              <w:rPr>
                <w:rFonts w:hint="eastAsia"/>
              </w:rPr>
              <w:t>22.25+5.63)×8%</w:t>
            </w:r>
          </w:p>
        </w:tc>
        <w:tc>
          <w:tcPr>
            <w:tcW w:w="1209" w:type="dxa"/>
            <w:noWrap w:val="0"/>
            <w:vAlign w:val="center"/>
          </w:tcPr>
          <w:p>
            <w:pPr>
              <w:pStyle w:val="27"/>
              <w:bidi w:val="0"/>
              <w:rPr>
                <w:rFonts w:hint="eastAsia"/>
              </w:rP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noWrap w:val="0"/>
            <w:vAlign w:val="center"/>
          </w:tcPr>
          <w:p>
            <w:pPr>
              <w:pStyle w:val="27"/>
              <w:bidi w:val="0"/>
              <w:rPr>
                <w:rFonts w:hint="eastAsia"/>
              </w:rPr>
            </w:pPr>
            <w:r>
              <w:rPr>
                <w:rFonts w:hint="eastAsia"/>
              </w:rPr>
              <w:t>4</w:t>
            </w:r>
          </w:p>
        </w:tc>
        <w:tc>
          <w:tcPr>
            <w:tcW w:w="2627" w:type="dxa"/>
            <w:noWrap w:val="0"/>
            <w:vAlign w:val="center"/>
          </w:tcPr>
          <w:p>
            <w:pPr>
              <w:pStyle w:val="27"/>
              <w:bidi w:val="0"/>
              <w:rPr>
                <w:rFonts w:hint="eastAsia"/>
              </w:rPr>
            </w:pPr>
            <w:r>
              <w:rPr>
                <w:rFonts w:hint="eastAsia"/>
              </w:rPr>
              <w:t>人工费单价</w:t>
            </w:r>
          </w:p>
        </w:tc>
        <w:tc>
          <w:tcPr>
            <w:tcW w:w="3323" w:type="dxa"/>
            <w:noWrap w:val="0"/>
            <w:vAlign w:val="center"/>
          </w:tcPr>
          <w:p>
            <w:pPr>
              <w:pStyle w:val="27"/>
              <w:bidi w:val="0"/>
              <w:rPr>
                <w:rFonts w:hint="eastAsia"/>
              </w:rPr>
            </w:pPr>
            <w:r>
              <w:rPr>
                <w:rFonts w:hint="eastAsia"/>
              </w:rPr>
              <w:t>22.25+5.63+17.15</w:t>
            </w:r>
          </w:p>
        </w:tc>
        <w:tc>
          <w:tcPr>
            <w:tcW w:w="1209" w:type="dxa"/>
            <w:noWrap w:val="0"/>
            <w:vAlign w:val="center"/>
          </w:tcPr>
          <w:p>
            <w:pPr>
              <w:pStyle w:val="27"/>
              <w:bidi w:val="0"/>
              <w:rPr>
                <w:rFonts w:hint="eastAsia"/>
              </w:rPr>
            </w:pPr>
            <w:r>
              <w:rPr>
                <w:rFonts w:hint="eastAsia"/>
              </w:rPr>
              <w:t>**.**</w:t>
            </w:r>
          </w:p>
        </w:tc>
      </w:tr>
    </w:tbl>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主要材料及风、水、电价格</w:t>
      </w:r>
    </w:p>
    <w:p>
      <w:pPr>
        <w:bidi w:val="0"/>
        <w:rPr>
          <w:rFonts w:hint="eastAsia" w:ascii="宋体" w:hAnsi="宋体" w:cs="宋体"/>
          <w:szCs w:val="28"/>
          <w:lang w:val="iu-Latn-CA"/>
        </w:rPr>
      </w:pPr>
      <w:r>
        <w:rPr>
          <w:rFonts w:hint="eastAsia"/>
          <w:lang w:val="iu-Latn-CA"/>
        </w:rPr>
        <w:t>柴油价格依据发改委发布的最新油价确定，其他主要材料预算价格依据</w:t>
      </w:r>
      <w:r>
        <w:rPr>
          <w:rFonts w:hint="eastAsia"/>
        </w:rPr>
        <w:t>桦川县</w:t>
      </w:r>
      <w:r>
        <w:rPr>
          <w:rFonts w:hint="eastAsia"/>
          <w:lang w:val="iu-Latn-CA"/>
        </w:rPr>
        <w:t>20</w:t>
      </w:r>
      <w:r>
        <w:rPr>
          <w:rFonts w:hint="eastAsia"/>
        </w:rPr>
        <w:t>2</w:t>
      </w:r>
      <w:r>
        <w:rPr>
          <w:rFonts w:hint="eastAsia"/>
          <w:lang w:val="en-US" w:eastAsia="zh-CN"/>
        </w:rPr>
        <w:t>6年</w:t>
      </w:r>
      <w:r>
        <w:rPr>
          <w:rFonts w:hint="eastAsia"/>
          <w:lang w:val="iu-Latn-CA"/>
        </w:rPr>
        <w:t>第</w:t>
      </w:r>
      <w:r>
        <w:rPr>
          <w:rFonts w:hint="eastAsia"/>
          <w:lang w:val="en-US" w:eastAsia="zh-CN"/>
        </w:rPr>
        <w:t>三</w:t>
      </w:r>
      <w:r>
        <w:rPr>
          <w:rFonts w:hint="eastAsia"/>
          <w:lang w:val="iu-Latn-CA"/>
        </w:rPr>
        <w:t>季度市场价格确定，具体取费标准详见主要材料价格表。</w:t>
      </w:r>
    </w:p>
    <w:p>
      <w:pPr>
        <w:pStyle w:val="8"/>
        <w:rPr>
          <w:rFonts w:hint="eastAsia" w:eastAsia="黑体"/>
          <w:lang w:val="en-US" w:eastAsia="zh-CN"/>
        </w:rPr>
      </w:pPr>
      <w:r>
        <w:t xml:space="preserve">表 </w:t>
      </w:r>
      <w:r>
        <w:rPr>
          <w:rFonts w:hint="eastAsia"/>
          <w:lang w:val="en-US" w:eastAsia="zh-CN"/>
        </w:rPr>
        <w:t xml:space="preserve">6-5 </w:t>
      </w:r>
      <w:r>
        <w:rPr>
          <w:rFonts w:hint="eastAsia"/>
        </w:rPr>
        <w:t>主要材料价格表</w:t>
      </w:r>
    </w:p>
    <w:tbl>
      <w:tblPr>
        <w:tblStyle w:val="16"/>
        <w:tblW w:w="8553"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810"/>
        <w:gridCol w:w="2757"/>
        <w:gridCol w:w="984"/>
        <w:gridCol w:w="1068"/>
        <w:gridCol w:w="2934"/>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bottom w:val="single" w:color="auto" w:sz="4" w:space="0"/>
              <w:right w:val="single" w:color="auto" w:sz="4" w:space="0"/>
            </w:tcBorders>
            <w:noWrap w:val="0"/>
            <w:vAlign w:val="center"/>
          </w:tcPr>
          <w:p>
            <w:pPr>
              <w:pStyle w:val="27"/>
              <w:bidi w:val="0"/>
              <w:rPr>
                <w:rFonts w:hint="eastAsia"/>
              </w:rPr>
            </w:pPr>
            <w:r>
              <w:rPr>
                <w:rFonts w:hint="eastAsia"/>
              </w:rPr>
              <w:t>序号</w:t>
            </w:r>
          </w:p>
        </w:tc>
        <w:tc>
          <w:tcPr>
            <w:tcW w:w="2757" w:type="dxa"/>
            <w:tcBorders>
              <w:left w:val="nil"/>
              <w:bottom w:val="single" w:color="auto" w:sz="4" w:space="0"/>
              <w:right w:val="single" w:color="auto" w:sz="4" w:space="0"/>
            </w:tcBorders>
            <w:noWrap w:val="0"/>
            <w:vAlign w:val="center"/>
          </w:tcPr>
          <w:p>
            <w:pPr>
              <w:pStyle w:val="27"/>
              <w:bidi w:val="0"/>
              <w:rPr>
                <w:rFonts w:hint="eastAsia"/>
              </w:rPr>
            </w:pPr>
            <w:r>
              <w:rPr>
                <w:rFonts w:hint="eastAsia"/>
              </w:rPr>
              <w:t>名称及规格</w:t>
            </w:r>
          </w:p>
        </w:tc>
        <w:tc>
          <w:tcPr>
            <w:tcW w:w="984" w:type="dxa"/>
            <w:tcBorders>
              <w:left w:val="nil"/>
              <w:bottom w:val="single" w:color="auto" w:sz="4" w:space="0"/>
              <w:right w:val="single" w:color="auto" w:sz="4" w:space="0"/>
            </w:tcBorders>
            <w:noWrap w:val="0"/>
            <w:vAlign w:val="center"/>
          </w:tcPr>
          <w:p>
            <w:pPr>
              <w:pStyle w:val="27"/>
              <w:bidi w:val="0"/>
              <w:rPr>
                <w:rFonts w:hint="eastAsia"/>
              </w:rPr>
            </w:pPr>
            <w:r>
              <w:rPr>
                <w:rFonts w:hint="eastAsia"/>
              </w:rPr>
              <w:t>单位</w:t>
            </w:r>
          </w:p>
        </w:tc>
        <w:tc>
          <w:tcPr>
            <w:tcW w:w="1068" w:type="dxa"/>
            <w:tcBorders>
              <w:left w:val="nil"/>
              <w:bottom w:val="single" w:color="auto" w:sz="4" w:space="0"/>
              <w:right w:val="single" w:color="auto" w:sz="4" w:space="0"/>
            </w:tcBorders>
            <w:noWrap w:val="0"/>
            <w:vAlign w:val="center"/>
          </w:tcPr>
          <w:p>
            <w:pPr>
              <w:pStyle w:val="27"/>
              <w:bidi w:val="0"/>
              <w:rPr>
                <w:rFonts w:hint="eastAsia"/>
              </w:rPr>
            </w:pPr>
            <w:r>
              <w:rPr>
                <w:rFonts w:hint="eastAsia"/>
              </w:rPr>
              <w:t>价格（元）</w:t>
            </w:r>
          </w:p>
        </w:tc>
        <w:tc>
          <w:tcPr>
            <w:tcW w:w="2934" w:type="dxa"/>
            <w:tcBorders>
              <w:left w:val="nil"/>
              <w:bottom w:val="single" w:color="auto" w:sz="4" w:space="0"/>
            </w:tcBorders>
            <w:noWrap w:val="0"/>
            <w:vAlign w:val="center"/>
          </w:tcPr>
          <w:p>
            <w:pPr>
              <w:pStyle w:val="27"/>
              <w:bidi w:val="0"/>
              <w:rPr>
                <w:rFonts w:hint="eastAsia"/>
              </w:rPr>
            </w:pPr>
            <w:r>
              <w:rPr>
                <w:rFonts w:hint="eastAsia"/>
              </w:rPr>
              <w:t>备    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nil"/>
              <w:bottom w:val="single" w:color="auto" w:sz="4" w:space="0"/>
              <w:right w:val="single" w:color="auto" w:sz="4" w:space="0"/>
            </w:tcBorders>
            <w:noWrap/>
            <w:vAlign w:val="center"/>
          </w:tcPr>
          <w:p>
            <w:pPr>
              <w:pStyle w:val="27"/>
              <w:bidi w:val="0"/>
              <w:rPr>
                <w:rFonts w:hint="eastAsia"/>
              </w:rPr>
            </w:pPr>
            <w:r>
              <w:rPr>
                <w:rFonts w:hint="eastAsia"/>
              </w:rPr>
              <w:t>1</w:t>
            </w:r>
          </w:p>
        </w:tc>
        <w:tc>
          <w:tcPr>
            <w:tcW w:w="2757" w:type="dxa"/>
            <w:tcBorders>
              <w:top w:val="nil"/>
              <w:left w:val="nil"/>
              <w:bottom w:val="single" w:color="auto" w:sz="4" w:space="0"/>
              <w:right w:val="single" w:color="auto" w:sz="4" w:space="0"/>
            </w:tcBorders>
            <w:noWrap w:val="0"/>
            <w:vAlign w:val="center"/>
          </w:tcPr>
          <w:p>
            <w:pPr>
              <w:pStyle w:val="27"/>
              <w:bidi w:val="0"/>
              <w:rPr>
                <w:rFonts w:hint="eastAsia"/>
              </w:rPr>
            </w:pPr>
            <w:r>
              <w:rPr>
                <w:rFonts w:hint="eastAsia"/>
              </w:rPr>
              <w:t>柴油0#</w:t>
            </w:r>
          </w:p>
        </w:tc>
        <w:tc>
          <w:tcPr>
            <w:tcW w:w="984"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rPr>
              <w:t>kg</w:t>
            </w:r>
          </w:p>
        </w:tc>
        <w:tc>
          <w:tcPr>
            <w:tcW w:w="1068" w:type="dxa"/>
            <w:tcBorders>
              <w:top w:val="nil"/>
              <w:left w:val="nil"/>
              <w:bottom w:val="single" w:color="auto" w:sz="4" w:space="0"/>
              <w:right w:val="single" w:color="auto" w:sz="4" w:space="0"/>
            </w:tcBorders>
            <w:noWrap w:val="0"/>
            <w:vAlign w:val="center"/>
          </w:tcPr>
          <w:p>
            <w:pPr>
              <w:pStyle w:val="27"/>
              <w:bidi w:val="0"/>
              <w:rPr>
                <w:rFonts w:hint="default"/>
                <w:lang w:val="en-US" w:eastAsia="zh-CN"/>
              </w:rPr>
            </w:pPr>
            <w:r>
              <w:rPr>
                <w:rFonts w:hint="default"/>
                <w:lang w:val="en-US" w:eastAsia="zh-CN"/>
              </w:rPr>
              <w:t>*.**</w:t>
            </w:r>
          </w:p>
        </w:tc>
        <w:tc>
          <w:tcPr>
            <w:tcW w:w="2934" w:type="dxa"/>
            <w:tcBorders>
              <w:top w:val="nil"/>
              <w:left w:val="nil"/>
              <w:bottom w:val="single" w:color="auto" w:sz="4" w:space="0"/>
            </w:tcBorders>
            <w:noWrap w:val="0"/>
            <w:vAlign w:val="center"/>
          </w:tcPr>
          <w:p>
            <w:pPr>
              <w:pStyle w:val="27"/>
              <w:bidi w:val="0"/>
              <w:rPr>
                <w:rFonts w:hint="eastAsia"/>
              </w:rPr>
            </w:pPr>
            <w:r>
              <w:rPr>
                <w:rFonts w:hint="eastAsia"/>
              </w:rPr>
              <w:t>发改委公布最新油价</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nil"/>
              <w:bottom w:val="single" w:color="auto" w:sz="4" w:space="0"/>
              <w:right w:val="single" w:color="auto" w:sz="4" w:space="0"/>
            </w:tcBorders>
            <w:noWrap/>
            <w:vAlign w:val="center"/>
          </w:tcPr>
          <w:p>
            <w:pPr>
              <w:pStyle w:val="27"/>
              <w:bidi w:val="0"/>
              <w:rPr>
                <w:rFonts w:hint="eastAsia"/>
              </w:rPr>
            </w:pPr>
            <w:r>
              <w:rPr>
                <w:rFonts w:hint="eastAsia"/>
              </w:rPr>
              <w:t>2</w:t>
            </w:r>
          </w:p>
        </w:tc>
        <w:tc>
          <w:tcPr>
            <w:tcW w:w="2757" w:type="dxa"/>
            <w:tcBorders>
              <w:top w:val="nil"/>
              <w:left w:val="nil"/>
              <w:bottom w:val="single" w:color="auto" w:sz="4" w:space="0"/>
              <w:right w:val="single" w:color="auto" w:sz="4" w:space="0"/>
            </w:tcBorders>
            <w:noWrap w:val="0"/>
            <w:vAlign w:val="center"/>
          </w:tcPr>
          <w:p>
            <w:pPr>
              <w:pStyle w:val="27"/>
              <w:bidi w:val="0"/>
              <w:rPr>
                <w:rFonts w:hint="eastAsia"/>
              </w:rPr>
            </w:pPr>
            <w:r>
              <w:rPr>
                <w:rFonts w:hint="eastAsia"/>
              </w:rPr>
              <w:t>电</w:t>
            </w:r>
          </w:p>
        </w:tc>
        <w:tc>
          <w:tcPr>
            <w:tcW w:w="984"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lang w:eastAsia="zh-CN"/>
              </w:rPr>
              <w:t>kW</w:t>
            </w:r>
            <w:r>
              <w:rPr>
                <w:rFonts w:hint="eastAsia"/>
              </w:rPr>
              <w:t>.h</w:t>
            </w:r>
          </w:p>
        </w:tc>
        <w:tc>
          <w:tcPr>
            <w:tcW w:w="1068" w:type="dxa"/>
            <w:tcBorders>
              <w:top w:val="nil"/>
              <w:left w:val="nil"/>
              <w:bottom w:val="single" w:color="auto" w:sz="4" w:space="0"/>
              <w:right w:val="single" w:color="auto" w:sz="4" w:space="0"/>
            </w:tcBorders>
            <w:noWrap w:val="0"/>
            <w:vAlign w:val="center"/>
          </w:tcPr>
          <w:p>
            <w:pPr>
              <w:pStyle w:val="27"/>
              <w:bidi w:val="0"/>
              <w:rPr>
                <w:rFonts w:hint="eastAsia"/>
              </w:rPr>
            </w:pPr>
            <w:r>
              <w:rPr>
                <w:rFonts w:hint="eastAsia"/>
              </w:rPr>
              <w:t>*.**</w:t>
            </w:r>
          </w:p>
        </w:tc>
        <w:tc>
          <w:tcPr>
            <w:tcW w:w="2934" w:type="dxa"/>
            <w:tcBorders>
              <w:top w:val="nil"/>
              <w:left w:val="nil"/>
              <w:bottom w:val="single" w:color="auto" w:sz="4" w:space="0"/>
            </w:tcBorders>
            <w:noWrap w:val="0"/>
            <w:vAlign w:val="center"/>
          </w:tcPr>
          <w:p>
            <w:pPr>
              <w:pStyle w:val="27"/>
              <w:bidi w:val="0"/>
              <w:jc w:val="both"/>
              <w:rPr>
                <w:rFonts w:hint="eastAsia"/>
              </w:rPr>
            </w:pPr>
            <w:r>
              <w:rPr>
                <w:rFonts w:hint="eastAsia"/>
              </w:rPr>
              <w:t>黑龙江省电网销售电价、</w:t>
            </w:r>
          </w:p>
          <w:p>
            <w:pPr>
              <w:pStyle w:val="27"/>
              <w:bidi w:val="0"/>
              <w:jc w:val="both"/>
              <w:rPr>
                <w:rFonts w:hint="eastAsia"/>
              </w:rPr>
            </w:pPr>
            <w:r>
              <w:rPr>
                <w:rFonts w:hint="eastAsia"/>
              </w:rPr>
              <w:t>电能损耗摊销费、供电设施维修摊销费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nil"/>
              <w:bottom w:val="single" w:color="auto" w:sz="4" w:space="0"/>
              <w:right w:val="single" w:color="auto" w:sz="4" w:space="0"/>
            </w:tcBorders>
            <w:noWrap/>
            <w:vAlign w:val="center"/>
          </w:tcPr>
          <w:p>
            <w:pPr>
              <w:pStyle w:val="27"/>
              <w:bidi w:val="0"/>
              <w:rPr>
                <w:rFonts w:hint="eastAsia" w:eastAsia="宋体"/>
                <w:lang w:eastAsia="zh-CN"/>
              </w:rPr>
            </w:pPr>
            <w:r>
              <w:rPr>
                <w:rFonts w:hint="eastAsia"/>
                <w:lang w:val="en-US" w:eastAsia="zh-CN"/>
              </w:rPr>
              <w:t>3</w:t>
            </w:r>
          </w:p>
        </w:tc>
        <w:tc>
          <w:tcPr>
            <w:tcW w:w="2757"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rPr>
              <w:t>水</w:t>
            </w:r>
          </w:p>
        </w:tc>
        <w:tc>
          <w:tcPr>
            <w:tcW w:w="984"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rPr>
              <w:t>m</w:t>
            </w:r>
            <w:r>
              <w:rPr>
                <w:rFonts w:hint="eastAsia"/>
                <w:vertAlign w:val="superscript"/>
              </w:rPr>
              <w:t>3</w:t>
            </w:r>
          </w:p>
        </w:tc>
        <w:tc>
          <w:tcPr>
            <w:tcW w:w="1068" w:type="dxa"/>
            <w:tcBorders>
              <w:top w:val="nil"/>
              <w:left w:val="nil"/>
              <w:bottom w:val="single" w:color="auto" w:sz="4" w:space="0"/>
              <w:right w:val="single" w:color="auto" w:sz="4" w:space="0"/>
            </w:tcBorders>
            <w:noWrap w:val="0"/>
            <w:vAlign w:val="center"/>
          </w:tcPr>
          <w:p>
            <w:pPr>
              <w:pStyle w:val="27"/>
              <w:bidi w:val="0"/>
              <w:rPr>
                <w:rFonts w:hint="default"/>
                <w:lang w:val="en-US" w:eastAsia="zh-CN"/>
              </w:rPr>
            </w:pPr>
            <w:r>
              <w:rPr>
                <w:rFonts w:hint="eastAsia"/>
                <w:lang w:val="en-US" w:eastAsia="zh-CN"/>
              </w:rPr>
              <w:t>*.**</w:t>
            </w:r>
          </w:p>
        </w:tc>
        <w:tc>
          <w:tcPr>
            <w:tcW w:w="2934" w:type="dxa"/>
            <w:tcBorders>
              <w:top w:val="nil"/>
              <w:left w:val="nil"/>
              <w:bottom w:val="single" w:color="auto" w:sz="4" w:space="0"/>
            </w:tcBorders>
            <w:noWrap w:val="0"/>
            <w:vAlign w:val="center"/>
          </w:tcPr>
          <w:p>
            <w:pPr>
              <w:pStyle w:val="27"/>
              <w:bidi w:val="0"/>
              <w:rPr>
                <w:rFonts w:hint="eastAsia"/>
              </w:rPr>
            </w:pPr>
            <w:r>
              <w:rPr>
                <w:rFonts w:hint="eastAsia"/>
                <w:lang w:val="iu-Latn-CA"/>
              </w:rPr>
              <w:t>20</w:t>
            </w:r>
            <w:r>
              <w:rPr>
                <w:rFonts w:hint="eastAsia"/>
              </w:rPr>
              <w:t>2</w:t>
            </w:r>
            <w:r>
              <w:rPr>
                <w:rFonts w:hint="eastAsia"/>
                <w:lang w:val="en-US" w:eastAsia="zh-CN"/>
              </w:rPr>
              <w:t>6年</w:t>
            </w:r>
            <w:r>
              <w:rPr>
                <w:rFonts w:hint="eastAsia"/>
                <w:lang w:val="iu-Latn-CA"/>
              </w:rPr>
              <w:t>第</w:t>
            </w:r>
            <w:r>
              <w:rPr>
                <w:rFonts w:hint="eastAsia"/>
                <w:lang w:val="en-US" w:eastAsia="zh-CN"/>
              </w:rPr>
              <w:t>三</w:t>
            </w:r>
            <w:r>
              <w:rPr>
                <w:rFonts w:hint="eastAsia"/>
                <w:lang w:val="iu-Latn-CA"/>
              </w:rPr>
              <w:t>季度市场价格</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nil"/>
              <w:bottom w:val="single" w:color="auto" w:sz="4" w:space="0"/>
              <w:right w:val="single" w:color="auto" w:sz="4" w:space="0"/>
            </w:tcBorders>
            <w:noWrap/>
            <w:vAlign w:val="center"/>
          </w:tcPr>
          <w:p>
            <w:pPr>
              <w:pStyle w:val="27"/>
              <w:bidi w:val="0"/>
              <w:rPr>
                <w:rFonts w:hint="eastAsia" w:eastAsia="宋体"/>
                <w:lang w:eastAsia="zh-CN"/>
              </w:rPr>
            </w:pPr>
            <w:r>
              <w:rPr>
                <w:rFonts w:hint="eastAsia"/>
                <w:lang w:val="en-US" w:eastAsia="zh-CN"/>
              </w:rPr>
              <w:t>4</w:t>
            </w:r>
          </w:p>
        </w:tc>
        <w:tc>
          <w:tcPr>
            <w:tcW w:w="2757"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lang w:val="en-US" w:eastAsia="zh-CN"/>
              </w:rPr>
              <w:t>樟子松</w:t>
            </w:r>
            <w:r>
              <w:rPr>
                <w:rFonts w:hint="eastAsia"/>
              </w:rPr>
              <w:t>树苗</w:t>
            </w:r>
          </w:p>
        </w:tc>
        <w:tc>
          <w:tcPr>
            <w:tcW w:w="984" w:type="dxa"/>
            <w:tcBorders>
              <w:top w:val="nil"/>
              <w:left w:val="nil"/>
              <w:bottom w:val="single" w:color="auto" w:sz="4" w:space="0"/>
              <w:right w:val="single" w:color="auto" w:sz="4" w:space="0"/>
            </w:tcBorders>
            <w:noWrap/>
            <w:vAlign w:val="center"/>
          </w:tcPr>
          <w:p>
            <w:pPr>
              <w:pStyle w:val="27"/>
              <w:bidi w:val="0"/>
              <w:rPr>
                <w:rFonts w:hint="eastAsia"/>
              </w:rPr>
            </w:pPr>
            <w:r>
              <w:rPr>
                <w:rFonts w:hint="eastAsia"/>
              </w:rPr>
              <w:t>株</w:t>
            </w:r>
          </w:p>
        </w:tc>
        <w:tc>
          <w:tcPr>
            <w:tcW w:w="1068" w:type="dxa"/>
            <w:tcBorders>
              <w:top w:val="nil"/>
              <w:left w:val="nil"/>
              <w:bottom w:val="single" w:color="auto" w:sz="4" w:space="0"/>
              <w:right w:val="single" w:color="auto" w:sz="4" w:space="0"/>
            </w:tcBorders>
            <w:noWrap w:val="0"/>
            <w:vAlign w:val="center"/>
          </w:tcPr>
          <w:p>
            <w:pPr>
              <w:pStyle w:val="27"/>
              <w:bidi w:val="0"/>
              <w:rPr>
                <w:rFonts w:hint="eastAsia"/>
                <w:lang w:eastAsia="zh-CN"/>
              </w:rPr>
            </w:pPr>
            <w:r>
              <w:rPr>
                <w:rFonts w:hint="eastAsia"/>
                <w:lang w:val="en-US" w:eastAsia="zh-CN"/>
              </w:rPr>
              <w:t>*</w:t>
            </w:r>
          </w:p>
        </w:tc>
        <w:tc>
          <w:tcPr>
            <w:tcW w:w="2934" w:type="dxa"/>
            <w:tcBorders>
              <w:top w:val="nil"/>
              <w:left w:val="nil"/>
              <w:bottom w:val="single" w:color="auto" w:sz="4" w:space="0"/>
            </w:tcBorders>
            <w:noWrap w:val="0"/>
            <w:vAlign w:val="center"/>
          </w:tcPr>
          <w:p>
            <w:pPr>
              <w:pStyle w:val="27"/>
              <w:bidi w:val="0"/>
              <w:rPr>
                <w:rFonts w:hint="eastAsia"/>
              </w:rPr>
            </w:pPr>
            <w:r>
              <w:rPr>
                <w:rFonts w:hint="eastAsia"/>
                <w:lang w:val="iu-Latn-CA"/>
              </w:rPr>
              <w:t>20</w:t>
            </w:r>
            <w:r>
              <w:rPr>
                <w:rFonts w:hint="eastAsia"/>
              </w:rPr>
              <w:t>2</w:t>
            </w:r>
            <w:r>
              <w:rPr>
                <w:rFonts w:hint="eastAsia"/>
                <w:lang w:val="en-US" w:eastAsia="zh-CN"/>
              </w:rPr>
              <w:t>6年</w:t>
            </w:r>
            <w:r>
              <w:rPr>
                <w:rFonts w:hint="eastAsia"/>
                <w:lang w:val="iu-Latn-CA"/>
              </w:rPr>
              <w:t>第</w:t>
            </w:r>
            <w:r>
              <w:rPr>
                <w:rFonts w:hint="eastAsia"/>
                <w:lang w:val="en-US" w:eastAsia="zh-CN"/>
              </w:rPr>
              <w:t>三</w:t>
            </w:r>
            <w:r>
              <w:rPr>
                <w:rFonts w:hint="eastAsia"/>
                <w:lang w:val="iu-Latn-CA"/>
              </w:rPr>
              <w:t>季度市场价格</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single" w:color="auto" w:sz="4" w:space="0"/>
              <w:bottom w:val="single" w:color="auto" w:sz="4" w:space="0"/>
              <w:right w:val="single" w:color="auto" w:sz="4" w:space="0"/>
            </w:tcBorders>
            <w:noWrap w:val="0"/>
            <w:vAlign w:val="center"/>
          </w:tcPr>
          <w:p>
            <w:pPr>
              <w:pStyle w:val="27"/>
              <w:bidi w:val="0"/>
              <w:rPr>
                <w:rFonts w:hint="eastAsia"/>
                <w:lang w:val="en-US" w:eastAsia="zh-CN"/>
              </w:rPr>
            </w:pPr>
            <w:r>
              <w:rPr>
                <w:rFonts w:hint="eastAsia"/>
                <w:lang w:val="en-US" w:eastAsia="zh-CN"/>
              </w:rPr>
              <w:t>5</w:t>
            </w:r>
          </w:p>
        </w:tc>
        <w:tc>
          <w:tcPr>
            <w:tcW w:w="2757" w:type="dxa"/>
            <w:tcBorders>
              <w:top w:val="single" w:color="auto" w:sz="4" w:space="0"/>
              <w:left w:val="nil"/>
              <w:bottom w:val="single" w:color="auto" w:sz="4" w:space="0"/>
              <w:right w:val="single" w:color="auto" w:sz="4" w:space="0"/>
            </w:tcBorders>
            <w:noWrap w:val="0"/>
            <w:vAlign w:val="center"/>
          </w:tcPr>
          <w:p>
            <w:pPr>
              <w:pStyle w:val="27"/>
              <w:bidi w:val="0"/>
              <w:rPr>
                <w:rFonts w:hint="default"/>
                <w:lang w:val="en-US" w:eastAsia="zh-CN"/>
              </w:rPr>
            </w:pPr>
            <w:r>
              <w:rPr>
                <w:rFonts w:hint="eastAsia"/>
                <w:lang w:val="en-US" w:eastAsia="zh-CN"/>
              </w:rPr>
              <w:t>爬山虎种子</w:t>
            </w:r>
          </w:p>
        </w:tc>
        <w:tc>
          <w:tcPr>
            <w:tcW w:w="984" w:type="dxa"/>
            <w:tcBorders>
              <w:top w:val="single" w:color="auto" w:sz="4" w:space="0"/>
              <w:left w:val="nil"/>
              <w:bottom w:val="single" w:color="auto" w:sz="4" w:space="0"/>
              <w:right w:val="single" w:color="auto" w:sz="4" w:space="0"/>
            </w:tcBorders>
            <w:noWrap/>
            <w:vAlign w:val="center"/>
          </w:tcPr>
          <w:p>
            <w:pPr>
              <w:pStyle w:val="27"/>
              <w:bidi w:val="0"/>
              <w:rPr>
                <w:rFonts w:hint="eastAsia"/>
                <w:sz w:val="24"/>
                <w:szCs w:val="24"/>
                <w:lang w:val="en-US" w:eastAsia="zh-CN"/>
              </w:rPr>
            </w:pPr>
            <w:r>
              <w:rPr>
                <w:rFonts w:hint="eastAsia"/>
                <w:sz w:val="24"/>
                <w:szCs w:val="24"/>
                <w:lang w:val="en-US" w:eastAsia="zh-CN"/>
              </w:rPr>
              <w:t>kg</w:t>
            </w:r>
          </w:p>
        </w:tc>
        <w:tc>
          <w:tcPr>
            <w:tcW w:w="1068" w:type="dxa"/>
            <w:tcBorders>
              <w:top w:val="single" w:color="auto" w:sz="4" w:space="0"/>
              <w:left w:val="nil"/>
              <w:bottom w:val="single" w:color="auto" w:sz="4" w:space="0"/>
              <w:right w:val="single" w:color="auto" w:sz="4" w:space="0"/>
            </w:tcBorders>
            <w:noWrap w:val="0"/>
            <w:vAlign w:val="center"/>
          </w:tcPr>
          <w:p>
            <w:pPr>
              <w:pStyle w:val="27"/>
              <w:bidi w:val="0"/>
              <w:rPr>
                <w:rFonts w:hint="default"/>
                <w:sz w:val="24"/>
                <w:szCs w:val="24"/>
                <w:lang w:val="en-US" w:eastAsia="zh-CN"/>
              </w:rPr>
            </w:pPr>
            <w:r>
              <w:rPr>
                <w:rFonts w:hint="eastAsia"/>
                <w:sz w:val="24"/>
                <w:szCs w:val="24"/>
                <w:lang w:val="en-US" w:eastAsia="zh-CN"/>
              </w:rPr>
              <w:t>***</w:t>
            </w:r>
          </w:p>
        </w:tc>
        <w:tc>
          <w:tcPr>
            <w:tcW w:w="2934" w:type="dxa"/>
            <w:tcBorders>
              <w:top w:val="single" w:color="auto" w:sz="4" w:space="0"/>
              <w:left w:val="nil"/>
              <w:bottom w:val="single" w:color="auto" w:sz="4" w:space="0"/>
            </w:tcBorders>
            <w:noWrap w:val="0"/>
            <w:vAlign w:val="center"/>
          </w:tcPr>
          <w:p>
            <w:pPr>
              <w:pStyle w:val="27"/>
              <w:bidi w:val="0"/>
              <w:rPr>
                <w:rFonts w:hint="eastAsia"/>
                <w:lang w:val="en-US" w:eastAsia="zh-CN"/>
              </w:rPr>
            </w:pPr>
            <w:r>
              <w:rPr>
                <w:rFonts w:hint="eastAsia"/>
                <w:lang w:val="iu-Latn-CA"/>
              </w:rPr>
              <w:t>20</w:t>
            </w:r>
            <w:r>
              <w:rPr>
                <w:rFonts w:hint="eastAsia"/>
              </w:rPr>
              <w:t>2</w:t>
            </w:r>
            <w:r>
              <w:rPr>
                <w:rFonts w:hint="eastAsia"/>
                <w:lang w:val="en-US" w:eastAsia="zh-CN"/>
              </w:rPr>
              <w:t>6年</w:t>
            </w:r>
            <w:r>
              <w:rPr>
                <w:rFonts w:hint="eastAsia"/>
                <w:lang w:val="iu-Latn-CA"/>
              </w:rPr>
              <w:t>第</w:t>
            </w:r>
            <w:r>
              <w:rPr>
                <w:rFonts w:hint="eastAsia"/>
                <w:lang w:val="en-US" w:eastAsia="zh-CN"/>
              </w:rPr>
              <w:t>三</w:t>
            </w:r>
            <w:r>
              <w:rPr>
                <w:rFonts w:hint="eastAsia"/>
                <w:lang w:val="iu-Latn-CA"/>
              </w:rPr>
              <w:t>季度市场价格</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3" w:hRule="atLeast"/>
          <w:jc w:val="center"/>
        </w:trPr>
        <w:tc>
          <w:tcPr>
            <w:tcW w:w="810" w:type="dxa"/>
            <w:tcBorders>
              <w:top w:val="single" w:color="auto" w:sz="4" w:space="0"/>
              <w:bottom w:val="single" w:color="auto" w:sz="4" w:space="0"/>
              <w:right w:val="single" w:color="auto" w:sz="4" w:space="0"/>
            </w:tcBorders>
            <w:noWrap w:val="0"/>
            <w:vAlign w:val="center"/>
          </w:tcPr>
          <w:p>
            <w:pPr>
              <w:pStyle w:val="27"/>
              <w:bidi w:val="0"/>
              <w:rPr>
                <w:rFonts w:hint="default"/>
                <w:lang w:val="en-US" w:eastAsia="zh-CN"/>
              </w:rPr>
            </w:pPr>
            <w:r>
              <w:rPr>
                <w:rFonts w:hint="eastAsia"/>
                <w:lang w:val="en-US" w:eastAsia="zh-CN"/>
              </w:rPr>
              <w:t>6</w:t>
            </w:r>
          </w:p>
        </w:tc>
        <w:tc>
          <w:tcPr>
            <w:tcW w:w="2757" w:type="dxa"/>
            <w:tcBorders>
              <w:top w:val="single" w:color="auto" w:sz="4" w:space="0"/>
              <w:left w:val="nil"/>
              <w:bottom w:val="single" w:color="auto" w:sz="4" w:space="0"/>
              <w:right w:val="single" w:color="auto" w:sz="4" w:space="0"/>
            </w:tcBorders>
            <w:noWrap w:val="0"/>
            <w:vAlign w:val="center"/>
          </w:tcPr>
          <w:p>
            <w:pPr>
              <w:pStyle w:val="27"/>
              <w:bidi w:val="0"/>
              <w:rPr>
                <w:rFonts w:hint="eastAsia"/>
                <w:lang w:val="en-US" w:eastAsia="zh-CN"/>
              </w:rPr>
            </w:pPr>
            <w:r>
              <w:rPr>
                <w:rFonts w:hint="default"/>
                <w:lang w:val="en-US" w:eastAsia="zh-CN"/>
              </w:rPr>
              <w:t>紫羊茅草籽</w:t>
            </w:r>
          </w:p>
        </w:tc>
        <w:tc>
          <w:tcPr>
            <w:tcW w:w="984" w:type="dxa"/>
            <w:tcBorders>
              <w:top w:val="single" w:color="auto" w:sz="4" w:space="0"/>
              <w:left w:val="nil"/>
              <w:bottom w:val="single" w:color="auto" w:sz="4" w:space="0"/>
              <w:right w:val="single" w:color="auto" w:sz="4" w:space="0"/>
            </w:tcBorders>
            <w:noWrap/>
            <w:vAlign w:val="center"/>
          </w:tcPr>
          <w:p>
            <w:pPr>
              <w:pStyle w:val="27"/>
              <w:bidi w:val="0"/>
              <w:ind w:firstLine="0" w:firstLineChars="0"/>
              <w:rPr>
                <w:rFonts w:hint="eastAsia"/>
                <w:sz w:val="24"/>
                <w:szCs w:val="24"/>
                <w:lang w:val="en-US" w:eastAsia="zh-CN"/>
              </w:rPr>
            </w:pPr>
            <w:r>
              <w:rPr>
                <w:rFonts w:hint="eastAsia"/>
                <w:sz w:val="24"/>
                <w:szCs w:val="24"/>
                <w:lang w:val="en-US" w:eastAsia="zh-CN"/>
              </w:rPr>
              <w:t>kg</w:t>
            </w:r>
          </w:p>
        </w:tc>
        <w:tc>
          <w:tcPr>
            <w:tcW w:w="1068" w:type="dxa"/>
            <w:tcBorders>
              <w:top w:val="single" w:color="auto" w:sz="4" w:space="0"/>
              <w:left w:val="nil"/>
              <w:bottom w:val="single" w:color="auto" w:sz="4" w:space="0"/>
              <w:right w:val="single" w:color="auto" w:sz="4" w:space="0"/>
            </w:tcBorders>
            <w:noWrap w:val="0"/>
            <w:vAlign w:val="center"/>
          </w:tcPr>
          <w:p>
            <w:pPr>
              <w:pStyle w:val="27"/>
              <w:bidi w:val="0"/>
              <w:ind w:firstLine="0" w:firstLineChars="0"/>
              <w:rPr>
                <w:rFonts w:hint="default"/>
                <w:sz w:val="24"/>
                <w:szCs w:val="24"/>
                <w:lang w:val="en-US" w:eastAsia="zh-CN"/>
              </w:rPr>
            </w:pPr>
            <w:r>
              <w:rPr>
                <w:rFonts w:hint="eastAsia"/>
                <w:sz w:val="24"/>
                <w:szCs w:val="24"/>
                <w:lang w:val="en-US" w:eastAsia="zh-CN"/>
              </w:rPr>
              <w:t>**</w:t>
            </w:r>
          </w:p>
        </w:tc>
        <w:tc>
          <w:tcPr>
            <w:tcW w:w="2934" w:type="dxa"/>
            <w:tcBorders>
              <w:top w:val="single" w:color="auto" w:sz="4" w:space="0"/>
              <w:left w:val="nil"/>
              <w:bottom w:val="single" w:color="auto" w:sz="4" w:space="0"/>
            </w:tcBorders>
            <w:noWrap w:val="0"/>
            <w:vAlign w:val="center"/>
          </w:tcPr>
          <w:p>
            <w:pPr>
              <w:pStyle w:val="27"/>
              <w:bidi w:val="0"/>
              <w:rPr>
                <w:rFonts w:hint="eastAsia"/>
                <w:lang w:val="en-US" w:eastAsia="zh-CN"/>
              </w:rPr>
            </w:pPr>
            <w:r>
              <w:rPr>
                <w:rFonts w:hint="eastAsia"/>
                <w:lang w:val="iu-Latn-CA"/>
              </w:rPr>
              <w:t>20</w:t>
            </w:r>
            <w:r>
              <w:rPr>
                <w:rFonts w:hint="eastAsia"/>
              </w:rPr>
              <w:t>2</w:t>
            </w:r>
            <w:r>
              <w:rPr>
                <w:rFonts w:hint="eastAsia"/>
                <w:lang w:val="en-US" w:eastAsia="zh-CN"/>
              </w:rPr>
              <w:t>6年</w:t>
            </w:r>
            <w:r>
              <w:rPr>
                <w:rFonts w:hint="eastAsia"/>
                <w:lang w:val="iu-Latn-CA"/>
              </w:rPr>
              <w:t>第</w:t>
            </w:r>
            <w:r>
              <w:rPr>
                <w:rFonts w:hint="eastAsia"/>
                <w:lang w:val="en-US" w:eastAsia="zh-CN"/>
              </w:rPr>
              <w:t>三</w:t>
            </w:r>
            <w:r>
              <w:rPr>
                <w:rFonts w:hint="eastAsia"/>
                <w:lang w:val="iu-Latn-CA"/>
              </w:rPr>
              <w:t>季度市场价格</w:t>
            </w:r>
          </w:p>
        </w:tc>
      </w:tr>
    </w:tbl>
    <w:p>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施工机械台班费</w:t>
      </w:r>
    </w:p>
    <w:p>
      <w:pPr>
        <w:bidi w:val="0"/>
        <w:rPr>
          <w:rFonts w:hint="eastAsia"/>
          <w:lang w:val="iu-Latn-CA"/>
        </w:rPr>
      </w:pPr>
      <w:r>
        <w:rPr>
          <w:rFonts w:hint="eastAsia"/>
          <w:lang w:val="iu-Latn-CA"/>
        </w:rPr>
        <w:t>依据《黑龙江省土地开发整理项目施工机械台班费定额》</w:t>
      </w:r>
    </w:p>
    <w:p>
      <w:pPr>
        <w:bidi w:val="0"/>
      </w:pPr>
      <w:r>
        <w:rPr>
          <w:rFonts w:hint="eastAsia"/>
          <w:lang w:val="iu-Latn-CA"/>
        </w:rPr>
        <w:t>施工机械台班费</w:t>
      </w:r>
      <w:r>
        <w:rPr>
          <w:rFonts w:hint="eastAsia"/>
        </w:rPr>
        <w:t>=</w:t>
      </w:r>
      <w:r>
        <w:rPr>
          <w:rFonts w:hint="eastAsia"/>
          <w:lang w:val="iu-Latn-CA"/>
        </w:rPr>
        <w:t>定额机械使用量（台班）×施工机械台班费（元/台班），详见</w:t>
      </w:r>
      <w:r>
        <w:rPr>
          <w:rFonts w:hint="eastAsia"/>
          <w:lang w:val="iu-Latn-CA" w:eastAsia="zh-CN"/>
        </w:rPr>
        <w:t>机械台班单价</w:t>
      </w:r>
      <w:r>
        <w:rPr>
          <w:rFonts w:hint="eastAsia"/>
          <w:lang w:val="iu-Latn-CA"/>
        </w:rPr>
        <w:t>预算表。</w:t>
      </w:r>
    </w:p>
    <w:p>
      <w:pPr>
        <w:pStyle w:val="5"/>
        <w:bidi w:val="0"/>
      </w:pPr>
      <w:r>
        <w:rPr>
          <w:rFonts w:hint="eastAsia"/>
          <w:lang w:val="en-US" w:eastAsia="zh-CN"/>
        </w:rPr>
        <w:t>3.</w:t>
      </w:r>
      <w:r>
        <w:rPr>
          <w:rFonts w:hint="eastAsia"/>
          <w:lang w:val="iu-Latn-CA"/>
        </w:rPr>
        <w:t>经费构成</w:t>
      </w:r>
    </w:p>
    <w:p>
      <w:pPr>
        <w:bidi w:val="0"/>
        <w:rPr>
          <w:rFonts w:hint="eastAsia"/>
          <w:lang w:val="iu-Latn-CA"/>
        </w:rPr>
      </w:pPr>
      <w:r>
        <w:rPr>
          <w:rFonts w:hint="eastAsia"/>
          <w:lang w:val="en-US" w:eastAsia="zh-CN"/>
        </w:rPr>
        <w:t>矿区生态修复方案</w:t>
      </w:r>
      <w:r>
        <w:rPr>
          <w:rFonts w:hint="eastAsia"/>
          <w:lang w:val="iu-Latn-CA"/>
        </w:rPr>
        <w:t>费用由工程施工费、设备费、其它费用（前期工作费、工程监理费、竣工验收费、业主管理费）、监测与管护费以及预备费（基本预备费、价差预备费和风险金）五部分构成。</w:t>
      </w:r>
    </w:p>
    <w:p>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工程施工费</w:t>
      </w:r>
    </w:p>
    <w:p>
      <w:pPr>
        <w:bidi w:val="0"/>
        <w:rPr>
          <w:rFonts w:hint="eastAsia"/>
          <w:lang w:val="iu-Latn-CA"/>
        </w:rPr>
      </w:pPr>
      <w:r>
        <w:rPr>
          <w:rFonts w:hint="eastAsia"/>
          <w:lang w:val="iu-Latn-CA"/>
        </w:rPr>
        <w:t>工程施工费是指在复垦过程中采用工程措施和生物化学措施进行复垦而发生的一切费用的总和，由工程措施施工费和生物化学措施施工费组成，是土地复垦费用的主要构成部分。工程措施施工费和生物化学措施施工费均包含直接费、间接费、利润、税金等4项费用。</w:t>
      </w:r>
    </w:p>
    <w:p>
      <w:pPr>
        <w:bidi w:val="0"/>
        <w:rPr>
          <w:rFonts w:hint="eastAsia"/>
        </w:rPr>
      </w:pPr>
      <w:r>
        <w:rPr>
          <w:rFonts w:hint="eastAsia"/>
        </w:rPr>
        <w:t>1）直接费</w:t>
      </w:r>
    </w:p>
    <w:p>
      <w:pPr>
        <w:bidi w:val="0"/>
        <w:rPr>
          <w:rFonts w:hint="eastAsia"/>
          <w:lang w:val="iu-Latn-CA"/>
        </w:rPr>
      </w:pPr>
      <w:r>
        <w:rPr>
          <w:rFonts w:hint="eastAsia"/>
          <w:lang w:val="iu-Latn-CA"/>
        </w:rPr>
        <w:t>直接费是指工程施工过程中直接消耗在工程项目上的活劳动和物化劳动。由直接工程费和措施费组成。</w:t>
      </w:r>
    </w:p>
    <w:p>
      <w:pPr>
        <w:bidi w:val="0"/>
        <w:rPr>
          <w:rFonts w:hint="eastAsia"/>
          <w:lang w:val="iu-Latn-CA"/>
        </w:rPr>
      </w:pPr>
      <w:r>
        <w:rPr>
          <w:rFonts w:hint="eastAsia"/>
          <w:lang w:val="iu-Latn-CA"/>
        </w:rPr>
        <w:t>直接工程费包括人工费、材料费、施工机械使用费。</w:t>
      </w:r>
    </w:p>
    <w:p>
      <w:pPr>
        <w:bidi w:val="0"/>
        <w:rPr>
          <w:rFonts w:hint="eastAsia"/>
          <w:lang w:val="iu-Latn-CA"/>
        </w:rPr>
      </w:pPr>
      <w:r>
        <w:rPr>
          <w:rFonts w:hint="eastAsia"/>
          <w:lang w:val="iu-Latn-CA"/>
        </w:rPr>
        <w:t>措施费包括临时设施费、冬雨季施工增加费、夜间施工增加费、施工辅助费和特殊地区施工增加费。</w:t>
      </w:r>
    </w:p>
    <w:p>
      <w:pPr>
        <w:bidi w:val="0"/>
        <w:rPr>
          <w:rFonts w:hint="eastAsia"/>
          <w:lang w:val="iu-Latn-CA"/>
        </w:rPr>
      </w:pPr>
      <w:r>
        <w:rPr>
          <w:rFonts w:hint="eastAsia"/>
          <w:lang w:val="iu-Latn-CA"/>
        </w:rPr>
        <w:t>——直接工程费</w:t>
      </w:r>
    </w:p>
    <w:p>
      <w:pPr>
        <w:bidi w:val="0"/>
        <w:rPr>
          <w:rFonts w:hint="eastAsia"/>
          <w:lang w:val="iu-Latn-CA"/>
        </w:rPr>
      </w:pPr>
      <w:r>
        <w:rPr>
          <w:rFonts w:hint="eastAsia"/>
          <w:lang w:val="iu-Latn-CA"/>
        </w:rPr>
        <w:t>直接工程费由人工费、材料费、施工机械使用费组成。</w:t>
      </w:r>
    </w:p>
    <w:p>
      <w:pPr>
        <w:bidi w:val="0"/>
        <w:rPr>
          <w:rFonts w:hint="eastAsia"/>
          <w:lang w:val="iu-Latn-CA"/>
        </w:rPr>
      </w:pPr>
      <w:r>
        <w:rPr>
          <w:rFonts w:hint="eastAsia"/>
          <w:lang w:val="iu-Latn-CA"/>
        </w:rPr>
        <w:t>人工费=∑（分项工程量×分项工程人工费）</w:t>
      </w:r>
    </w:p>
    <w:p>
      <w:pPr>
        <w:bidi w:val="0"/>
        <w:rPr>
          <w:rFonts w:hint="eastAsia"/>
          <w:lang w:val="iu-Latn-CA"/>
        </w:rPr>
      </w:pPr>
      <w:r>
        <w:rPr>
          <w:rFonts w:hint="eastAsia"/>
          <w:lang w:val="iu-Latn-CA"/>
        </w:rPr>
        <w:t>分项工程人工费是人工单价与分项消耗指标的乘积。</w:t>
      </w:r>
    </w:p>
    <w:p>
      <w:pPr>
        <w:bidi w:val="0"/>
        <w:rPr>
          <w:rFonts w:hint="eastAsia"/>
          <w:lang w:val="iu-Latn-CA"/>
        </w:rPr>
      </w:pPr>
      <w:r>
        <w:rPr>
          <w:rFonts w:hint="eastAsia"/>
          <w:lang w:val="iu-Latn-CA"/>
        </w:rPr>
        <w:t>材料费=∑（分项工程量×分项工程材料费）</w:t>
      </w:r>
    </w:p>
    <w:p>
      <w:pPr>
        <w:bidi w:val="0"/>
        <w:rPr>
          <w:rFonts w:hint="eastAsia"/>
          <w:lang w:val="iu-Latn-CA"/>
        </w:rPr>
      </w:pPr>
      <w:r>
        <w:rPr>
          <w:rFonts w:hint="eastAsia"/>
          <w:lang w:val="iu-Latn-CA"/>
        </w:rPr>
        <w:t>材料费是各种材料估算价格与分项消耗量的乘积之和。材料估算价按当地物价部门提供的市场指导价进行估算。</w:t>
      </w:r>
    </w:p>
    <w:p>
      <w:pPr>
        <w:bidi w:val="0"/>
        <w:rPr>
          <w:rFonts w:hint="eastAsia"/>
          <w:lang w:val="iu-Latn-CA"/>
        </w:rPr>
      </w:pPr>
      <w:r>
        <w:rPr>
          <w:rFonts w:hint="eastAsia"/>
          <w:lang w:val="iu-Latn-CA"/>
        </w:rPr>
        <w:t>施工机械使用费=∑（分项工程量×分项工程机械费）</w:t>
      </w:r>
    </w:p>
    <w:p>
      <w:pPr>
        <w:bidi w:val="0"/>
        <w:rPr>
          <w:rFonts w:hint="eastAsia"/>
          <w:lang w:val="iu-Latn-CA"/>
        </w:rPr>
      </w:pPr>
      <w:r>
        <w:rPr>
          <w:rFonts w:hint="eastAsia"/>
          <w:lang w:val="iu-Latn-CA"/>
        </w:rPr>
        <w:t>本方案参考《矿山地质环境保护与土地复垦方案编制实务》计算办法，结合项目区当地实际，合理确定甲类工和乙类工的日工资水平。本次估算编制材料价格全部以材料到工地实际价格计算。</w:t>
      </w:r>
    </w:p>
    <w:p>
      <w:pPr>
        <w:bidi w:val="0"/>
        <w:rPr>
          <w:rFonts w:hint="eastAsia"/>
          <w:lang w:val="iu-Latn-CA"/>
        </w:rPr>
      </w:pPr>
      <w:r>
        <w:rPr>
          <w:rFonts w:hint="eastAsia"/>
          <w:lang w:val="iu-Latn-CA"/>
        </w:rPr>
        <w:t>——措施费</w:t>
      </w:r>
    </w:p>
    <w:p>
      <w:pPr>
        <w:bidi w:val="0"/>
        <w:rPr>
          <w:rFonts w:hint="eastAsia" w:ascii="宋体" w:hAnsi="宋体" w:cs="宋体"/>
          <w:szCs w:val="28"/>
          <w:lang w:val="iu-Latn-CA"/>
        </w:rPr>
      </w:pPr>
      <w:r>
        <w:rPr>
          <w:rFonts w:hint="eastAsia"/>
          <w:lang w:val="iu-Latn-CA"/>
        </w:rPr>
        <w:t>措施费，是指为完成工程项目施工，发生与该工程施工前和施工过程中非工程实体项目的费用。主要包括临时设施费、冬雨季施工增加费、夜间施工增加费、施工辅助费、特殊地区施工增加费和安全及文明施工措施费。临时设施费和施工辅助费按规定</w:t>
      </w:r>
      <w:r>
        <w:rPr>
          <w:rFonts w:hint="eastAsia"/>
          <w:lang w:val="iu-Latn-CA" w:eastAsia="zh-CN"/>
        </w:rPr>
        <w:t>计取</w:t>
      </w:r>
      <w:r>
        <w:rPr>
          <w:rFonts w:hint="eastAsia"/>
          <w:lang w:val="iu-Latn-CA"/>
        </w:rPr>
        <w:t>；本工程不计算特殊地区施工增加费。措施费按直接工程费的</w:t>
      </w:r>
      <w:r>
        <w:rPr>
          <w:rFonts w:hint="eastAsia"/>
          <w:b/>
          <w:bCs/>
          <w:color w:val="auto"/>
          <w:lang w:val="en-US" w:eastAsia="zh-CN"/>
        </w:rPr>
        <w:t>5</w:t>
      </w:r>
      <w:r>
        <w:rPr>
          <w:rFonts w:hint="eastAsia"/>
          <w:b/>
          <w:bCs/>
          <w:color w:val="auto"/>
          <w:lang w:val="iu-Latn-CA"/>
        </w:rPr>
        <w:t>%</w:t>
      </w:r>
      <w:r>
        <w:rPr>
          <w:rFonts w:hint="eastAsia"/>
          <w:lang w:val="iu-Latn-CA"/>
        </w:rPr>
        <w:t>计取，见</w:t>
      </w:r>
      <w:r>
        <w:rPr>
          <w:rFonts w:hint="eastAsia"/>
          <w:lang w:val="en-US" w:eastAsia="zh-CN"/>
        </w:rPr>
        <w:t>下</w:t>
      </w:r>
      <w:r>
        <w:rPr>
          <w:rFonts w:hint="eastAsia"/>
          <w:lang w:val="iu-Latn-CA"/>
        </w:rPr>
        <w:t>表。</w:t>
      </w:r>
    </w:p>
    <w:p>
      <w:pPr>
        <w:pStyle w:val="8"/>
        <w:rPr>
          <w:rFonts w:hint="eastAsia" w:eastAsia="黑体"/>
          <w:lang w:val="en-US" w:eastAsia="zh-CN"/>
        </w:rPr>
      </w:pPr>
      <w:r>
        <w:t xml:space="preserve">表 </w:t>
      </w:r>
      <w:r>
        <w:rPr>
          <w:rFonts w:hint="eastAsia"/>
          <w:lang w:val="en-US" w:eastAsia="zh-CN"/>
        </w:rPr>
        <w:t xml:space="preserve">6-6 </w:t>
      </w:r>
      <w:r>
        <w:rPr>
          <w:rFonts w:hint="eastAsia"/>
          <w:b w:val="0"/>
          <w:bCs w:val="0"/>
        </w:rPr>
        <w:t>措施费费率取值表</w:t>
      </w:r>
    </w:p>
    <w:tbl>
      <w:tblPr>
        <w:tblStyle w:val="16"/>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5"/>
        <w:gridCol w:w="2535"/>
        <w:gridCol w:w="2130"/>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325" w:type="dxa"/>
            <w:noWrap w:val="0"/>
            <w:vAlign w:val="center"/>
          </w:tcPr>
          <w:p>
            <w:pPr>
              <w:pStyle w:val="27"/>
              <w:bidi w:val="0"/>
              <w:rPr>
                <w:rFonts w:hint="eastAsia"/>
              </w:rPr>
            </w:pPr>
            <w:r>
              <w:rPr>
                <w:rFonts w:hint="eastAsia"/>
              </w:rPr>
              <w:t>费用名称</w:t>
            </w:r>
          </w:p>
        </w:tc>
        <w:tc>
          <w:tcPr>
            <w:tcW w:w="2535" w:type="dxa"/>
            <w:noWrap w:val="0"/>
            <w:vAlign w:val="center"/>
          </w:tcPr>
          <w:p>
            <w:pPr>
              <w:pStyle w:val="27"/>
              <w:bidi w:val="0"/>
              <w:rPr>
                <w:rFonts w:hint="eastAsia"/>
              </w:rPr>
            </w:pPr>
            <w:r>
              <w:rPr>
                <w:rFonts w:hint="eastAsia"/>
              </w:rPr>
              <w:t>工程类别</w:t>
            </w:r>
          </w:p>
        </w:tc>
        <w:tc>
          <w:tcPr>
            <w:tcW w:w="2130" w:type="dxa"/>
            <w:noWrap w:val="0"/>
            <w:vAlign w:val="center"/>
          </w:tcPr>
          <w:p>
            <w:pPr>
              <w:pStyle w:val="27"/>
              <w:bidi w:val="0"/>
              <w:rPr>
                <w:rFonts w:hint="eastAsia"/>
              </w:rPr>
            </w:pPr>
            <w:r>
              <w:rPr>
                <w:rFonts w:hint="eastAsia"/>
              </w:rPr>
              <w:t>计算基础</w:t>
            </w:r>
          </w:p>
        </w:tc>
        <w:tc>
          <w:tcPr>
            <w:tcW w:w="1769" w:type="dxa"/>
            <w:noWrap w:val="0"/>
            <w:vAlign w:val="center"/>
          </w:tcPr>
          <w:p>
            <w:pPr>
              <w:pStyle w:val="27"/>
              <w:bidi w:val="0"/>
              <w:rPr>
                <w:rFonts w:hint="eastAsia"/>
              </w:rPr>
            </w:pPr>
            <w:r>
              <w:rPr>
                <w:rFonts w:hint="eastAsia"/>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临时设施费</w:t>
            </w:r>
          </w:p>
        </w:tc>
        <w:tc>
          <w:tcPr>
            <w:tcW w:w="2535" w:type="dxa"/>
            <w:noWrap w:val="0"/>
            <w:vAlign w:val="center"/>
          </w:tcPr>
          <w:p>
            <w:pPr>
              <w:pStyle w:val="27"/>
              <w:bidi w:val="0"/>
              <w:rPr>
                <w:rFonts w:hint="eastAsia"/>
              </w:rPr>
            </w:pPr>
            <w:r>
              <w:rPr>
                <w:rFonts w:hint="eastAsia"/>
              </w:rPr>
              <w:t>土方工程</w:t>
            </w:r>
          </w:p>
        </w:tc>
        <w:tc>
          <w:tcPr>
            <w:tcW w:w="2130" w:type="dxa"/>
            <w:noWrap w:val="0"/>
            <w:vAlign w:val="center"/>
          </w:tcPr>
          <w:p>
            <w:pPr>
              <w:pStyle w:val="27"/>
              <w:bidi w:val="0"/>
              <w:rPr>
                <w:rFonts w:hint="eastAsia"/>
              </w:rPr>
            </w:pPr>
            <w:r>
              <w:rPr>
                <w:rFonts w:hint="eastAsia"/>
              </w:rPr>
              <w:t>直接工程费</w:t>
            </w:r>
          </w:p>
        </w:tc>
        <w:tc>
          <w:tcPr>
            <w:tcW w:w="1769" w:type="dxa"/>
            <w:noWrap w:val="0"/>
            <w:vAlign w:val="center"/>
          </w:tcPr>
          <w:p>
            <w:pPr>
              <w:pStyle w:val="27"/>
              <w:bidi w:val="0"/>
              <w:rPr>
                <w:rFonts w:hint="eastAsia"/>
              </w:rPr>
            </w:pPr>
            <w:r>
              <w:rPr>
                <w:rFonts w:hint="eastAsi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冬雨季施工增加费</w:t>
            </w:r>
          </w:p>
        </w:tc>
        <w:tc>
          <w:tcPr>
            <w:tcW w:w="2535" w:type="dxa"/>
            <w:noWrap w:val="0"/>
            <w:vAlign w:val="center"/>
          </w:tcPr>
          <w:p>
            <w:pPr>
              <w:pStyle w:val="27"/>
              <w:bidi w:val="0"/>
              <w:rPr>
                <w:rFonts w:hint="eastAsia"/>
              </w:rPr>
            </w:pPr>
            <w:r>
              <w:rPr>
                <w:rFonts w:hint="eastAsia"/>
              </w:rPr>
              <w:t>部分工程雨季施工</w:t>
            </w:r>
          </w:p>
        </w:tc>
        <w:tc>
          <w:tcPr>
            <w:tcW w:w="2130" w:type="dxa"/>
            <w:noWrap w:val="0"/>
            <w:vAlign w:val="center"/>
          </w:tcPr>
          <w:p>
            <w:pPr>
              <w:pStyle w:val="27"/>
              <w:bidi w:val="0"/>
              <w:rPr>
                <w:rFonts w:hint="eastAsia"/>
              </w:rPr>
            </w:pPr>
            <w:r>
              <w:rPr>
                <w:rFonts w:hint="eastAsia"/>
              </w:rPr>
              <w:t>直接工程费</w:t>
            </w:r>
          </w:p>
        </w:tc>
        <w:tc>
          <w:tcPr>
            <w:tcW w:w="1769" w:type="dxa"/>
            <w:noWrap w:val="0"/>
            <w:vAlign w:val="center"/>
          </w:tcPr>
          <w:p>
            <w:pPr>
              <w:pStyle w:val="27"/>
              <w:bidi w:val="0"/>
              <w:rPr>
                <w:rFonts w:hint="eastAsia"/>
              </w:rPr>
            </w:pPr>
            <w:r>
              <w:rPr>
                <w:rFonts w:hint="eastAsi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夜间施工增加费</w:t>
            </w:r>
          </w:p>
        </w:tc>
        <w:tc>
          <w:tcPr>
            <w:tcW w:w="2535" w:type="dxa"/>
            <w:noWrap w:val="0"/>
            <w:vAlign w:val="center"/>
          </w:tcPr>
          <w:p>
            <w:pPr>
              <w:pStyle w:val="27"/>
              <w:bidi w:val="0"/>
              <w:rPr>
                <w:rFonts w:hint="eastAsia"/>
              </w:rPr>
            </w:pPr>
            <w:r>
              <w:rPr>
                <w:rFonts w:hint="eastAsia"/>
              </w:rPr>
              <w:t>建筑工程</w:t>
            </w:r>
          </w:p>
        </w:tc>
        <w:tc>
          <w:tcPr>
            <w:tcW w:w="2130" w:type="dxa"/>
            <w:noWrap w:val="0"/>
            <w:vAlign w:val="center"/>
          </w:tcPr>
          <w:p>
            <w:pPr>
              <w:pStyle w:val="27"/>
              <w:bidi w:val="0"/>
              <w:rPr>
                <w:rFonts w:hint="eastAsia"/>
              </w:rPr>
            </w:pPr>
            <w:r>
              <w:rPr>
                <w:rFonts w:hint="eastAsia"/>
              </w:rPr>
              <w:t>直接工程费</w:t>
            </w:r>
          </w:p>
        </w:tc>
        <w:tc>
          <w:tcPr>
            <w:tcW w:w="1769" w:type="dxa"/>
            <w:noWrap w:val="0"/>
            <w:vAlign w:val="center"/>
          </w:tcPr>
          <w:p>
            <w:pPr>
              <w:pStyle w:val="27"/>
              <w:bidi w:val="0"/>
              <w:rPr>
                <w:rFonts w:hint="eastAsia"/>
              </w:rP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施工辅助费</w:t>
            </w:r>
          </w:p>
        </w:tc>
        <w:tc>
          <w:tcPr>
            <w:tcW w:w="2535" w:type="dxa"/>
            <w:noWrap w:val="0"/>
            <w:vAlign w:val="center"/>
          </w:tcPr>
          <w:p>
            <w:pPr>
              <w:pStyle w:val="27"/>
              <w:bidi w:val="0"/>
              <w:rPr>
                <w:rFonts w:hint="eastAsia"/>
              </w:rPr>
            </w:pPr>
            <w:r>
              <w:rPr>
                <w:rFonts w:hint="eastAsia"/>
              </w:rPr>
              <w:t>建筑工程</w:t>
            </w:r>
          </w:p>
        </w:tc>
        <w:tc>
          <w:tcPr>
            <w:tcW w:w="2130" w:type="dxa"/>
            <w:noWrap w:val="0"/>
            <w:vAlign w:val="center"/>
          </w:tcPr>
          <w:p>
            <w:pPr>
              <w:pStyle w:val="27"/>
              <w:bidi w:val="0"/>
              <w:rPr>
                <w:rFonts w:hint="eastAsia"/>
              </w:rPr>
            </w:pPr>
            <w:r>
              <w:rPr>
                <w:rFonts w:hint="eastAsia"/>
              </w:rPr>
              <w:t>直接工程费</w:t>
            </w:r>
          </w:p>
        </w:tc>
        <w:tc>
          <w:tcPr>
            <w:tcW w:w="1769" w:type="dxa"/>
            <w:noWrap w:val="0"/>
            <w:vAlign w:val="center"/>
          </w:tcPr>
          <w:p>
            <w:pPr>
              <w:pStyle w:val="27"/>
              <w:bidi w:val="0"/>
              <w:rPr>
                <w:rFonts w:hint="eastAsia"/>
              </w:rP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安全施工措施费</w:t>
            </w:r>
          </w:p>
        </w:tc>
        <w:tc>
          <w:tcPr>
            <w:tcW w:w="2535" w:type="dxa"/>
            <w:noWrap w:val="0"/>
            <w:vAlign w:val="center"/>
          </w:tcPr>
          <w:p>
            <w:pPr>
              <w:pStyle w:val="27"/>
              <w:bidi w:val="0"/>
              <w:rPr>
                <w:rFonts w:hint="eastAsia"/>
              </w:rPr>
            </w:pPr>
            <w:r>
              <w:rPr>
                <w:rFonts w:hint="eastAsia"/>
              </w:rPr>
              <w:t>建筑工程</w:t>
            </w:r>
          </w:p>
        </w:tc>
        <w:tc>
          <w:tcPr>
            <w:tcW w:w="2130" w:type="dxa"/>
            <w:noWrap w:val="0"/>
            <w:vAlign w:val="center"/>
          </w:tcPr>
          <w:p>
            <w:pPr>
              <w:pStyle w:val="27"/>
              <w:bidi w:val="0"/>
              <w:rPr>
                <w:rFonts w:hint="eastAsia"/>
              </w:rPr>
            </w:pPr>
            <w:r>
              <w:rPr>
                <w:rFonts w:hint="eastAsia"/>
              </w:rPr>
              <w:t>直接工程费</w:t>
            </w:r>
          </w:p>
        </w:tc>
        <w:tc>
          <w:tcPr>
            <w:tcW w:w="1769" w:type="dxa"/>
            <w:noWrap w:val="0"/>
            <w:vAlign w:val="center"/>
          </w:tcPr>
          <w:p>
            <w:pPr>
              <w:pStyle w:val="27"/>
              <w:bidi w:val="0"/>
              <w:rPr>
                <w:rFonts w:hint="eastAsia" w:eastAsia="宋体"/>
                <w:lang w:eastAsia="zh-CN"/>
              </w:rPr>
            </w:pPr>
            <w:r>
              <w:rPr>
                <w:rFonts w:hint="eastAsia"/>
              </w:rPr>
              <w:t>0.</w:t>
            </w: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5" w:type="dxa"/>
            <w:noWrap w:val="0"/>
            <w:vAlign w:val="center"/>
          </w:tcPr>
          <w:p>
            <w:pPr>
              <w:pStyle w:val="27"/>
              <w:bidi w:val="0"/>
              <w:rPr>
                <w:rFonts w:hint="eastAsia"/>
              </w:rPr>
            </w:pPr>
            <w:r>
              <w:rPr>
                <w:rFonts w:hint="eastAsia"/>
              </w:rPr>
              <w:t>措施费</w:t>
            </w:r>
          </w:p>
        </w:tc>
        <w:tc>
          <w:tcPr>
            <w:tcW w:w="4665" w:type="dxa"/>
            <w:gridSpan w:val="2"/>
            <w:noWrap w:val="0"/>
            <w:vAlign w:val="center"/>
          </w:tcPr>
          <w:p>
            <w:pPr>
              <w:pStyle w:val="27"/>
              <w:bidi w:val="0"/>
              <w:rPr>
                <w:rFonts w:hint="eastAsia"/>
              </w:rPr>
            </w:pPr>
            <w:r>
              <w:rPr>
                <w:rFonts w:hint="eastAsia"/>
              </w:rPr>
              <w:t>合计</w:t>
            </w:r>
          </w:p>
        </w:tc>
        <w:tc>
          <w:tcPr>
            <w:tcW w:w="1769" w:type="dxa"/>
            <w:noWrap w:val="0"/>
            <w:vAlign w:val="center"/>
          </w:tcPr>
          <w:p>
            <w:pPr>
              <w:pStyle w:val="27"/>
              <w:bidi w:val="0"/>
              <w:rPr>
                <w:rFonts w:hint="default" w:eastAsia="宋体"/>
                <w:lang w:val="en-US" w:eastAsia="zh-CN"/>
              </w:rPr>
            </w:pPr>
            <w:r>
              <w:rPr>
                <w:rFonts w:hint="eastAsia"/>
                <w:b/>
                <w:bCs/>
                <w:lang w:val="en-US" w:eastAsia="zh-CN"/>
              </w:rPr>
              <w:t>5</w:t>
            </w:r>
          </w:p>
        </w:tc>
      </w:tr>
    </w:tbl>
    <w:p>
      <w:pPr>
        <w:bidi w:val="0"/>
        <w:rPr>
          <w:rFonts w:hint="eastAsia"/>
        </w:rPr>
      </w:pPr>
      <w:r>
        <w:rPr>
          <w:rFonts w:hint="eastAsia"/>
        </w:rPr>
        <w:t>2）间接费</w:t>
      </w:r>
    </w:p>
    <w:p>
      <w:pPr>
        <w:bidi w:val="0"/>
        <w:rPr>
          <w:rFonts w:hint="eastAsia"/>
          <w:lang w:val="iu-Latn-CA"/>
        </w:rPr>
      </w:pPr>
      <w:r>
        <w:rPr>
          <w:rFonts w:hint="eastAsia"/>
          <w:lang w:val="iu-Latn-CA"/>
        </w:rPr>
        <w:t>间接费由规费和企业管理费组成。结合本生产项目土地复垦工程施工特点，间接费按直接工程费和措施费之和的5%计算，见</w:t>
      </w:r>
      <w:r>
        <w:rPr>
          <w:rFonts w:hint="eastAsia"/>
          <w:lang w:val="en-US" w:eastAsia="zh-CN"/>
        </w:rPr>
        <w:t>下</w:t>
      </w:r>
      <w:r>
        <w:rPr>
          <w:rFonts w:hint="eastAsia"/>
          <w:lang w:val="iu-Latn-CA"/>
        </w:rPr>
        <w:t>表。</w:t>
      </w:r>
    </w:p>
    <w:p>
      <w:pPr>
        <w:pStyle w:val="8"/>
        <w:rPr>
          <w:rFonts w:hint="eastAsia" w:eastAsia="黑体"/>
          <w:lang w:val="en-US" w:eastAsia="zh-CN"/>
        </w:rPr>
      </w:pPr>
      <w:r>
        <w:t xml:space="preserve">表 </w:t>
      </w:r>
      <w:r>
        <w:rPr>
          <w:rFonts w:hint="eastAsia"/>
          <w:lang w:val="en-US" w:eastAsia="zh-CN"/>
        </w:rPr>
        <w:t xml:space="preserve">6-7 </w:t>
      </w:r>
      <w:r>
        <w:rPr>
          <w:rFonts w:hint="eastAsia"/>
          <w:b w:val="0"/>
          <w:bCs w:val="0"/>
        </w:rPr>
        <w:t>间接费费率表</w:t>
      </w:r>
    </w:p>
    <w:tbl>
      <w:tblPr>
        <w:tblStyle w:val="16"/>
        <w:tblW w:w="8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551"/>
        <w:gridCol w:w="3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42" w:type="dxa"/>
            <w:noWrap w:val="0"/>
            <w:vAlign w:val="center"/>
          </w:tcPr>
          <w:p>
            <w:pPr>
              <w:pStyle w:val="27"/>
              <w:bidi w:val="0"/>
              <w:rPr>
                <w:rFonts w:hint="eastAsia"/>
              </w:rPr>
            </w:pPr>
            <w:r>
              <w:rPr>
                <w:rFonts w:hint="eastAsia"/>
              </w:rPr>
              <w:t>费用名称</w:t>
            </w:r>
          </w:p>
        </w:tc>
        <w:tc>
          <w:tcPr>
            <w:tcW w:w="3551" w:type="dxa"/>
            <w:noWrap w:val="0"/>
            <w:vAlign w:val="center"/>
          </w:tcPr>
          <w:p>
            <w:pPr>
              <w:pStyle w:val="27"/>
              <w:bidi w:val="0"/>
              <w:rPr>
                <w:rFonts w:hint="eastAsia"/>
              </w:rPr>
            </w:pPr>
            <w:r>
              <w:rPr>
                <w:rFonts w:hint="eastAsia"/>
              </w:rPr>
              <w:t>计算基础</w:t>
            </w:r>
          </w:p>
        </w:tc>
        <w:tc>
          <w:tcPr>
            <w:tcW w:w="3174" w:type="dxa"/>
            <w:noWrap w:val="0"/>
            <w:vAlign w:val="center"/>
          </w:tcPr>
          <w:p>
            <w:pPr>
              <w:pStyle w:val="27"/>
              <w:bidi w:val="0"/>
              <w:rPr>
                <w:rFonts w:hint="eastAsia"/>
              </w:rPr>
            </w:pPr>
            <w:r>
              <w:rPr>
                <w:rFonts w:hint="eastAsia"/>
              </w:rPr>
              <w:t>间接费费率（%）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42" w:type="dxa"/>
            <w:noWrap w:val="0"/>
            <w:vAlign w:val="center"/>
          </w:tcPr>
          <w:p>
            <w:pPr>
              <w:pStyle w:val="27"/>
              <w:bidi w:val="0"/>
              <w:rPr>
                <w:rFonts w:hint="eastAsia"/>
              </w:rPr>
            </w:pPr>
            <w:r>
              <w:rPr>
                <w:rFonts w:hint="eastAsia"/>
              </w:rPr>
              <w:t>间接费</w:t>
            </w:r>
          </w:p>
        </w:tc>
        <w:tc>
          <w:tcPr>
            <w:tcW w:w="3551" w:type="dxa"/>
            <w:noWrap w:val="0"/>
            <w:vAlign w:val="center"/>
          </w:tcPr>
          <w:p>
            <w:pPr>
              <w:pStyle w:val="27"/>
              <w:bidi w:val="0"/>
              <w:rPr>
                <w:rFonts w:hint="eastAsia"/>
              </w:rPr>
            </w:pPr>
            <w:r>
              <w:rPr>
                <w:rFonts w:hint="eastAsia"/>
              </w:rPr>
              <w:t>直接工程费+措施费</w:t>
            </w:r>
          </w:p>
        </w:tc>
        <w:tc>
          <w:tcPr>
            <w:tcW w:w="3174" w:type="dxa"/>
            <w:noWrap w:val="0"/>
            <w:vAlign w:val="center"/>
          </w:tcPr>
          <w:p>
            <w:pPr>
              <w:pStyle w:val="27"/>
              <w:bidi w:val="0"/>
              <w:rPr>
                <w:rFonts w:hint="eastAsia"/>
              </w:rPr>
            </w:pPr>
            <w:r>
              <w:rPr>
                <w:rFonts w:hint="eastAsia"/>
                <w:b/>
                <w:bCs/>
              </w:rPr>
              <w:t>5.00</w:t>
            </w:r>
          </w:p>
        </w:tc>
      </w:tr>
    </w:tbl>
    <w:p>
      <w:pPr>
        <w:bidi w:val="0"/>
        <w:rPr>
          <w:rFonts w:hint="eastAsia"/>
        </w:rPr>
      </w:pPr>
      <w:r>
        <w:rPr>
          <w:rFonts w:hint="eastAsia"/>
        </w:rPr>
        <w:t>3）利润</w:t>
      </w:r>
    </w:p>
    <w:p>
      <w:pPr>
        <w:bidi w:val="0"/>
        <w:rPr>
          <w:rFonts w:hint="eastAsia"/>
          <w:lang w:val="iu-Latn-CA"/>
        </w:rPr>
      </w:pPr>
      <w:r>
        <w:rPr>
          <w:rFonts w:hint="eastAsia"/>
          <w:lang w:val="iu-Latn-CA"/>
        </w:rPr>
        <w:t>利润是指施工企业完成所承包工程获得的盈利。按直接费和间接费之和的</w:t>
      </w:r>
      <w:r>
        <w:rPr>
          <w:rFonts w:hint="eastAsia"/>
          <w:b/>
          <w:bCs/>
          <w:lang w:val="en-US" w:eastAsia="zh-CN"/>
        </w:rPr>
        <w:t>7</w:t>
      </w:r>
      <w:r>
        <w:rPr>
          <w:rFonts w:hint="eastAsia"/>
          <w:b/>
          <w:bCs/>
          <w:lang w:val="iu-Latn-CA"/>
        </w:rPr>
        <w:t>%</w:t>
      </w:r>
      <w:r>
        <w:rPr>
          <w:rFonts w:hint="eastAsia"/>
          <w:lang w:val="iu-Latn-CA"/>
        </w:rPr>
        <w:t>计算。</w:t>
      </w:r>
    </w:p>
    <w:p>
      <w:pPr>
        <w:bidi w:val="0"/>
        <w:rPr>
          <w:rFonts w:hint="eastAsia"/>
        </w:rPr>
      </w:pPr>
      <w:r>
        <w:rPr>
          <w:rFonts w:hint="eastAsia"/>
        </w:rPr>
        <w:t>4）税金</w:t>
      </w:r>
    </w:p>
    <w:p>
      <w:pPr>
        <w:bidi w:val="0"/>
        <w:rPr>
          <w:rFonts w:hint="eastAsia"/>
          <w:lang w:val="iu-Latn-CA"/>
        </w:rPr>
      </w:pPr>
      <w:r>
        <w:rPr>
          <w:rFonts w:hint="eastAsia"/>
          <w:lang w:val="iu-Latn-CA"/>
        </w:rPr>
        <w:t>营业税</w:t>
      </w:r>
      <w:r>
        <w:rPr>
          <w:rFonts w:hint="eastAsia"/>
          <w:lang w:val="iu-Latn-CA" w:eastAsia="zh-CN"/>
        </w:rPr>
        <w:t>。</w:t>
      </w:r>
      <w:r>
        <w:rPr>
          <w:rFonts w:hint="eastAsia"/>
          <w:lang w:val="iu-Latn-CA"/>
        </w:rPr>
        <w:t>城乡维护建设税和教育费附加之和计算</w:t>
      </w:r>
    </w:p>
    <w:p>
      <w:pPr>
        <w:bidi w:val="0"/>
        <w:rPr>
          <w:rFonts w:hint="eastAsia"/>
        </w:rPr>
      </w:pPr>
      <w:r>
        <w:rPr>
          <w:rFonts w:hint="eastAsia"/>
          <w:lang w:val="iu-Latn-CA"/>
        </w:rPr>
        <w:t>《财政部</w:t>
      </w:r>
      <w:r>
        <w:rPr>
          <w:rFonts w:hint="eastAsia"/>
        </w:rPr>
        <w:t>、</w:t>
      </w:r>
      <w:r>
        <w:rPr>
          <w:rFonts w:hint="eastAsia"/>
          <w:lang w:val="iu-Latn-CA"/>
        </w:rPr>
        <w:t>国家税务总局、海关总署公告</w:t>
      </w:r>
      <w:r>
        <w:rPr>
          <w:rFonts w:hint="eastAsia"/>
        </w:rPr>
        <w:t>2019年第39号</w:t>
      </w:r>
      <w:r>
        <w:rPr>
          <w:rFonts w:hint="eastAsia"/>
          <w:lang w:val="iu-Latn-CA"/>
        </w:rPr>
        <w:t>》将原适用于1</w:t>
      </w:r>
      <w:r>
        <w:rPr>
          <w:rFonts w:hint="eastAsia"/>
        </w:rPr>
        <w:t>0</w:t>
      </w:r>
      <w:r>
        <w:rPr>
          <w:rFonts w:hint="eastAsia"/>
          <w:lang w:val="iu-Latn-CA"/>
        </w:rPr>
        <w:t>%税率的调整为</w:t>
      </w:r>
      <w:r>
        <w:rPr>
          <w:rFonts w:hint="eastAsia"/>
          <w:b/>
          <w:bCs/>
        </w:rPr>
        <w:t>9</w:t>
      </w:r>
      <w:r>
        <w:rPr>
          <w:rFonts w:hint="eastAsia"/>
          <w:b/>
          <w:bCs/>
          <w:lang w:val="iu-Latn-CA"/>
        </w:rPr>
        <w:t>%</w:t>
      </w:r>
      <w:r>
        <w:rPr>
          <w:rFonts w:hint="eastAsia"/>
        </w:rPr>
        <w:t>。</w:t>
      </w:r>
    </w:p>
    <w:p>
      <w:pPr>
        <w:bidi w:val="0"/>
        <w:rPr>
          <w:rFonts w:hint="eastAsia"/>
          <w:lang w:val="iu-Latn-CA"/>
        </w:rPr>
      </w:pPr>
      <w:r>
        <w:rPr>
          <w:rFonts w:hint="eastAsia"/>
          <w:lang w:val="iu-Latn-CA"/>
        </w:rPr>
        <w:t>税金=（直接费+间接费+利润）×综合税率</w:t>
      </w:r>
    </w:p>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设备费</w:t>
      </w:r>
    </w:p>
    <w:p>
      <w:pPr>
        <w:bidi w:val="0"/>
        <w:rPr>
          <w:rFonts w:hint="eastAsia"/>
          <w:lang w:val="iu-Latn-CA"/>
        </w:rPr>
      </w:pPr>
      <w:r>
        <w:rPr>
          <w:rFonts w:hint="eastAsia"/>
          <w:lang w:val="iu-Latn-CA"/>
        </w:rPr>
        <w:t>本项目不存在设备的购置，所以无设备费。</w:t>
      </w:r>
    </w:p>
    <w:p>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其他费用</w:t>
      </w:r>
    </w:p>
    <w:p>
      <w:pPr>
        <w:bidi w:val="0"/>
        <w:rPr>
          <w:rFonts w:hint="eastAsia"/>
          <w:lang w:val="iu-Latn-CA"/>
        </w:rPr>
      </w:pPr>
      <w:r>
        <w:rPr>
          <w:rFonts w:hint="eastAsia"/>
          <w:lang w:val="iu-Latn-CA"/>
        </w:rPr>
        <w:t>其他费用包括：前期工作费、工程监理费、竣工验收费、业主管理费。</w:t>
      </w:r>
    </w:p>
    <w:p>
      <w:pPr>
        <w:bidi w:val="0"/>
        <w:rPr>
          <w:rFonts w:hint="eastAsia"/>
        </w:rPr>
      </w:pPr>
      <w:r>
        <w:rPr>
          <w:rFonts w:hint="eastAsia"/>
        </w:rPr>
        <w:t>1）前期工作费</w:t>
      </w:r>
    </w:p>
    <w:p>
      <w:pPr>
        <w:bidi w:val="0"/>
        <w:rPr>
          <w:rFonts w:hint="eastAsia"/>
          <w:lang w:val="iu-Latn-CA"/>
        </w:rPr>
      </w:pPr>
      <w:r>
        <w:rPr>
          <w:rFonts w:hint="eastAsia"/>
          <w:lang w:val="iu-Latn-CA"/>
        </w:rPr>
        <w:t>指土地复垦工程在工程施工前所发生的各项支出，包括：土地与生态现状调查费、土地勘测费、土地复垦方案编制费、阶段性实施方案编制费、科研试验费和工程招标代理费。</w:t>
      </w:r>
    </w:p>
    <w:p>
      <w:pPr>
        <w:bidi w:val="0"/>
        <w:rPr>
          <w:rFonts w:hint="eastAsia"/>
          <w:lang w:val="iu-Latn-CA"/>
        </w:rPr>
      </w:pPr>
      <w:r>
        <w:rPr>
          <w:rFonts w:hint="eastAsia"/>
          <w:lang w:val="iu-Latn-CA"/>
        </w:rPr>
        <w:t>根据生产项目特点，同时依据《土地复垦方案编制实务》，确定前期工作费按工程施工费的</w:t>
      </w:r>
      <w:r>
        <w:rPr>
          <w:rFonts w:hint="eastAsia"/>
          <w:b/>
          <w:bCs/>
          <w:lang w:val="iu-Latn-CA"/>
        </w:rPr>
        <w:t>5%</w:t>
      </w:r>
      <w:r>
        <w:rPr>
          <w:rFonts w:hint="eastAsia"/>
          <w:lang w:val="iu-Latn-CA"/>
        </w:rPr>
        <w:t>计取。</w:t>
      </w:r>
    </w:p>
    <w:p>
      <w:pPr>
        <w:bidi w:val="0"/>
        <w:rPr>
          <w:rFonts w:hint="eastAsia"/>
        </w:rPr>
      </w:pPr>
      <w:r>
        <w:rPr>
          <w:rFonts w:hint="eastAsia"/>
        </w:rPr>
        <w:t>2）工程监理费</w:t>
      </w:r>
    </w:p>
    <w:p>
      <w:pPr>
        <w:bidi w:val="0"/>
        <w:rPr>
          <w:rFonts w:hint="eastAsia"/>
          <w:lang w:val="iu-Latn-CA"/>
        </w:rPr>
      </w:pPr>
      <w:r>
        <w:rPr>
          <w:rFonts w:hint="eastAsia"/>
          <w:lang w:val="iu-Latn-CA"/>
        </w:rPr>
        <w:t>工程监理费是指项目承担单位委托具有工程监理资质的单位，按国家有关规定对工程质量、进度、安全和投资进行全过程的监督与管理所发生的费用。根据《土地复垦方案编制实务》规定，工程监理费按工程施工费的</w:t>
      </w:r>
      <w:r>
        <w:rPr>
          <w:rFonts w:hint="eastAsia"/>
          <w:b/>
          <w:bCs/>
          <w:lang w:val="iu-Latn-CA"/>
        </w:rPr>
        <w:t>2%</w:t>
      </w:r>
      <w:r>
        <w:rPr>
          <w:rFonts w:hint="eastAsia"/>
          <w:lang w:val="iu-Latn-CA"/>
        </w:rPr>
        <w:t>计算。</w:t>
      </w:r>
    </w:p>
    <w:p>
      <w:pPr>
        <w:bidi w:val="0"/>
        <w:rPr>
          <w:rFonts w:hint="eastAsia"/>
        </w:rPr>
      </w:pPr>
      <w:r>
        <w:rPr>
          <w:rFonts w:hint="eastAsia"/>
        </w:rPr>
        <w:t>3）竣工验收费</w:t>
      </w:r>
    </w:p>
    <w:p>
      <w:pPr>
        <w:bidi w:val="0"/>
        <w:rPr>
          <w:rFonts w:hint="eastAsia"/>
          <w:lang w:val="iu-Latn-CA"/>
        </w:rPr>
      </w:pPr>
      <w:r>
        <w:rPr>
          <w:rFonts w:hint="eastAsia"/>
          <w:lang w:val="iu-Latn-CA"/>
        </w:rPr>
        <w:t>竣工验收费指复垦工程完工后，因工程竣工验收、决算、成果的管理等发生的各项支出，主要包括：工程复核费、工程验收费、工程决算编制与审计费，复垦后土地重估与登记费和标识设定费。根据《土地复垦方案编制实务》规定，竣工验收费按工程施工费的</w:t>
      </w:r>
      <w:r>
        <w:rPr>
          <w:rFonts w:hint="eastAsia"/>
          <w:b/>
          <w:bCs/>
          <w:lang w:val="iu-Latn-CA"/>
        </w:rPr>
        <w:t>3%</w:t>
      </w:r>
      <w:r>
        <w:rPr>
          <w:rFonts w:hint="eastAsia"/>
          <w:lang w:val="iu-Latn-CA"/>
        </w:rPr>
        <w:t>计取。</w:t>
      </w:r>
    </w:p>
    <w:p>
      <w:pPr>
        <w:bidi w:val="0"/>
        <w:rPr>
          <w:rFonts w:hint="eastAsia"/>
        </w:rPr>
      </w:pPr>
      <w:r>
        <w:rPr>
          <w:rFonts w:hint="eastAsia"/>
        </w:rPr>
        <w:t>4）业主管理费</w:t>
      </w:r>
    </w:p>
    <w:p>
      <w:pPr>
        <w:bidi w:val="0"/>
        <w:rPr>
          <w:rFonts w:hint="eastAsia"/>
          <w:lang w:val="iu-Latn-CA"/>
        </w:rPr>
      </w:pPr>
      <w:r>
        <w:rPr>
          <w:rFonts w:hint="eastAsia"/>
          <w:lang w:val="iu-Latn-CA"/>
        </w:rPr>
        <w:t>业主管理费是指业主单位在土地复垦工程立项、筹建、建设等过程中所发生的费用。根据《土地复垦方案编制实务》规定，业主管理费按工程施工费、前期工作费、工程监理费和竣工验收费四项之和的</w:t>
      </w:r>
      <w:r>
        <w:rPr>
          <w:rFonts w:hint="eastAsia"/>
          <w:b/>
          <w:bCs/>
          <w:lang w:val="iu-Latn-CA"/>
        </w:rPr>
        <w:t>2%</w:t>
      </w:r>
      <w:r>
        <w:rPr>
          <w:rFonts w:hint="eastAsia"/>
          <w:lang w:val="iu-Latn-CA"/>
        </w:rPr>
        <w:t>计取。</w:t>
      </w:r>
    </w:p>
    <w:p>
      <w:pPr>
        <w:bidi w:val="0"/>
        <w:rPr>
          <w:rFonts w:hint="eastAsia"/>
          <w:lang w:val="iu-Latn-CA"/>
        </w:rPr>
      </w:pPr>
      <w:r>
        <w:rPr>
          <w:rFonts w:hint="eastAsia"/>
          <w:lang w:val="iu-Latn-CA"/>
        </w:rPr>
        <w:t>业主管理费</w:t>
      </w:r>
      <w:r>
        <w:rPr>
          <w:rFonts w:hint="eastAsia"/>
        </w:rPr>
        <w:t>=</w:t>
      </w:r>
      <w:r>
        <w:rPr>
          <w:rFonts w:hint="eastAsia"/>
          <w:lang w:val="iu-Latn-CA"/>
        </w:rPr>
        <w:t>（工程施工费＋前期工作费+工程监理费+竣工验收费）×2%</w:t>
      </w:r>
    </w:p>
    <w:p>
      <w:pPr>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rPr>
        <w:t>复垦监测与管护费</w:t>
      </w:r>
    </w:p>
    <w:p>
      <w:pPr>
        <w:bidi w:val="0"/>
        <w:rPr>
          <w:rFonts w:hint="eastAsia"/>
        </w:rPr>
      </w:pPr>
      <w:r>
        <w:rPr>
          <w:rFonts w:hint="eastAsia"/>
        </w:rPr>
        <w:t>1）监测费</w:t>
      </w:r>
    </w:p>
    <w:p>
      <w:pPr>
        <w:bidi w:val="0"/>
        <w:rPr>
          <w:rFonts w:hint="eastAsia"/>
        </w:rPr>
      </w:pPr>
      <w:r>
        <w:rPr>
          <w:rFonts w:hint="eastAsia"/>
        </w:rPr>
        <w:t>矿山地质环境保护与土地复垦期内为监测地质灾害、水文、土地损毁状况及土地复垦效果所发生的各项费用，按佳木斯市地方价格计取。</w:t>
      </w:r>
    </w:p>
    <w:p>
      <w:pPr>
        <w:bidi w:val="0"/>
        <w:rPr>
          <w:rFonts w:hint="eastAsia"/>
        </w:rPr>
      </w:pPr>
      <w:r>
        <w:rPr>
          <w:rFonts w:hint="eastAsia"/>
        </w:rPr>
        <w:t>2）管护费</w:t>
      </w:r>
    </w:p>
    <w:p>
      <w:pPr>
        <w:bidi w:val="0"/>
        <w:rPr>
          <w:rFonts w:hint="eastAsia"/>
        </w:rPr>
      </w:pPr>
      <w:r>
        <w:rPr>
          <w:rFonts w:hint="eastAsia"/>
        </w:rPr>
        <w:t>管护工程量与最短管护时间随项目区位条件、植被种类差异较大，本方案设计管护时间为3年，管护费具体费用根据</w:t>
      </w:r>
      <w:r>
        <w:rPr>
          <w:rFonts w:hint="eastAsia"/>
          <w:lang w:eastAsia="zh-CN"/>
        </w:rPr>
        <w:t>项目</w:t>
      </w:r>
      <w:r>
        <w:rPr>
          <w:rFonts w:hint="eastAsia"/>
        </w:rPr>
        <w:t>按佳木斯市地方价格计取。</w:t>
      </w:r>
    </w:p>
    <w:p>
      <w:pPr>
        <w:bidi w:val="0"/>
        <w:rPr>
          <w:rFonts w:hint="eastAsia"/>
        </w:rPr>
      </w:pPr>
      <w:r>
        <w:rPr>
          <w:rFonts w:hint="eastAsia"/>
        </w:rPr>
        <w:t>5、基本预备费</w:t>
      </w:r>
    </w:p>
    <w:p>
      <w:pPr>
        <w:bidi w:val="0"/>
        <w:rPr>
          <w:rFonts w:hint="eastAsia"/>
          <w:lang w:val="iu-Latn-CA"/>
        </w:rPr>
      </w:pPr>
      <w:r>
        <w:rPr>
          <w:rFonts w:hint="eastAsia"/>
          <w:lang w:val="iu-Latn-CA"/>
        </w:rPr>
        <w:t>基本预备费是为了解决在工程施工过程中因自然灾害、设计变更等所增加的费用。按工程施工费、设备费和其他费用三项之和的</w:t>
      </w:r>
      <w:r>
        <w:rPr>
          <w:rFonts w:hint="eastAsia"/>
          <w:b/>
          <w:bCs/>
          <w:lang w:val="en-US" w:eastAsia="zh-CN"/>
        </w:rPr>
        <w:t>3</w:t>
      </w:r>
      <w:r>
        <w:rPr>
          <w:rFonts w:hint="eastAsia"/>
          <w:b/>
          <w:bCs/>
          <w:lang w:val="iu-Latn-CA"/>
        </w:rPr>
        <w:t>%</w:t>
      </w:r>
      <w:r>
        <w:rPr>
          <w:rFonts w:hint="eastAsia"/>
          <w:lang w:val="iu-Latn-CA"/>
        </w:rPr>
        <w:t>计取。见下表。</w:t>
      </w:r>
    </w:p>
    <w:p>
      <w:pPr>
        <w:pStyle w:val="8"/>
        <w:rPr>
          <w:rFonts w:hint="eastAsia" w:eastAsia="黑体"/>
          <w:lang w:val="en-US" w:eastAsia="zh-CN"/>
        </w:rPr>
      </w:pPr>
      <w:r>
        <w:t xml:space="preserve">表 </w:t>
      </w:r>
      <w:r>
        <w:rPr>
          <w:rFonts w:hint="eastAsia"/>
          <w:lang w:val="en-US" w:eastAsia="zh-CN"/>
        </w:rPr>
        <w:t xml:space="preserve">6-8 </w:t>
      </w:r>
      <w:r>
        <w:rPr>
          <w:rFonts w:hint="eastAsia"/>
          <w:b w:val="0"/>
          <w:bCs w:val="0"/>
        </w:rPr>
        <w:t>基本预备费费率表</w:t>
      </w:r>
    </w:p>
    <w:tbl>
      <w:tblPr>
        <w:tblStyle w:val="16"/>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367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9" w:type="dxa"/>
            <w:noWrap w:val="0"/>
            <w:vAlign w:val="center"/>
          </w:tcPr>
          <w:p>
            <w:pPr>
              <w:pStyle w:val="27"/>
              <w:bidi w:val="0"/>
              <w:rPr>
                <w:rFonts w:hint="eastAsia"/>
              </w:rPr>
            </w:pPr>
            <w:r>
              <w:rPr>
                <w:rFonts w:hint="eastAsia"/>
              </w:rPr>
              <w:t>费用名称</w:t>
            </w:r>
          </w:p>
        </w:tc>
        <w:tc>
          <w:tcPr>
            <w:tcW w:w="3675" w:type="dxa"/>
            <w:noWrap w:val="0"/>
            <w:vAlign w:val="center"/>
          </w:tcPr>
          <w:p>
            <w:pPr>
              <w:pStyle w:val="27"/>
              <w:bidi w:val="0"/>
              <w:rPr>
                <w:rFonts w:hint="eastAsia"/>
              </w:rPr>
            </w:pPr>
            <w:r>
              <w:rPr>
                <w:rFonts w:hint="eastAsia"/>
              </w:rPr>
              <w:t>计算基础</w:t>
            </w:r>
          </w:p>
        </w:tc>
        <w:tc>
          <w:tcPr>
            <w:tcW w:w="2294" w:type="dxa"/>
            <w:noWrap w:val="0"/>
            <w:vAlign w:val="center"/>
          </w:tcPr>
          <w:p>
            <w:pPr>
              <w:pStyle w:val="27"/>
              <w:bidi w:val="0"/>
              <w:rPr>
                <w:rFonts w:hint="eastAsia"/>
              </w:rPr>
            </w:pPr>
            <w:r>
              <w:rPr>
                <w:rFonts w:hint="eastAsia"/>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9" w:type="dxa"/>
            <w:noWrap w:val="0"/>
            <w:vAlign w:val="center"/>
          </w:tcPr>
          <w:p>
            <w:pPr>
              <w:pStyle w:val="27"/>
              <w:bidi w:val="0"/>
              <w:rPr>
                <w:rFonts w:hint="eastAsia"/>
              </w:rPr>
            </w:pPr>
            <w:r>
              <w:rPr>
                <w:rFonts w:hint="eastAsia"/>
              </w:rPr>
              <w:t>基本预备费</w:t>
            </w:r>
          </w:p>
        </w:tc>
        <w:tc>
          <w:tcPr>
            <w:tcW w:w="3675" w:type="dxa"/>
            <w:noWrap w:val="0"/>
            <w:vAlign w:val="center"/>
          </w:tcPr>
          <w:p>
            <w:pPr>
              <w:pStyle w:val="27"/>
              <w:bidi w:val="0"/>
              <w:rPr>
                <w:rFonts w:hint="eastAsia"/>
              </w:rPr>
            </w:pPr>
            <w:r>
              <w:rPr>
                <w:rFonts w:hint="eastAsia"/>
              </w:rPr>
              <w:t>工程施工费+设备费+其他费用</w:t>
            </w:r>
          </w:p>
        </w:tc>
        <w:tc>
          <w:tcPr>
            <w:tcW w:w="2294" w:type="dxa"/>
            <w:noWrap w:val="0"/>
            <w:vAlign w:val="center"/>
          </w:tcPr>
          <w:p>
            <w:pPr>
              <w:pStyle w:val="27"/>
              <w:bidi w:val="0"/>
              <w:rPr>
                <w:rFonts w:hint="eastAsia"/>
              </w:rPr>
            </w:pPr>
            <w:r>
              <w:rPr>
                <w:rFonts w:hint="eastAsia"/>
                <w:b/>
                <w:bCs/>
                <w:lang w:val="en-US" w:eastAsia="zh-CN"/>
              </w:rPr>
              <w:t>3</w:t>
            </w:r>
            <w:r>
              <w:rPr>
                <w:rFonts w:hint="eastAsia"/>
                <w:b/>
                <w:bCs/>
              </w:rPr>
              <w:t>.00</w:t>
            </w:r>
          </w:p>
        </w:tc>
      </w:tr>
    </w:tbl>
    <w:p>
      <w:pPr>
        <w:bidi w:val="0"/>
        <w:rPr>
          <w:rFonts w:hint="eastAsia"/>
        </w:rPr>
      </w:pPr>
    </w:p>
    <w:p>
      <w:pPr>
        <w:pStyle w:val="4"/>
        <w:bidi w:val="0"/>
        <w:rPr>
          <w:rFonts w:hint="eastAsia"/>
        </w:rPr>
      </w:pPr>
      <w:r>
        <w:rPr>
          <w:rFonts w:hint="eastAsia"/>
        </w:rPr>
        <w:t>（二）单项工程量及其经费估算</w:t>
      </w:r>
    </w:p>
    <w:p>
      <w:pPr>
        <w:bidi w:val="0"/>
        <w:rPr>
          <w:rFonts w:hint="eastAsia"/>
          <w:color w:val="auto"/>
        </w:rPr>
      </w:pPr>
      <w:r>
        <w:rPr>
          <w:rFonts w:hint="eastAsia"/>
          <w:color w:val="auto"/>
        </w:rPr>
        <w:t xml:space="preserve">根据所涉及的工程类型、工程设计、工程部署、工程量及工程技术手段等，参照相关标准，进行经费估算、地重塑经费 </w:t>
      </w:r>
      <w:r>
        <w:rPr>
          <w:rFonts w:hint="eastAsia"/>
          <w:color w:val="auto"/>
          <w:shd w:val="clear" w:color="auto" w:fill="auto"/>
          <w:lang w:val="en-US" w:eastAsia="zh-CN"/>
        </w:rPr>
        <w:t>*****.**</w:t>
      </w:r>
      <w:r>
        <w:rPr>
          <w:rFonts w:hint="eastAsia"/>
          <w:color w:val="auto"/>
        </w:rPr>
        <w:t xml:space="preserve"> 元、土壤重构经费 </w:t>
      </w:r>
      <w:r>
        <w:rPr>
          <w:rFonts w:hint="eastAsia"/>
          <w:color w:val="auto"/>
          <w:shd w:val="clear" w:color="auto" w:fill="auto"/>
          <w:lang w:val="en-US" w:eastAsia="zh-CN"/>
        </w:rPr>
        <w:t>*****.**</w:t>
      </w:r>
      <w:r>
        <w:rPr>
          <w:rFonts w:hint="eastAsia"/>
          <w:color w:val="auto"/>
        </w:rPr>
        <w:t xml:space="preserve"> 元、植被重建经费 </w:t>
      </w:r>
      <w:r>
        <w:rPr>
          <w:rFonts w:hint="eastAsia"/>
          <w:color w:val="auto"/>
          <w:shd w:val="clear" w:color="auto" w:fill="auto"/>
          <w:lang w:val="en-US" w:eastAsia="zh-CN"/>
        </w:rPr>
        <w:t>******.**</w:t>
      </w:r>
      <w:r>
        <w:rPr>
          <w:rFonts w:hint="eastAsia"/>
          <w:color w:val="auto"/>
        </w:rPr>
        <w:t xml:space="preserve"> 元、景观营建经费 </w:t>
      </w:r>
      <w:r>
        <w:rPr>
          <w:rFonts w:hint="eastAsia"/>
          <w:color w:val="auto"/>
          <w:shd w:val="clear" w:color="auto" w:fill="auto"/>
          <w:lang w:val="en-US" w:eastAsia="zh-CN"/>
        </w:rPr>
        <w:t>******.**</w:t>
      </w:r>
      <w:r>
        <w:rPr>
          <w:rFonts w:hint="eastAsia"/>
          <w:color w:val="auto"/>
        </w:rPr>
        <w:t xml:space="preserve"> 元、监测经费 </w:t>
      </w:r>
      <w:r>
        <w:rPr>
          <w:rFonts w:hint="default"/>
          <w:color w:val="auto"/>
          <w:lang w:val="en-US" w:eastAsia="zh-CN"/>
        </w:rPr>
        <w:t>*****.**</w:t>
      </w:r>
      <w:r>
        <w:rPr>
          <w:rFonts w:hint="eastAsia"/>
          <w:color w:val="auto"/>
        </w:rPr>
        <w:t xml:space="preserve"> 元、管护工程经费 </w:t>
      </w:r>
      <w:r>
        <w:rPr>
          <w:rFonts w:hint="default"/>
          <w:color w:val="auto"/>
          <w:lang w:val="en-US" w:eastAsia="zh-CN"/>
        </w:rPr>
        <w:t>*****.**</w:t>
      </w:r>
      <w:r>
        <w:rPr>
          <w:rFonts w:hint="eastAsia"/>
          <w:color w:val="auto"/>
        </w:rPr>
        <w:t xml:space="preserve"> 元。</w:t>
      </w:r>
    </w:p>
    <w:p>
      <w:pPr>
        <w:bidi w:val="0"/>
        <w:rPr>
          <w:color w:val="0000FF"/>
        </w:rPr>
      </w:pPr>
      <w:r>
        <w:rPr>
          <w:rFonts w:hint="eastAsia"/>
          <w:color w:val="auto"/>
        </w:rPr>
        <w:t xml:space="preserve">单项工程量及其经费估算汇总表，详见表 </w:t>
      </w:r>
      <w:r>
        <w:rPr>
          <w:rFonts w:hint="eastAsia"/>
          <w:color w:val="auto"/>
          <w:lang w:val="en-US" w:eastAsia="zh-CN"/>
        </w:rPr>
        <w:t>6</w:t>
      </w:r>
      <w:r>
        <w:rPr>
          <w:rFonts w:hint="eastAsia"/>
          <w:color w:val="auto"/>
        </w:rPr>
        <w:t>-</w:t>
      </w:r>
      <w:r>
        <w:rPr>
          <w:rFonts w:hint="eastAsia"/>
          <w:color w:val="auto"/>
          <w:lang w:val="en-US" w:eastAsia="zh-CN"/>
        </w:rPr>
        <w:t>9</w:t>
      </w:r>
      <w:r>
        <w:rPr>
          <w:rFonts w:hint="eastAsia"/>
          <w:color w:val="auto"/>
        </w:rPr>
        <w:t>。</w:t>
      </w:r>
    </w:p>
    <w:p>
      <w:pPr>
        <w:pStyle w:val="8"/>
        <w:bidi w:val="0"/>
        <w:rPr>
          <w:rFonts w:hint="default"/>
          <w:lang w:val="en-US" w:eastAsia="zh-CN"/>
        </w:rPr>
      </w:pPr>
      <w:r>
        <w:t xml:space="preserve">表 </w:t>
      </w:r>
      <w:r>
        <w:rPr>
          <w:rFonts w:hint="eastAsia"/>
          <w:lang w:val="en-US" w:eastAsia="zh-CN"/>
        </w:rPr>
        <w:t>6</w:t>
      </w:r>
      <w:r>
        <w:rPr>
          <w:rFonts w:hint="eastAsia"/>
        </w:rPr>
        <w:t>-</w:t>
      </w:r>
      <w:r>
        <w:rPr>
          <w:rFonts w:hint="eastAsia"/>
          <w:lang w:val="en-US" w:eastAsia="zh-CN"/>
        </w:rPr>
        <w:t xml:space="preserve">9 </w:t>
      </w:r>
      <w:r>
        <w:rPr>
          <w:rFonts w:hint="eastAsia"/>
        </w:rPr>
        <w:t>单项工程量及其经费估算汇总</w:t>
      </w:r>
    </w:p>
    <w:tbl>
      <w:tblPr>
        <w:tblStyle w:val="16"/>
        <w:tblW w:w="494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29"/>
        <w:gridCol w:w="1294"/>
        <w:gridCol w:w="1822"/>
        <w:gridCol w:w="970"/>
        <w:gridCol w:w="1092"/>
        <w:gridCol w:w="2088"/>
        <w:gridCol w:w="1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序号</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定额编号</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单项名称</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单位</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工程量</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综合单价（元）</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一</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地貌重塑工程</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4-206</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建筑物拆除</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100m</w:t>
            </w:r>
            <w:r>
              <w:rPr>
                <w:rFonts w:hint="eastAsia"/>
                <w:shd w:val="clear" w:color="auto" w:fill="auto"/>
                <w:vertAlign w:val="superscript"/>
                <w:lang w:val="en-US" w:eastAsia="zh-CN"/>
              </w:rPr>
              <w:t>3</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0.045</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2)</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1-280</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建筑垃圾清运</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100m</w:t>
            </w:r>
            <w:r>
              <w:rPr>
                <w:rFonts w:hint="eastAsia"/>
                <w:shd w:val="clear" w:color="auto" w:fill="auto"/>
                <w:vertAlign w:val="superscript"/>
                <w:lang w:val="en-US" w:eastAsia="zh-CN"/>
              </w:rPr>
              <w:t>3</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0.045</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3)</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1-195</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平整工程</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100m</w:t>
            </w:r>
            <w:r>
              <w:rPr>
                <w:rFonts w:hint="eastAsia"/>
                <w:shd w:val="clear" w:color="auto" w:fill="auto"/>
                <w:vertAlign w:val="superscript"/>
                <w:lang w:val="en-US" w:eastAsia="zh-CN"/>
              </w:rPr>
              <w:t>3</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136.528</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4)</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1-063</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翻耕工程</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hm</w:t>
            </w:r>
            <w:r>
              <w:rPr>
                <w:rFonts w:hint="eastAsia"/>
                <w:shd w:val="clear" w:color="auto" w:fill="auto"/>
                <w:vertAlign w:val="superscript"/>
                <w:lang w:val="en-US" w:eastAsia="zh-CN"/>
              </w:rPr>
              <w:t>2</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5)</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预埋涵管</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m</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65</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二</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土壤重构</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1-233</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表土清运</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100m</w:t>
            </w:r>
            <w:r>
              <w:rPr>
                <w:rFonts w:hint="eastAsia"/>
                <w:shd w:val="clear" w:color="auto" w:fill="auto"/>
                <w:vertAlign w:val="superscript"/>
                <w:lang w:val="en-US" w:eastAsia="zh-CN"/>
              </w:rPr>
              <w:t>3</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24.129</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2)</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1-180</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表土回覆</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100m</w:t>
            </w:r>
            <w:r>
              <w:rPr>
                <w:rFonts w:hint="eastAsia"/>
                <w:shd w:val="clear" w:color="auto" w:fill="auto"/>
                <w:vertAlign w:val="superscript"/>
                <w:lang w:val="en-US" w:eastAsia="zh-CN"/>
              </w:rPr>
              <w:t>3</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16.5702</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三</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植被重建</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9-002</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植树工程</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100株</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181.62</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2)</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9-023</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种植爬山虎</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hm</w:t>
            </w:r>
            <w:r>
              <w:rPr>
                <w:rFonts w:hint="eastAsia"/>
                <w:shd w:val="clear" w:color="auto" w:fill="auto"/>
                <w:vertAlign w:val="superscript"/>
                <w:lang w:val="en-US" w:eastAsia="zh-CN"/>
              </w:rPr>
              <w:t>2</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3)</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9-031</w:t>
            </w: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草地恢复</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hm</w:t>
            </w:r>
            <w:r>
              <w:rPr>
                <w:rFonts w:hint="eastAsia"/>
                <w:shd w:val="clear" w:color="auto" w:fill="auto"/>
                <w:vertAlign w:val="superscript"/>
                <w:lang w:val="en-US" w:eastAsia="zh-CN"/>
              </w:rPr>
              <w:t>2</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四</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景观营建</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警示牌</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个</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10</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2)</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围栏</w:t>
            </w: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m</w:t>
            </w: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1194</w:t>
            </w: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w:t>
            </w: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52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合计：</w:t>
            </w:r>
          </w:p>
        </w:tc>
        <w:tc>
          <w:tcPr>
            <w:tcW w:w="656"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92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492"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554"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1059"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p>
        </w:tc>
        <w:tc>
          <w:tcPr>
            <w:tcW w:w="790" w:type="pct"/>
            <w:tcBorders>
              <w:top w:val="single" w:color="auto" w:sz="4" w:space="0"/>
              <w:left w:val="single" w:color="auto" w:sz="4" w:space="0"/>
              <w:bottom w:val="single" w:color="auto" w:sz="4" w:space="0"/>
              <w:right w:val="single" w:color="auto" w:sz="4" w:space="0"/>
            </w:tcBorders>
            <w:noWrap/>
            <w:vAlign w:val="center"/>
          </w:tcPr>
          <w:p>
            <w:pPr>
              <w:pStyle w:val="27"/>
              <w:bidi w:val="0"/>
              <w:rPr>
                <w:rFonts w:hint="eastAsia"/>
                <w:shd w:val="clear" w:color="auto" w:fill="auto"/>
              </w:rPr>
            </w:pPr>
            <w:r>
              <w:rPr>
                <w:rFonts w:hint="eastAsia"/>
                <w:shd w:val="clear" w:color="auto" w:fill="auto"/>
                <w:lang w:val="en-US" w:eastAsia="zh-CN"/>
              </w:rPr>
              <w:t xml:space="preserve">******.** </w:t>
            </w:r>
          </w:p>
        </w:tc>
      </w:tr>
    </w:tbl>
    <w:p>
      <w:pPr>
        <w:bidi w:val="0"/>
      </w:pPr>
    </w:p>
    <w:p>
      <w:pPr>
        <w:pStyle w:val="8"/>
        <w:bidi w:val="0"/>
        <w:rPr>
          <w:rFonts w:hint="default"/>
          <w:lang w:val="en-US" w:eastAsia="zh-CN"/>
        </w:rPr>
      </w:pPr>
      <w:r>
        <w:t xml:space="preserve">表 </w:t>
      </w:r>
      <w:r>
        <w:rPr>
          <w:rFonts w:hint="eastAsia"/>
          <w:lang w:val="en-US" w:eastAsia="zh-CN"/>
        </w:rPr>
        <w:t>6-10 复垦监测与管护费估算表</w:t>
      </w:r>
    </w:p>
    <w:tbl>
      <w:tblPr>
        <w:tblStyle w:val="16"/>
        <w:tblW w:w="97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0"/>
        <w:gridCol w:w="1980"/>
        <w:gridCol w:w="1589"/>
        <w:gridCol w:w="1459"/>
        <w:gridCol w:w="2211"/>
        <w:gridCol w:w="14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监测工程</w:t>
            </w:r>
          </w:p>
        </w:tc>
        <w:tc>
          <w:tcPr>
            <w:tcW w:w="1589"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1459"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2211"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1459"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崩塌监测</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72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-2</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土地损毁监测</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-3</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土壤质量监测</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土地复垦效果监测</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样方次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管护工程</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-1</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林地管护</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hm</w:t>
            </w:r>
            <w:r>
              <w:rPr>
                <w:rFonts w:hint="default"/>
                <w:vertAlign w:val="superscript"/>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草地管护</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hm</w:t>
            </w:r>
            <w:r>
              <w:rPr>
                <w:rFonts w:hint="default"/>
                <w:vertAlign w:val="superscript"/>
                <w:lang w:val="en-US" w:eastAsia="zh-CN"/>
              </w:rPr>
              <w:t>2</w:t>
            </w:r>
          </w:p>
        </w:tc>
        <w:tc>
          <w:tcPr>
            <w:tcW w:w="0" w:type="auto"/>
            <w:tcBorders>
              <w:top w:val="nil"/>
              <w:left w:val="nil"/>
              <w:bottom w:val="nil"/>
              <w:right w:val="nil"/>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r>
    </w:tbl>
    <w:p>
      <w:pPr>
        <w:ind w:left="0" w:leftChars="0" w:firstLine="0" w:firstLineChars="0"/>
      </w:pPr>
    </w:p>
    <w:p>
      <w:pPr>
        <w:pStyle w:val="8"/>
      </w:pPr>
      <w:r>
        <w:t xml:space="preserve">表 </w:t>
      </w:r>
      <w:r>
        <w:rPr>
          <w:rFonts w:hint="eastAsia"/>
          <w:lang w:val="en-US" w:eastAsia="zh-CN"/>
        </w:rPr>
        <w:t xml:space="preserve">6-11 </w:t>
      </w:r>
      <w:r>
        <w:rPr>
          <w:rFonts w:hint="eastAsia"/>
        </w:rPr>
        <w:t>其他费用估算表</w:t>
      </w:r>
    </w:p>
    <w:tbl>
      <w:tblPr>
        <w:tblStyle w:val="16"/>
        <w:tblW w:w="96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2319"/>
        <w:gridCol w:w="1862"/>
        <w:gridCol w:w="1709"/>
        <w:gridCol w:w="2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218"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费用名称</w:t>
            </w:r>
          </w:p>
        </w:tc>
        <w:tc>
          <w:tcPr>
            <w:tcW w:w="186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费基（万元）</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费率（％）</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218"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前期工作费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5</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工程监理费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2</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竣工验收费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3</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业主管理费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2</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0" w:type="auto"/>
            <w:gridSpan w:val="4"/>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2590"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 xml:space="preserve">*.** </w:t>
            </w:r>
          </w:p>
        </w:tc>
      </w:tr>
    </w:tbl>
    <w:p>
      <w:pPr>
        <w:bidi w:val="0"/>
        <w:ind w:left="0" w:leftChars="0" w:firstLine="0" w:firstLineChars="0"/>
      </w:pPr>
    </w:p>
    <w:p>
      <w:pPr>
        <w:pStyle w:val="8"/>
      </w:pPr>
      <w:r>
        <w:t xml:space="preserve">表 </w:t>
      </w:r>
      <w:r>
        <w:rPr>
          <w:rFonts w:hint="eastAsia"/>
          <w:lang w:val="en-US" w:eastAsia="zh-CN"/>
        </w:rPr>
        <w:t xml:space="preserve">6-12 </w:t>
      </w:r>
      <w:r>
        <w:rPr>
          <w:rFonts w:hint="eastAsia"/>
        </w:rPr>
        <w:t>基本预备费估算表</w:t>
      </w:r>
    </w:p>
    <w:tbl>
      <w:tblPr>
        <w:tblStyle w:val="16"/>
        <w:tblW w:w="96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5"/>
        <w:gridCol w:w="2329"/>
        <w:gridCol w:w="2096"/>
        <w:gridCol w:w="1602"/>
        <w:gridCol w:w="21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25"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232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费用名称</w:t>
            </w:r>
          </w:p>
        </w:tc>
        <w:tc>
          <w:tcPr>
            <w:tcW w:w="209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费基（万元）</w:t>
            </w:r>
          </w:p>
        </w:tc>
        <w:tc>
          <w:tcPr>
            <w:tcW w:w="160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费率（</w:t>
            </w:r>
            <w:r>
              <w:rPr>
                <w:rFonts w:hint="default"/>
                <w:lang w:val="en-US" w:eastAsia="zh-CN"/>
              </w:rPr>
              <w:t>%</w:t>
            </w:r>
            <w:r>
              <w:rPr>
                <w:rFonts w:hint="eastAsia"/>
                <w:lang w:val="en-US" w:eastAsia="zh-CN"/>
              </w:rPr>
              <w:t>）</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1525"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w:t>
            </w:r>
          </w:p>
        </w:tc>
        <w:tc>
          <w:tcPr>
            <w:tcW w:w="2329"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基本预备费</w:t>
            </w:r>
          </w:p>
        </w:tc>
        <w:tc>
          <w:tcPr>
            <w:tcW w:w="2096"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default"/>
                <w:lang w:val="en-US" w:eastAsia="zh-CN"/>
              </w:rPr>
              <w:t>**.**</w:t>
            </w:r>
          </w:p>
        </w:tc>
        <w:tc>
          <w:tcPr>
            <w:tcW w:w="1602" w:type="dxa"/>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3</w:t>
            </w:r>
          </w:p>
        </w:tc>
        <w:tc>
          <w:tcPr>
            <w:tcW w:w="2147" w:type="dxa"/>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default"/>
                <w:lang w:val="en-US" w:eastAsia="zh-CN"/>
              </w:rPr>
              <w:t xml:space="preserve">*.** </w:t>
            </w:r>
          </w:p>
        </w:tc>
      </w:tr>
    </w:tbl>
    <w:p>
      <w:pPr>
        <w:bidi w:val="0"/>
      </w:pPr>
    </w:p>
    <w:p>
      <w:pPr>
        <w:pStyle w:val="8"/>
      </w:pPr>
      <w:r>
        <w:t xml:space="preserve">表 </w:t>
      </w:r>
      <w:r>
        <w:rPr>
          <w:rFonts w:hint="eastAsia"/>
          <w:lang w:val="en-US" w:eastAsia="zh-CN"/>
        </w:rPr>
        <w:t xml:space="preserve">6-13 </w:t>
      </w:r>
      <w:r>
        <w:rPr>
          <w:rFonts w:hint="eastAsia"/>
        </w:rPr>
        <w:t>平整工程施工费单价分析表</w:t>
      </w:r>
    </w:p>
    <w:tbl>
      <w:tblPr>
        <w:tblStyle w:val="16"/>
        <w:tblW w:w="97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584"/>
        <w:gridCol w:w="1139"/>
        <w:gridCol w:w="1237"/>
        <w:gridCol w:w="919"/>
        <w:gridCol w:w="14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184"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81"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[1-195换]推土机推土（四类土） 推土距离10～20m ～推土机74kW</w:t>
            </w:r>
          </w:p>
        </w:tc>
        <w:tc>
          <w:tcPr>
            <w:tcW w:w="2414"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95"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推松、运送、卸除、拖平、空回。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14.85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rPr>
          <w:rFonts w:hint="default" w:eastAsia="黑体"/>
          <w:lang w:val="en-US" w:eastAsia="zh-CN"/>
        </w:rPr>
      </w:pPr>
      <w:r>
        <w:t xml:space="preserve">表 </w:t>
      </w:r>
      <w:r>
        <w:rPr>
          <w:rFonts w:hint="eastAsia"/>
          <w:lang w:val="en-US" w:eastAsia="zh-CN"/>
        </w:rPr>
        <w:t>6-14 建筑垃圾清运工程</w:t>
      </w:r>
      <w:r>
        <w:rPr>
          <w:rFonts w:hint="eastAsia"/>
        </w:rPr>
        <w:t>施工费单价分析表</w:t>
      </w:r>
    </w:p>
    <w:tbl>
      <w:tblPr>
        <w:tblStyle w:val="16"/>
        <w:tblW w:w="97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4156"/>
        <w:gridCol w:w="868"/>
        <w:gridCol w:w="944"/>
        <w:gridCol w:w="900"/>
        <w:gridCol w:w="14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267"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10"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[1-233]3～4m3拖式铲运机铲运土（一、二类土） 铲运距离250～300m</w:t>
            </w:r>
          </w:p>
        </w:tc>
        <w:tc>
          <w:tcPr>
            <w:tcW w:w="2362"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472"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铲装、运送、卸除、空回、转向、土场道路平整、洒水、卸土推平。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拖式铲运机 斗容3～4m</w:t>
            </w:r>
            <w:r>
              <w:rPr>
                <w:rFonts w:hint="eastAsia"/>
                <w:vertAlign w:val="superscript"/>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履带式拖拉机 功率40～55kw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0.09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54.77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ind w:left="0" w:leftChars="0" w:firstLine="0" w:firstLineChars="0"/>
      </w:pPr>
    </w:p>
    <w:p>
      <w:pPr>
        <w:pStyle w:val="8"/>
        <w:bidi w:val="0"/>
        <w:rPr>
          <w:rFonts w:hint="eastAsia"/>
        </w:rPr>
      </w:pPr>
      <w:r>
        <w:t xml:space="preserve">表 </w:t>
      </w:r>
      <w:r>
        <w:rPr>
          <w:rFonts w:hint="eastAsia"/>
          <w:lang w:val="en-US" w:eastAsia="zh-CN"/>
        </w:rPr>
        <w:t xml:space="preserve">6-15 </w:t>
      </w:r>
      <w:r>
        <w:rPr>
          <w:rFonts w:hint="eastAsia"/>
        </w:rPr>
        <w:t>栽植</w:t>
      </w:r>
      <w:r>
        <w:rPr>
          <w:rFonts w:hint="eastAsia"/>
          <w:lang w:eastAsia="zh-CN"/>
        </w:rPr>
        <w:t>爬山虎</w:t>
      </w:r>
      <w:r>
        <w:rPr>
          <w:rFonts w:hint="eastAsia"/>
        </w:rPr>
        <w:t>施工费单价分析表</w:t>
      </w:r>
    </w:p>
    <w:tbl>
      <w:tblPr>
        <w:tblStyle w:val="16"/>
        <w:tblW w:w="97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3139"/>
        <w:gridCol w:w="1318"/>
        <w:gridCol w:w="1433"/>
        <w:gridCol w:w="99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213"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095"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[9-023换]条播 行距20cm</w:t>
            </w:r>
          </w:p>
        </w:tc>
        <w:tc>
          <w:tcPr>
            <w:tcW w:w="2411"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定额单位：hm</w:t>
            </w:r>
            <w:r>
              <w:rPr>
                <w:rFonts w:hint="eastAsia"/>
                <w:vertAlign w:val="superscript"/>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06"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种子处理、人工开沟、播草籽、镇压。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21.90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草籽</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60.00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rPr>
          <w:rFonts w:hint="default" w:eastAsia="黑体"/>
          <w:lang w:val="en-US" w:eastAsia="zh-CN"/>
        </w:rPr>
      </w:pPr>
      <w:r>
        <w:t xml:space="preserve">表 </w:t>
      </w:r>
      <w:r>
        <w:rPr>
          <w:rFonts w:hint="eastAsia"/>
          <w:lang w:val="en-US" w:eastAsia="zh-CN"/>
        </w:rPr>
        <w:t>6-16 表土回覆</w:t>
      </w:r>
      <w:r>
        <w:rPr>
          <w:rFonts w:hint="eastAsia"/>
        </w:rPr>
        <w:t>单价分析表</w:t>
      </w:r>
    </w:p>
    <w:tbl>
      <w:tblPr>
        <w:tblStyle w:val="16"/>
        <w:tblW w:w="97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3556"/>
        <w:gridCol w:w="1130"/>
        <w:gridCol w:w="1227"/>
        <w:gridCol w:w="913"/>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77"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43"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[1-180换]推土机推土（一、二类土） 推土距离20～30m ～推土机74kW</w:t>
            </w:r>
          </w:p>
        </w:tc>
        <w:tc>
          <w:tcPr>
            <w:tcW w:w="2399"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42"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推松、运送、卸除、拖平、空回。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14.85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pStyle w:val="8"/>
      </w:pPr>
    </w:p>
    <w:p>
      <w:pPr>
        <w:pStyle w:val="8"/>
        <w:rPr>
          <w:rFonts w:hint="default" w:eastAsia="黑体"/>
          <w:lang w:val="en-US" w:eastAsia="zh-CN"/>
        </w:rPr>
      </w:pPr>
      <w:r>
        <w:t xml:space="preserve">表 </w:t>
      </w:r>
      <w:r>
        <w:rPr>
          <w:rFonts w:hint="eastAsia"/>
          <w:lang w:val="en-US" w:eastAsia="zh-CN"/>
        </w:rPr>
        <w:t>6-17 建筑垃圾清运单价分析表</w:t>
      </w:r>
    </w:p>
    <w:tbl>
      <w:tblPr>
        <w:tblStyle w:val="16"/>
        <w:tblW w:w="96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881"/>
        <w:gridCol w:w="944"/>
        <w:gridCol w:w="1025"/>
        <w:gridCol w:w="99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4" w:hRule="atLeast"/>
        </w:trPr>
        <w:tc>
          <w:tcPr>
            <w:tcW w:w="1171"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19"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[1-280]6～8m</w:t>
            </w:r>
            <w:r>
              <w:rPr>
                <w:rFonts w:hint="eastAsia"/>
                <w:vertAlign w:val="superscript"/>
                <w:lang w:val="en-US" w:eastAsia="zh-CN"/>
              </w:rPr>
              <w:t>3</w:t>
            </w:r>
            <w:r>
              <w:rPr>
                <w:rFonts w:hint="eastAsia"/>
                <w:lang w:val="en-US" w:eastAsia="zh-CN"/>
              </w:rPr>
              <w:t>拖式铲运机铲运土（四类土） 铲运距离350～400m</w:t>
            </w:r>
          </w:p>
        </w:tc>
        <w:tc>
          <w:tcPr>
            <w:tcW w:w="2388"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07"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铲装、运送、卸除、空回、转向、土场道路平整、洒水、卸土推平。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甲类工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5.80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拖式铲运机 斗容6～8m3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履带式拖拉机 功率74kw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59kw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0.12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5.80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85.68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pStyle w:val="8"/>
      </w:pPr>
    </w:p>
    <w:p>
      <w:pPr>
        <w:pStyle w:val="8"/>
        <w:rPr>
          <w:rFonts w:hint="default" w:eastAsia="黑体"/>
          <w:lang w:val="en-US" w:eastAsia="zh-CN"/>
        </w:rPr>
      </w:pPr>
      <w:r>
        <w:t xml:space="preserve">表 </w:t>
      </w:r>
      <w:r>
        <w:rPr>
          <w:rFonts w:hint="eastAsia"/>
          <w:lang w:val="en-US" w:eastAsia="zh-CN"/>
        </w:rPr>
        <w:t>6-18 拆除工程</w:t>
      </w:r>
      <w:r>
        <w:rPr>
          <w:rFonts w:hint="eastAsia"/>
        </w:rPr>
        <w:t>单价分析表</w:t>
      </w:r>
    </w:p>
    <w:tbl>
      <w:tblPr>
        <w:tblStyle w:val="16"/>
        <w:tblW w:w="97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2960"/>
        <w:gridCol w:w="1244"/>
        <w:gridCol w:w="1567"/>
        <w:gridCol w:w="111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76"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19"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[4-206]人工拆除无钢筋混凝土</w:t>
            </w:r>
          </w:p>
        </w:tc>
        <w:tc>
          <w:tcPr>
            <w:tcW w:w="2424"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43"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1.凿除混凝土：人工或风镐凿除、清碴、转移地点等。</w:t>
            </w:r>
            <w:r>
              <w:rPr>
                <w:rFonts w:hint="eastAsia"/>
                <w:lang w:val="en-US" w:eastAsia="zh-CN"/>
              </w:rPr>
              <w:br w:type="textWrapping"/>
            </w:r>
            <w:r>
              <w:rPr>
                <w:rFonts w:hint="eastAsia"/>
                <w:lang w:val="en-US" w:eastAsia="zh-CN"/>
              </w:rPr>
              <w:t>2.凿除混凝土键槽：人工或风镐凿除、清碴等。</w:t>
            </w:r>
            <w:r>
              <w:rPr>
                <w:rFonts w:hint="eastAsia"/>
                <w:lang w:val="en-US" w:eastAsia="zh-CN"/>
              </w:rPr>
              <w:br w:type="textWrapping"/>
            </w:r>
            <w:r>
              <w:rPr>
                <w:rFonts w:hint="eastAsia"/>
                <w:lang w:val="en-US" w:eastAsia="zh-CN"/>
              </w:rPr>
              <w:t>3.钢筋混凝土门槽拆除：人工凿除、取送钎、清碴等。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374.40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4.40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bidi w:val="0"/>
        <w:rPr>
          <w:rFonts w:hint="default"/>
          <w:lang w:val="en-US"/>
        </w:rPr>
      </w:pPr>
      <w:r>
        <w:t xml:space="preserve">表 </w:t>
      </w:r>
      <w:r>
        <w:rPr>
          <w:rFonts w:hint="eastAsia"/>
          <w:lang w:val="en-US" w:eastAsia="zh-CN"/>
        </w:rPr>
        <w:t>6-19 表土运输</w:t>
      </w:r>
      <w:r>
        <w:rPr>
          <w:rFonts w:hint="eastAsia"/>
        </w:rPr>
        <w:t>单价分析表</w:t>
      </w:r>
    </w:p>
    <w:tbl>
      <w:tblPr>
        <w:tblStyle w:val="16"/>
        <w:tblW w:w="96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4114"/>
        <w:gridCol w:w="859"/>
        <w:gridCol w:w="934"/>
        <w:gridCol w:w="900"/>
        <w:gridCol w:w="1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171"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40"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[1-233]3～4m</w:t>
            </w:r>
            <w:r>
              <w:rPr>
                <w:rFonts w:hint="eastAsia"/>
                <w:vertAlign w:val="superscript"/>
                <w:lang w:val="en-US" w:eastAsia="zh-CN"/>
              </w:rPr>
              <w:t>3</w:t>
            </w:r>
            <w:r>
              <w:rPr>
                <w:rFonts w:hint="eastAsia"/>
                <w:lang w:val="en-US" w:eastAsia="zh-CN"/>
              </w:rPr>
              <w:t>拖式铲运机铲运土（一、二类土） 铲运距离250～300m</w:t>
            </w:r>
          </w:p>
        </w:tc>
        <w:tc>
          <w:tcPr>
            <w:tcW w:w="2368"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08"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铲装、运送、卸除、空回、转向、土场道路平整、洒水、卸土推平。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拖式铲运机 斗容3～4m3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履带式拖拉机 功率40～55kw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0.09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54.77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bidi w:val="0"/>
        <w:rPr>
          <w:rFonts w:hint="default"/>
          <w:lang w:val="en-US" w:eastAsia="zh-CN"/>
        </w:rPr>
      </w:pPr>
      <w:r>
        <w:t xml:space="preserve">表 </w:t>
      </w:r>
      <w:r>
        <w:rPr>
          <w:rFonts w:hint="eastAsia"/>
          <w:lang w:val="en-US" w:eastAsia="zh-CN"/>
        </w:rPr>
        <w:t>6-20 栽植樟子松</w:t>
      </w:r>
      <w:r>
        <w:rPr>
          <w:rFonts w:hint="eastAsia"/>
        </w:rPr>
        <w:t>单价分析表</w:t>
      </w:r>
    </w:p>
    <w:tbl>
      <w:tblPr>
        <w:tblStyle w:val="16"/>
        <w:tblW w:w="97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030"/>
        <w:gridCol w:w="1274"/>
        <w:gridCol w:w="1603"/>
        <w:gridCol w:w="916"/>
        <w:gridCol w:w="14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77"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37"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[9-002]栽植乔木（带土球20—30cm）</w:t>
            </w:r>
          </w:p>
        </w:tc>
        <w:tc>
          <w:tcPr>
            <w:tcW w:w="2405"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42"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挖坑，栽植（扶正、回土、提苗、捣实、筑水围），浇水，覆土保墒，整形，清理。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树苗</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株</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水</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m3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
      <w:pPr>
        <w:pStyle w:val="8"/>
        <w:rPr>
          <w:rFonts w:hint="default" w:eastAsia="黑体"/>
          <w:lang w:val="en-US" w:eastAsia="zh-CN"/>
        </w:rPr>
      </w:pPr>
      <w:r>
        <w:t xml:space="preserve">表 </w:t>
      </w:r>
      <w:r>
        <w:rPr>
          <w:rFonts w:hint="eastAsia"/>
          <w:lang w:val="en-US" w:eastAsia="zh-CN"/>
        </w:rPr>
        <w:t>6-21 地面清理平整</w:t>
      </w:r>
      <w:r>
        <w:rPr>
          <w:rFonts w:hint="eastAsia"/>
        </w:rPr>
        <w:t>单价分析表</w:t>
      </w:r>
    </w:p>
    <w:tbl>
      <w:tblPr>
        <w:tblStyle w:val="16"/>
        <w:tblW w:w="96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528"/>
        <w:gridCol w:w="1121"/>
        <w:gridCol w:w="1218"/>
        <w:gridCol w:w="908"/>
        <w:gridCol w:w="14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69"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05"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[1-195换]推土机推土（四类土） 推土距离10～20m ～推土机74kW</w:t>
            </w:r>
          </w:p>
        </w:tc>
        <w:tc>
          <w:tcPr>
            <w:tcW w:w="2384"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定额单位：100m</w:t>
            </w:r>
            <w:r>
              <w:rPr>
                <w:rFonts w:hint="eastAsia"/>
                <w:vertAlign w:val="superscript"/>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489"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推松、运送、卸除、拖平、空回。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推土机 功率 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0.27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14.85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rPr>
          <w:rFonts w:hint="default" w:eastAsia="黑体"/>
          <w:lang w:val="en-US" w:eastAsia="zh-CN"/>
        </w:rPr>
      </w:pPr>
      <w:r>
        <w:t xml:space="preserve">表 </w:t>
      </w:r>
      <w:r>
        <w:rPr>
          <w:rFonts w:hint="eastAsia"/>
          <w:lang w:val="en-US" w:eastAsia="zh-CN"/>
        </w:rPr>
        <w:t>6-22 管护工程</w:t>
      </w:r>
      <w:r>
        <w:rPr>
          <w:rFonts w:hint="eastAsia"/>
        </w:rPr>
        <w:t>单价分析表</w:t>
      </w:r>
    </w:p>
    <w:tbl>
      <w:tblPr>
        <w:tblStyle w:val="16"/>
        <w:tblW w:w="9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9"/>
        <w:gridCol w:w="2101"/>
        <w:gridCol w:w="1467"/>
        <w:gridCol w:w="1728"/>
        <w:gridCol w:w="1478"/>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0" w:hRule="atLeast"/>
        </w:trPr>
        <w:tc>
          <w:tcPr>
            <w:tcW w:w="9640" w:type="dxa"/>
            <w:gridSpan w:val="6"/>
            <w:tcBorders>
              <w:top w:val="nil"/>
              <w:left w:val="nil"/>
              <w:bottom w:val="nil"/>
              <w:right w:val="nil"/>
            </w:tcBorders>
            <w:noWrap/>
            <w:vAlign w:val="center"/>
          </w:tcPr>
          <w:p>
            <w:pPr>
              <w:pStyle w:val="27"/>
              <w:bidi w:val="0"/>
              <w:jc w:val="left"/>
              <w:rPr>
                <w:rFonts w:hint="eastAsia"/>
              </w:rPr>
            </w:pPr>
            <w:r>
              <w:rPr>
                <w:rFonts w:hint="eastAsia"/>
                <w:lang w:val="en-US" w:eastAsia="zh-CN"/>
              </w:rPr>
              <w:t>定额编号：补1                                                   定额单位： hm</w:t>
            </w:r>
            <w:r>
              <w:rPr>
                <w:rFonts w:hint="eastAsia"/>
                <w:vertAlign w:val="superscript"/>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0" w:type="auto"/>
            <w:gridSpan w:val="6"/>
            <w:tcBorders>
              <w:top w:val="nil"/>
              <w:left w:val="nil"/>
              <w:bottom w:val="nil"/>
              <w:right w:val="nil"/>
            </w:tcBorders>
            <w:noWrap/>
            <w:vAlign w:val="center"/>
          </w:tcPr>
          <w:p>
            <w:pPr>
              <w:pStyle w:val="27"/>
              <w:bidi w:val="0"/>
              <w:jc w:val="left"/>
              <w:rPr>
                <w:rFonts w:hint="eastAsia"/>
              </w:rPr>
            </w:pPr>
            <w:r>
              <w:rPr>
                <w:rFonts w:hint="eastAsia"/>
                <w:lang w:val="en-US" w:eastAsia="zh-CN"/>
              </w:rPr>
              <w:t>工作内容：林地管护                                               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8" w:space="0"/>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8" w:space="0"/>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8" w:space="0"/>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8" w:space="0"/>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8" w:space="0"/>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8" w:space="0"/>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小计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一</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直接费</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（一）</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直接工程费</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人工费</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甲类工</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工日</w:t>
            </w:r>
          </w:p>
        </w:tc>
        <w:tc>
          <w:tcPr>
            <w:tcW w:w="1573" w:type="dxa"/>
            <w:tcBorders>
              <w:top w:val="nil"/>
              <w:left w:val="nil"/>
              <w:bottom w:val="single" w:color="000000" w:sz="8" w:space="0"/>
              <w:right w:val="single" w:color="000000" w:sz="8" w:space="0"/>
            </w:tcBorders>
            <w:noWrap w:val="0"/>
            <w:vAlign w:val="bottom"/>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乙类工</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工日</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其他费用</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机械费</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其他费用</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（二）</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措施费</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二</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间接费</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三</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利润</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四</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税金</w:t>
            </w:r>
          </w:p>
        </w:tc>
        <w:tc>
          <w:tcPr>
            <w:tcW w:w="1282" w:type="dxa"/>
            <w:tcBorders>
              <w:top w:val="nil"/>
              <w:left w:val="nil"/>
              <w:bottom w:val="single" w:color="000000" w:sz="8" w:space="0"/>
              <w:right w:val="single" w:color="000000" w:sz="8" w:space="0"/>
            </w:tcBorders>
            <w:noWrap w:val="0"/>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0" w:type="auto"/>
            <w:tcBorders>
              <w:top w:val="nil"/>
              <w:left w:val="single" w:color="000000" w:sz="8" w:space="0"/>
              <w:bottom w:val="single" w:color="000000" w:sz="8" w:space="0"/>
              <w:right w:val="single" w:color="000000" w:sz="8" w:space="0"/>
            </w:tcBorders>
            <w:noWrap/>
            <w:vAlign w:val="center"/>
          </w:tcPr>
          <w:p>
            <w:pPr>
              <w:pStyle w:val="27"/>
              <w:bidi w:val="0"/>
              <w:rPr>
                <w:rFonts w:hint="eastAsia"/>
              </w:rPr>
            </w:pPr>
            <w:r>
              <w:rPr>
                <w:rFonts w:hint="eastAsia"/>
                <w:lang w:val="en-US" w:eastAsia="zh-CN"/>
              </w:rPr>
              <w:t>合计</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w:t>
            </w:r>
          </w:p>
        </w:tc>
        <w:tc>
          <w:tcPr>
            <w:tcW w:w="0" w:type="auto"/>
            <w:tcBorders>
              <w:top w:val="nil"/>
              <w:left w:val="nil"/>
              <w:bottom w:val="single" w:color="000000" w:sz="8" w:space="0"/>
              <w:right w:val="single" w:color="000000" w:sz="8" w:space="0"/>
            </w:tcBorders>
            <w:noWrap/>
            <w:vAlign w:val="center"/>
          </w:tcPr>
          <w:p>
            <w:pPr>
              <w:pStyle w:val="27"/>
              <w:bidi w:val="0"/>
              <w:rPr>
                <w:rFonts w:hint="eastAsia"/>
              </w:rPr>
            </w:pPr>
            <w:r>
              <w:rPr>
                <w:rFonts w:hint="eastAsia"/>
                <w:lang w:val="en-US" w:eastAsia="zh-CN"/>
              </w:rPr>
              <w:t xml:space="preserve">****.** </w:t>
            </w:r>
          </w:p>
        </w:tc>
      </w:tr>
    </w:tbl>
    <w:p>
      <w:pPr>
        <w:bidi w:val="0"/>
      </w:pPr>
    </w:p>
    <w:p>
      <w:pPr>
        <w:pStyle w:val="8"/>
      </w:pPr>
      <w:r>
        <w:t xml:space="preserve">表 </w:t>
      </w:r>
      <w:r>
        <w:rPr>
          <w:rFonts w:hint="eastAsia"/>
          <w:lang w:val="en-US" w:eastAsia="zh-CN"/>
        </w:rPr>
        <w:t>6-23 土地翻耕</w:t>
      </w:r>
    </w:p>
    <w:tbl>
      <w:tblPr>
        <w:tblStyle w:val="16"/>
        <w:tblW w:w="96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849"/>
        <w:gridCol w:w="940"/>
        <w:gridCol w:w="1021"/>
        <w:gridCol w:w="99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210"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056"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[1-063]土地翻耕 一、二类土</w:t>
            </w:r>
          </w:p>
        </w:tc>
        <w:tc>
          <w:tcPr>
            <w:tcW w:w="2372"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定额单位：hm</w:t>
            </w:r>
            <w:r>
              <w:rPr>
                <w:rFonts w:hint="eastAsia"/>
                <w:vertAlign w:val="superscript"/>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428"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松土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甲类工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0.60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11.40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履带式拖拉机 功率59kw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三铧犁</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0.50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柴油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66.00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Pr>
        <w:pStyle w:val="8"/>
        <w:rPr>
          <w:rFonts w:hint="default" w:eastAsia="黑体"/>
          <w:lang w:val="en-US" w:eastAsia="zh-CN"/>
        </w:rPr>
      </w:pPr>
      <w:r>
        <w:t xml:space="preserve">表 </w:t>
      </w:r>
      <w:r>
        <w:rPr>
          <w:rFonts w:hint="eastAsia"/>
          <w:lang w:val="en-US" w:eastAsia="zh-CN"/>
        </w:rPr>
        <w:t>6-24 撒播草籽</w:t>
      </w:r>
    </w:p>
    <w:tbl>
      <w:tblPr>
        <w:tblStyle w:val="16"/>
        <w:tblW w:w="97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3171"/>
        <w:gridCol w:w="1333"/>
        <w:gridCol w:w="1448"/>
        <w:gridCol w:w="921"/>
        <w:gridCol w:w="14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183" w:type="dxa"/>
            <w:tcBorders>
              <w:top w:val="nil"/>
              <w:left w:val="nil"/>
              <w:bottom w:val="nil"/>
              <w:right w:val="nil"/>
            </w:tcBorders>
            <w:noWrap/>
            <w:vAlign w:val="center"/>
          </w:tcPr>
          <w:p>
            <w:pPr>
              <w:pStyle w:val="27"/>
              <w:bidi w:val="0"/>
              <w:jc w:val="both"/>
              <w:rPr>
                <w:rFonts w:hint="eastAsia"/>
              </w:rPr>
            </w:pPr>
            <w:r>
              <w:rPr>
                <w:rFonts w:hint="eastAsia"/>
                <w:lang w:val="en-US" w:eastAsia="zh-CN"/>
              </w:rPr>
              <w:t>定额编号：</w:t>
            </w:r>
          </w:p>
        </w:tc>
        <w:tc>
          <w:tcPr>
            <w:tcW w:w="6175" w:type="dxa"/>
            <w:gridSpan w:val="3"/>
            <w:tcBorders>
              <w:top w:val="nil"/>
              <w:left w:val="nil"/>
              <w:bottom w:val="nil"/>
              <w:right w:val="nil"/>
            </w:tcBorders>
            <w:noWrap w:val="0"/>
            <w:vAlign w:val="center"/>
          </w:tcPr>
          <w:p>
            <w:pPr>
              <w:pStyle w:val="27"/>
              <w:bidi w:val="0"/>
              <w:jc w:val="both"/>
              <w:rPr>
                <w:rFonts w:hint="eastAsia"/>
              </w:rPr>
            </w:pPr>
            <w:r>
              <w:rPr>
                <w:rFonts w:hint="eastAsia"/>
                <w:lang w:val="en-US" w:eastAsia="zh-CN"/>
              </w:rPr>
              <w:t>[9-031]撒播 覆土</w:t>
            </w:r>
          </w:p>
        </w:tc>
        <w:tc>
          <w:tcPr>
            <w:tcW w:w="2421" w:type="dxa"/>
            <w:gridSpan w:val="2"/>
            <w:tcBorders>
              <w:top w:val="nil"/>
              <w:left w:val="nil"/>
              <w:bottom w:val="nil"/>
              <w:right w:val="nil"/>
            </w:tcBorders>
            <w:noWrap w:val="0"/>
            <w:vAlign w:val="center"/>
          </w:tcPr>
          <w:p>
            <w:pPr>
              <w:pStyle w:val="27"/>
              <w:bidi w:val="0"/>
              <w:jc w:val="both"/>
              <w:rPr>
                <w:rFonts w:hint="eastAsia"/>
              </w:rPr>
            </w:pPr>
            <w:r>
              <w:rPr>
                <w:rFonts w:hint="eastAsia"/>
                <w:lang w:val="en-US" w:eastAsia="zh-CN"/>
              </w:rPr>
              <w:t>定额单位：hm</w:t>
            </w:r>
            <w:r>
              <w:rPr>
                <w:rFonts w:hint="eastAsia"/>
                <w:vertAlign w:val="superscript"/>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0" w:type="auto"/>
            <w:tcBorders>
              <w:top w:val="nil"/>
              <w:left w:val="nil"/>
              <w:bottom w:val="single" w:color="000000" w:sz="4" w:space="0"/>
              <w:right w:val="nil"/>
            </w:tcBorders>
            <w:noWrap/>
            <w:vAlign w:val="center"/>
          </w:tcPr>
          <w:p>
            <w:pPr>
              <w:pStyle w:val="27"/>
              <w:bidi w:val="0"/>
              <w:jc w:val="both"/>
              <w:rPr>
                <w:rFonts w:hint="eastAsia"/>
              </w:rPr>
            </w:pPr>
            <w:r>
              <w:rPr>
                <w:rFonts w:hint="eastAsia"/>
                <w:lang w:val="en-US" w:eastAsia="zh-CN"/>
              </w:rPr>
              <w:t>施工方法：</w:t>
            </w:r>
          </w:p>
        </w:tc>
        <w:tc>
          <w:tcPr>
            <w:tcW w:w="8596" w:type="dxa"/>
            <w:gridSpan w:val="5"/>
            <w:tcBorders>
              <w:top w:val="nil"/>
              <w:left w:val="nil"/>
              <w:bottom w:val="single" w:color="000000" w:sz="4" w:space="0"/>
              <w:right w:val="nil"/>
            </w:tcBorders>
            <w:noWrap w:val="0"/>
            <w:vAlign w:val="center"/>
          </w:tcPr>
          <w:p>
            <w:pPr>
              <w:pStyle w:val="27"/>
              <w:bidi w:val="0"/>
              <w:jc w:val="both"/>
              <w:rPr>
                <w:rFonts w:hint="eastAsia"/>
              </w:rPr>
            </w:pPr>
            <w:r>
              <w:rPr>
                <w:rFonts w:hint="eastAsia"/>
                <w:lang w:val="en-US" w:eastAsia="zh-CN"/>
              </w:rPr>
              <w:t>种子处理、人工撒播草籽、不覆土或用耙、耱、石磙碾等方法覆土。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直接工程费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乙类工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8.60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草籽</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kg</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机械费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措施费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间接费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利润</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材料价差</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未计价材料费</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税金</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9.00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0" w:type="auto"/>
            <w:tcBorders>
              <w:top w:val="single" w:color="000000" w:sz="4" w:space="0"/>
              <w:left w:val="single" w:color="000000" w:sz="4" w:space="0"/>
              <w:bottom w:val="single" w:color="000000" w:sz="4" w:space="0"/>
              <w:right w:val="nil"/>
            </w:tcBorders>
            <w:noWrap/>
            <w:vAlign w:val="center"/>
          </w:tcPr>
          <w:p>
            <w:pPr>
              <w:pStyle w:val="27"/>
              <w:bidi w:val="0"/>
              <w:rPr>
                <w:rFonts w:hint="eastAsia"/>
              </w:rPr>
            </w:pPr>
          </w:p>
        </w:tc>
        <w:tc>
          <w:tcPr>
            <w:tcW w:w="0" w:type="auto"/>
            <w:tcBorders>
              <w:top w:val="single" w:color="000000" w:sz="4" w:space="0"/>
              <w:left w:val="nil"/>
              <w:bottom w:val="single" w:color="000000" w:sz="4" w:space="0"/>
              <w:right w:val="single" w:color="000000" w:sz="4" w:space="0"/>
            </w:tcBorders>
            <w:noWrap/>
            <w:vAlign w:val="center"/>
          </w:tcPr>
          <w:p>
            <w:pPr>
              <w:pStyle w:val="27"/>
              <w:bidi w:val="0"/>
              <w:rPr>
                <w:rFonts w:hint="eastAsia"/>
              </w:rPr>
            </w:pPr>
            <w:r>
              <w:rPr>
                <w:rFonts w:hint="eastAsia"/>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r>
    </w:tbl>
    <w:p>
      <w:pPr>
        <w:bidi w:val="0"/>
      </w:pPr>
    </w:p>
    <w:p/>
    <w:p>
      <w:pPr>
        <w:bidi w:val="0"/>
        <w:sectPr>
          <w:footerReference r:id="rId18" w:type="default"/>
          <w:pgSz w:w="11906" w:h="16838"/>
          <w:pgMar w:top="1440" w:right="1080" w:bottom="1440" w:left="1080" w:header="851" w:footer="992" w:gutter="0"/>
          <w:cols w:space="720" w:num="1"/>
          <w:docGrid w:type="lines" w:linePitch="312" w:charSpace="0"/>
        </w:sectPr>
      </w:pPr>
    </w:p>
    <w:p>
      <w:pPr>
        <w:pStyle w:val="8"/>
        <w:rPr>
          <w:rFonts w:hint="eastAsia"/>
          <w:lang w:val="en-US" w:eastAsia="zh-CN"/>
        </w:rPr>
      </w:pPr>
      <w:r>
        <w:t xml:space="preserve">表 </w:t>
      </w:r>
      <w:r>
        <w:rPr>
          <w:rFonts w:hint="eastAsia"/>
          <w:lang w:val="en-US" w:eastAsia="zh-CN"/>
        </w:rPr>
        <w:t>6-25 机械台班单价计算表</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1319"/>
        <w:gridCol w:w="936"/>
        <w:gridCol w:w="942"/>
        <w:gridCol w:w="889"/>
        <w:gridCol w:w="696"/>
        <w:gridCol w:w="756"/>
        <w:gridCol w:w="889"/>
        <w:gridCol w:w="696"/>
        <w:gridCol w:w="696"/>
        <w:gridCol w:w="756"/>
        <w:gridCol w:w="696"/>
        <w:gridCol w:w="711"/>
        <w:gridCol w:w="711"/>
        <w:gridCol w:w="696"/>
        <w:gridCol w:w="696"/>
        <w:gridCol w:w="696"/>
        <w:gridCol w:w="6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定额</w:t>
            </w:r>
            <w:r>
              <w:rPr>
                <w:rFonts w:hint="eastAsia"/>
                <w:lang w:val="en-US" w:eastAsia="zh-CN"/>
              </w:rPr>
              <w:br w:type="textWrapping"/>
            </w:r>
            <w:r>
              <w:rPr>
                <w:rFonts w:hint="eastAsia"/>
                <w:lang w:val="en-US" w:eastAsia="zh-CN"/>
              </w:rPr>
              <w:t>编号</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机械名称</w:t>
            </w:r>
            <w:r>
              <w:rPr>
                <w:rFonts w:hint="eastAsia"/>
                <w:lang w:val="en-US" w:eastAsia="zh-CN"/>
              </w:rPr>
              <w:br w:type="textWrapping"/>
            </w:r>
            <w:r>
              <w:rPr>
                <w:rFonts w:hint="eastAsia"/>
                <w:lang w:val="en-US" w:eastAsia="zh-CN"/>
              </w:rPr>
              <w:t>及规格</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台班费</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一类费用</w:t>
            </w:r>
            <w:r>
              <w:rPr>
                <w:rFonts w:hint="eastAsia"/>
                <w:lang w:val="en-US" w:eastAsia="zh-CN"/>
              </w:rPr>
              <w:br w:type="textWrapping"/>
            </w:r>
            <w:r>
              <w:rPr>
                <w:rFonts w:hint="eastAsia"/>
                <w:lang w:val="en-US" w:eastAsia="zh-CN"/>
              </w:rPr>
              <w:t>小计</w:t>
            </w:r>
          </w:p>
        </w:tc>
        <w:tc>
          <w:tcPr>
            <w:tcW w:w="0" w:type="auto"/>
            <w:gridSpan w:val="14"/>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二类费用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二类费</w:t>
            </w:r>
            <w:r>
              <w:rPr>
                <w:rFonts w:hint="eastAsia"/>
                <w:lang w:val="en-US" w:eastAsia="zh-CN"/>
              </w:rPr>
              <w:br w:type="textWrapping"/>
            </w:r>
            <w:r>
              <w:rPr>
                <w:rFonts w:hint="eastAsia"/>
                <w:lang w:val="en-US" w:eastAsia="zh-CN"/>
              </w:rPr>
              <w:t>合计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人工费</w:t>
            </w:r>
            <w:r>
              <w:rPr>
                <w:rFonts w:hint="eastAsia"/>
                <w:lang w:val="en-US" w:eastAsia="zh-CN"/>
              </w:rPr>
              <w:br w:type="textWrapping"/>
            </w:r>
            <w:r>
              <w:rPr>
                <w:rFonts w:hint="eastAsia"/>
                <w:lang w:val="en-US" w:eastAsia="zh-CN"/>
              </w:rPr>
              <w:t>（元/日）</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动力</w:t>
            </w:r>
            <w:r>
              <w:rPr>
                <w:rFonts w:hint="eastAsia"/>
                <w:lang w:val="en-US" w:eastAsia="zh-CN"/>
              </w:rPr>
              <w:br w:type="textWrapping"/>
            </w:r>
            <w:r>
              <w:rPr>
                <w:rFonts w:hint="eastAsia"/>
                <w:lang w:val="en-US" w:eastAsia="zh-CN"/>
              </w:rPr>
              <w:t>燃料费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汽油</w:t>
            </w:r>
            <w:r>
              <w:rPr>
                <w:rFonts w:hint="eastAsia"/>
                <w:lang w:val="en-US" w:eastAsia="zh-CN"/>
              </w:rPr>
              <w:br w:type="textWrapping"/>
            </w:r>
            <w:r>
              <w:rPr>
                <w:rFonts w:hint="eastAsia"/>
                <w:lang w:val="en-US" w:eastAsia="zh-CN"/>
              </w:rPr>
              <w:t>（元/kg）</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柴油</w:t>
            </w:r>
            <w:r>
              <w:rPr>
                <w:rFonts w:hint="eastAsia"/>
                <w:lang w:val="en-US" w:eastAsia="zh-CN"/>
              </w:rPr>
              <w:br w:type="textWrapping"/>
            </w:r>
            <w:r>
              <w:rPr>
                <w:rFonts w:hint="eastAsia"/>
                <w:lang w:val="en-US" w:eastAsia="zh-CN"/>
              </w:rPr>
              <w:t>（元/kg）</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电</w:t>
            </w:r>
            <w:r>
              <w:rPr>
                <w:rFonts w:hint="eastAsia"/>
                <w:lang w:val="en-US" w:eastAsia="zh-CN"/>
              </w:rPr>
              <w:br w:type="textWrapping"/>
            </w:r>
            <w:r>
              <w:rPr>
                <w:rFonts w:hint="eastAsia"/>
                <w:lang w:val="en-US" w:eastAsia="zh-CN"/>
              </w:rPr>
              <w:t>（元/kW.h）</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水</w:t>
            </w:r>
            <w:r>
              <w:rPr>
                <w:rFonts w:hint="eastAsia"/>
                <w:lang w:val="en-US" w:eastAsia="zh-CN"/>
              </w:rPr>
              <w:br w:type="textWrapping"/>
            </w:r>
            <w:r>
              <w:rPr>
                <w:rFonts w:hint="eastAsia"/>
                <w:lang w:val="en-US" w:eastAsia="zh-CN"/>
              </w:rPr>
              <w:t>（元/m3）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风</w:t>
            </w:r>
            <w:r>
              <w:rPr>
                <w:rFonts w:hint="eastAsia"/>
                <w:lang w:val="en-US" w:eastAsia="zh-CN"/>
              </w:rPr>
              <w:br w:type="textWrapping"/>
            </w:r>
            <w:r>
              <w:rPr>
                <w:rFonts w:hint="eastAsia"/>
                <w:lang w:val="en-US" w:eastAsia="zh-CN"/>
              </w:rPr>
              <w:t>（元/m3）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推土机 功率 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180.00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推土机 功率 59kw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198.00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44.00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推土机 功率 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247.50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1"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履带式拖拉机 功率40～55kw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193.50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43.00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履带式拖拉机 功率59kw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247.50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55.00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履带式拖拉机 功率74kw</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301.50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67.00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拖式铲运机 斗容3～4m</w:t>
            </w:r>
            <w:r>
              <w:rPr>
                <w:rFonts w:hint="eastAsia"/>
                <w:vertAlign w:val="superscript"/>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1029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拖式铲运机 斗容6～8m</w:t>
            </w:r>
            <w:r>
              <w:rPr>
                <w:rFonts w:hint="eastAsia"/>
                <w:vertAlign w:val="superscript"/>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1052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三铧犁</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bl>
    <w:p>
      <w:pPr>
        <w:rPr>
          <w:rFonts w:hint="default"/>
          <w:lang w:val="en-US" w:eastAsia="zh-CN"/>
        </w:rPr>
      </w:pPr>
    </w:p>
    <w:p>
      <w:pPr>
        <w:bidi w:val="0"/>
        <w:sectPr>
          <w:pgSz w:w="16838" w:h="11906" w:orient="landscape"/>
          <w:pgMar w:top="1080" w:right="1440" w:bottom="1080" w:left="1440" w:header="851" w:footer="992" w:gutter="0"/>
          <w:cols w:space="720" w:num="1"/>
          <w:docGrid w:type="lines" w:linePitch="312" w:charSpace="0"/>
        </w:sectPr>
      </w:pPr>
    </w:p>
    <w:p>
      <w:pPr>
        <w:pStyle w:val="4"/>
        <w:bidi w:val="0"/>
      </w:pPr>
      <w:r>
        <w:rPr>
          <w:rFonts w:hint="eastAsia"/>
        </w:rPr>
        <w:t>（三）总工程量及其经费估算</w:t>
      </w:r>
    </w:p>
    <w:p>
      <w:pPr>
        <w:bidi w:val="0"/>
        <w:rPr>
          <w:color w:val="auto"/>
        </w:rPr>
      </w:pPr>
      <w:r>
        <w:rPr>
          <w:color w:val="auto"/>
        </w:rPr>
        <w:t>通过土地复垦投资估算，本项目土地复垦静态投资总额为</w:t>
      </w:r>
      <w:r>
        <w:rPr>
          <w:rFonts w:hint="eastAsia"/>
          <w:color w:val="auto"/>
          <w:lang w:val="en-US" w:eastAsia="zh-CN"/>
        </w:rPr>
        <w:t>**.**</w:t>
      </w:r>
      <w:r>
        <w:rPr>
          <w:color w:val="auto"/>
        </w:rPr>
        <w:t>万元，其中工程施工费</w:t>
      </w:r>
      <w:r>
        <w:rPr>
          <w:rFonts w:hint="eastAsia"/>
          <w:color w:val="auto"/>
          <w:lang w:val="en-US" w:eastAsia="zh-CN"/>
        </w:rPr>
        <w:t>**.**</w:t>
      </w:r>
      <w:r>
        <w:rPr>
          <w:color w:val="auto"/>
        </w:rPr>
        <w:t>万元，其他费用</w:t>
      </w:r>
      <w:r>
        <w:rPr>
          <w:rFonts w:hint="eastAsia"/>
          <w:color w:val="auto"/>
          <w:lang w:val="en-US" w:eastAsia="zh-CN"/>
        </w:rPr>
        <w:t>*.**</w:t>
      </w:r>
      <w:r>
        <w:rPr>
          <w:color w:val="auto"/>
        </w:rPr>
        <w:t>万元，监测</w:t>
      </w:r>
      <w:r>
        <w:rPr>
          <w:rFonts w:hint="eastAsia"/>
          <w:color w:val="auto"/>
          <w:lang w:val="en-US" w:eastAsia="zh-CN"/>
        </w:rPr>
        <w:t>与</w:t>
      </w:r>
      <w:r>
        <w:rPr>
          <w:color w:val="auto"/>
        </w:rPr>
        <w:t>管护费</w:t>
      </w:r>
      <w:r>
        <w:rPr>
          <w:rFonts w:hint="eastAsia"/>
          <w:color w:val="auto"/>
          <w:lang w:val="en-US" w:eastAsia="zh-CN"/>
        </w:rPr>
        <w:t>**.**</w:t>
      </w:r>
      <w:r>
        <w:rPr>
          <w:color w:val="auto"/>
        </w:rPr>
        <w:t>万元，基本预备费为</w:t>
      </w:r>
      <w:r>
        <w:rPr>
          <w:rFonts w:hint="eastAsia"/>
          <w:color w:val="auto"/>
          <w:lang w:val="en-US" w:eastAsia="zh-CN"/>
        </w:rPr>
        <w:t>*.**</w:t>
      </w:r>
      <w:r>
        <w:rPr>
          <w:color w:val="auto"/>
        </w:rPr>
        <w:t>万元。</w:t>
      </w:r>
    </w:p>
    <w:p>
      <w:pPr>
        <w:bidi w:val="0"/>
      </w:pPr>
      <w:r>
        <w:t>土地复垦工程投资估算汇总详见</w:t>
      </w:r>
      <w:r>
        <w:rPr>
          <w:rFonts w:hint="eastAsia"/>
        </w:rPr>
        <w:t>下</w:t>
      </w:r>
      <w:r>
        <w:t>表。</w:t>
      </w:r>
    </w:p>
    <w:p>
      <w:pPr>
        <w:pStyle w:val="8"/>
        <w:bidi w:val="0"/>
      </w:pPr>
      <w:r>
        <w:t xml:space="preserve">表 </w:t>
      </w:r>
      <w:r>
        <w:rPr>
          <w:rFonts w:hint="eastAsia"/>
          <w:lang w:val="en-US" w:eastAsia="zh-CN"/>
        </w:rPr>
        <w:t xml:space="preserve">6-26 </w:t>
      </w:r>
      <w:r>
        <w:t>土地复垦工程投资估算汇总表</w:t>
      </w:r>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51"/>
        <w:gridCol w:w="2698"/>
        <w:gridCol w:w="1929"/>
        <w:gridCol w:w="1789"/>
        <w:gridCol w:w="2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序号</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分项名称</w:t>
            </w:r>
          </w:p>
        </w:tc>
        <w:tc>
          <w:tcPr>
            <w:tcW w:w="96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费用（万元）</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占比</w:t>
            </w: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r>
              <w:rPr>
                <w:rFonts w:hint="eastAsia"/>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工程施工费</w:t>
            </w:r>
          </w:p>
        </w:tc>
        <w:tc>
          <w:tcPr>
            <w:tcW w:w="96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default"/>
              </w:rPr>
            </w:pPr>
            <w:r>
              <w:rPr>
                <w:rFonts w:hint="default"/>
                <w:lang w:val="en-US" w:eastAsia="zh-CN"/>
              </w:rPr>
              <w:t>**.**</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69.58</w:t>
            </w: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二</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设备费</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三</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其他费用</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8.5</w:t>
            </w: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四</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监测与管护费</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19.84</w:t>
            </w: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五</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预备费</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（一）</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基本预备费</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2.08</w:t>
            </w:r>
          </w:p>
        </w:tc>
        <w:tc>
          <w:tcPr>
            <w:tcW w:w="1150"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628"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六</w:t>
            </w:r>
          </w:p>
        </w:tc>
        <w:tc>
          <w:tcPr>
            <w:tcW w:w="1354"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r>
              <w:rPr>
                <w:rFonts w:hint="eastAsia"/>
                <w:lang w:val="en-US" w:eastAsia="zh-CN"/>
              </w:rPr>
              <w:t>静态总投资</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w:t>
            </w:r>
          </w:p>
        </w:tc>
        <w:tc>
          <w:tcPr>
            <w:tcW w:w="898" w:type="pct"/>
            <w:tcBorders>
              <w:top w:val="single" w:color="000000" w:sz="4" w:space="0"/>
              <w:left w:val="single" w:color="000000" w:sz="4" w:space="0"/>
              <w:bottom w:val="single" w:color="000000" w:sz="4" w:space="0"/>
              <w:right w:val="single" w:color="000000" w:sz="4" w:space="0"/>
            </w:tcBorders>
            <w:noWrap w:val="0"/>
            <w:vAlign w:val="center"/>
          </w:tcPr>
          <w:p>
            <w:pPr>
              <w:pStyle w:val="27"/>
              <w:bidi w:val="0"/>
              <w:rPr>
                <w:rFonts w:hint="default"/>
              </w:rPr>
            </w:pPr>
            <w:r>
              <w:rPr>
                <w:rFonts w:hint="default"/>
                <w:lang w:val="en-US" w:eastAsia="zh-CN"/>
              </w:rPr>
              <w:t>100</w:t>
            </w:r>
          </w:p>
        </w:tc>
        <w:tc>
          <w:tcPr>
            <w:tcW w:w="1150" w:type="pct"/>
            <w:tcBorders>
              <w:top w:val="single" w:color="000000" w:sz="4" w:space="0"/>
              <w:left w:val="single" w:color="000000" w:sz="4" w:space="0"/>
              <w:bottom w:val="single" w:color="000000" w:sz="4" w:space="0"/>
              <w:right w:val="single" w:color="000000" w:sz="4" w:space="0"/>
            </w:tcBorders>
            <w:noWrap/>
            <w:vAlign w:val="center"/>
          </w:tcPr>
          <w:p>
            <w:pPr>
              <w:pStyle w:val="27"/>
              <w:bidi w:val="0"/>
              <w:rPr>
                <w:rFonts w:hint="eastAsia"/>
              </w:rPr>
            </w:pPr>
          </w:p>
        </w:tc>
      </w:tr>
    </w:tbl>
    <w:p>
      <w:pPr>
        <w:bidi w:val="0"/>
      </w:pPr>
    </w:p>
    <w:p>
      <w:pPr>
        <w:pStyle w:val="3"/>
        <w:bidi w:val="0"/>
        <w:rPr>
          <w:rFonts w:hint="eastAsia"/>
        </w:rPr>
      </w:pPr>
      <w:bookmarkStart w:id="145" w:name="_Toc593"/>
      <w:bookmarkStart w:id="146" w:name="_Toc29861"/>
      <w:bookmarkStart w:id="147" w:name="_Toc21041"/>
      <w:bookmarkStart w:id="148" w:name="_Toc31188"/>
      <w:r>
        <w:rPr>
          <w:rFonts w:hint="eastAsia"/>
          <w:lang w:val="en-US" w:eastAsia="zh-CN"/>
        </w:rPr>
        <w:t>三</w:t>
      </w:r>
      <w:r>
        <w:rPr>
          <w:rFonts w:hint="eastAsia"/>
        </w:rPr>
        <w:t>、</w:t>
      </w:r>
      <w:r>
        <w:rPr>
          <w:rFonts w:hint="eastAsia"/>
          <w:lang w:val="en-US" w:eastAsia="zh-CN"/>
        </w:rPr>
        <w:t>阶段工作任务与</w:t>
      </w:r>
      <w:r>
        <w:rPr>
          <w:rFonts w:hint="eastAsia"/>
        </w:rPr>
        <w:t>经费安排</w:t>
      </w:r>
      <w:bookmarkEnd w:id="145"/>
      <w:bookmarkEnd w:id="146"/>
      <w:bookmarkEnd w:id="147"/>
      <w:bookmarkEnd w:id="148"/>
    </w:p>
    <w:p>
      <w:pPr>
        <w:bidi w:val="0"/>
        <w:rPr>
          <w:rFonts w:hint="default" w:eastAsia="宋体"/>
          <w:lang w:val="en-US" w:eastAsia="zh-CN"/>
        </w:rPr>
      </w:pPr>
      <w:r>
        <w:rPr>
          <w:rFonts w:hint="eastAsia"/>
          <w:lang w:val="en-US" w:eastAsia="zh-CN"/>
        </w:rPr>
        <w:t>矿区阶段工作任务与</w:t>
      </w:r>
      <w:r>
        <w:rPr>
          <w:rFonts w:hint="eastAsia"/>
        </w:rPr>
        <w:t>经费安排</w:t>
      </w:r>
      <w:r>
        <w:rPr>
          <w:rFonts w:hint="eastAsia"/>
          <w:lang w:val="en-US" w:eastAsia="zh-CN"/>
        </w:rPr>
        <w:t>详见下表。</w:t>
      </w:r>
    </w:p>
    <w:p>
      <w:pPr>
        <w:pStyle w:val="8"/>
        <w:bidi w:val="0"/>
        <w:rPr>
          <w:rFonts w:hint="default"/>
          <w:lang w:val="en-US" w:eastAsia="zh-CN"/>
        </w:rPr>
      </w:pPr>
      <w:r>
        <w:t xml:space="preserve">表 </w:t>
      </w:r>
      <w:r>
        <w:rPr>
          <w:rFonts w:hint="eastAsia"/>
          <w:lang w:val="en-US" w:eastAsia="zh-CN"/>
        </w:rPr>
        <w:t xml:space="preserve">6-27 </w:t>
      </w:r>
      <w:r>
        <w:rPr>
          <w:rFonts w:hint="eastAsia"/>
        </w:rPr>
        <w:t>矿区生态修复</w:t>
      </w:r>
      <w:r>
        <w:rPr>
          <w:rFonts w:hint="eastAsia"/>
          <w:lang w:val="en-US" w:eastAsia="zh-CN"/>
        </w:rPr>
        <w:t>阶段工作任务与</w:t>
      </w:r>
      <w:r>
        <w:rPr>
          <w:rFonts w:hint="eastAsia"/>
        </w:rPr>
        <w:t>经费安排</w:t>
      </w:r>
    </w:p>
    <w:tbl>
      <w:tblPr>
        <w:tblStyle w:val="1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71"/>
        <w:gridCol w:w="2288"/>
        <w:gridCol w:w="4275"/>
        <w:gridCol w:w="22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27"/>
              <w:bidi w:val="0"/>
              <w:rPr>
                <w:rFonts w:hint="eastAsia"/>
                <w:color w:val="auto"/>
              </w:rPr>
            </w:pPr>
          </w:p>
        </w:tc>
        <w:tc>
          <w:tcPr>
            <w:tcW w:w="11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2026—2029年</w:t>
            </w:r>
          </w:p>
        </w:tc>
        <w:tc>
          <w:tcPr>
            <w:tcW w:w="214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2030年</w:t>
            </w:r>
          </w:p>
        </w:tc>
        <w:tc>
          <w:tcPr>
            <w:tcW w:w="11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2031—2033年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工作内容</w:t>
            </w:r>
          </w:p>
        </w:tc>
        <w:tc>
          <w:tcPr>
            <w:tcW w:w="1148"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default"/>
                <w:color w:val="auto"/>
                <w:lang w:val="en-US"/>
              </w:rPr>
            </w:pPr>
            <w:r>
              <w:rPr>
                <w:rFonts w:hint="eastAsia"/>
                <w:color w:val="auto"/>
                <w:lang w:val="en-US" w:eastAsia="zh-CN"/>
              </w:rPr>
              <w:t>不稳定边坡监测、土地损毁监测、栽植爬山虎、围挡、设警示牌</w:t>
            </w:r>
          </w:p>
        </w:tc>
        <w:tc>
          <w:tcPr>
            <w:tcW w:w="214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不稳定边坡监测、设警示牌、栽植爬山虎、表土回填平整、建筑物拆除回填、植被恢复</w:t>
            </w:r>
          </w:p>
        </w:tc>
        <w:tc>
          <w:tcPr>
            <w:tcW w:w="111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崩塌、复垦效果、土壤质量监测与植被管护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jc w:val="center"/>
        </w:trPr>
        <w:tc>
          <w:tcPr>
            <w:tcW w:w="588"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p>
        </w:tc>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p>
        </w:tc>
        <w:tc>
          <w:tcPr>
            <w:tcW w:w="214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p>
        </w:tc>
        <w:tc>
          <w:tcPr>
            <w:tcW w:w="111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eastAsia"/>
                <w:color w:val="auto"/>
              </w:rPr>
            </w:pPr>
            <w:r>
              <w:rPr>
                <w:rFonts w:hint="eastAsia"/>
                <w:color w:val="auto"/>
                <w:lang w:val="en-US" w:eastAsia="zh-CN"/>
              </w:rPr>
              <w:t>费用</w:t>
            </w:r>
          </w:p>
        </w:tc>
        <w:tc>
          <w:tcPr>
            <w:tcW w:w="11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default"/>
                <w:color w:val="auto"/>
                <w:lang w:val="en-US"/>
              </w:rPr>
            </w:pPr>
            <w:r>
              <w:rPr>
                <w:rFonts w:hint="eastAsia"/>
                <w:color w:val="auto"/>
                <w:lang w:val="en-US" w:eastAsia="zh-CN"/>
              </w:rPr>
              <w:t>*</w:t>
            </w:r>
          </w:p>
        </w:tc>
        <w:tc>
          <w:tcPr>
            <w:tcW w:w="214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default"/>
                <w:color w:val="auto"/>
                <w:lang w:val="en-US"/>
              </w:rPr>
            </w:pPr>
            <w:r>
              <w:rPr>
                <w:rFonts w:hint="eastAsia"/>
                <w:color w:val="auto"/>
                <w:lang w:val="en-US" w:eastAsia="zh-CN"/>
              </w:rPr>
              <w:t>**.**</w:t>
            </w:r>
          </w:p>
        </w:tc>
        <w:tc>
          <w:tcPr>
            <w:tcW w:w="11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27"/>
              <w:bidi w:val="0"/>
              <w:rPr>
                <w:rFonts w:hint="default"/>
                <w:color w:val="auto"/>
                <w:lang w:val="en-US"/>
              </w:rPr>
            </w:pPr>
            <w:r>
              <w:rPr>
                <w:rFonts w:hint="eastAsia"/>
                <w:color w:val="auto"/>
                <w:lang w:val="en-US" w:eastAsia="zh-CN"/>
              </w:rPr>
              <w:t>**</w:t>
            </w:r>
          </w:p>
        </w:tc>
      </w:tr>
    </w:tbl>
    <w:p>
      <w:pPr>
        <w:bidi w:val="0"/>
      </w:pPr>
    </w:p>
    <w:p>
      <w:pPr>
        <w:bidi w:val="0"/>
      </w:pPr>
      <w:r>
        <w:br w:type="page"/>
      </w:r>
    </w:p>
    <w:bookmarkEnd w:id="126"/>
    <w:bookmarkEnd w:id="127"/>
    <w:bookmarkEnd w:id="128"/>
    <w:bookmarkEnd w:id="129"/>
    <w:bookmarkEnd w:id="130"/>
    <w:bookmarkEnd w:id="131"/>
    <w:bookmarkEnd w:id="141"/>
    <w:bookmarkEnd w:id="142"/>
    <w:p>
      <w:pPr>
        <w:pStyle w:val="2"/>
        <w:bidi w:val="0"/>
      </w:pPr>
      <w:bookmarkStart w:id="149" w:name="_Toc26960"/>
      <w:bookmarkStart w:id="150" w:name="_Toc16399"/>
      <w:bookmarkStart w:id="151" w:name="_Toc6387"/>
      <w:bookmarkStart w:id="152" w:name="_Toc155865973"/>
      <w:bookmarkStart w:id="153" w:name="_Toc2391"/>
      <w:r>
        <w:t>第</w:t>
      </w:r>
      <w:r>
        <w:rPr>
          <w:rFonts w:hint="eastAsia"/>
          <w:lang w:val="en-US" w:eastAsia="zh-CN"/>
        </w:rPr>
        <w:t>七</w:t>
      </w:r>
      <w:r>
        <w:t>章 保障措施与公众参与</w:t>
      </w:r>
      <w:bookmarkEnd w:id="149"/>
      <w:bookmarkEnd w:id="150"/>
      <w:bookmarkEnd w:id="151"/>
      <w:bookmarkEnd w:id="152"/>
      <w:bookmarkEnd w:id="153"/>
    </w:p>
    <w:p>
      <w:pPr>
        <w:pStyle w:val="3"/>
        <w:bidi w:val="0"/>
      </w:pPr>
      <w:bookmarkStart w:id="154" w:name="_Toc24130"/>
      <w:bookmarkStart w:id="155" w:name="_Toc7244"/>
      <w:bookmarkStart w:id="156" w:name="_Toc29075"/>
      <w:bookmarkStart w:id="157" w:name="_Toc22254"/>
      <w:r>
        <w:rPr>
          <w:rFonts w:hint="eastAsia"/>
        </w:rPr>
        <w:t>一、保障措施</w:t>
      </w:r>
      <w:bookmarkEnd w:id="154"/>
      <w:bookmarkEnd w:id="155"/>
      <w:bookmarkEnd w:id="156"/>
      <w:bookmarkEnd w:id="157"/>
    </w:p>
    <w:p>
      <w:pPr>
        <w:pStyle w:val="4"/>
        <w:bidi w:val="0"/>
        <w:rPr>
          <w:rFonts w:hint="eastAsia"/>
        </w:rPr>
      </w:pPr>
      <w:bookmarkStart w:id="158" w:name="_Toc4816"/>
      <w:r>
        <w:rPr>
          <w:rFonts w:hint="eastAsia"/>
        </w:rPr>
        <w:t>（一）组织保障</w:t>
      </w:r>
      <w:bookmarkEnd w:id="158"/>
    </w:p>
    <w:p>
      <w:pPr>
        <w:bidi w:val="0"/>
        <w:rPr>
          <w:rFonts w:hint="eastAsia"/>
        </w:rPr>
      </w:pPr>
      <w:r>
        <w:rPr>
          <w:rFonts w:hint="eastAsia"/>
        </w:rPr>
        <w:t>根据“谁开发、谁保护；谁破坏，谁恢复”，“谁损毁，谁复垦”原则，</w:t>
      </w:r>
      <w:r>
        <w:t>矿山生产建设单位应成立项目实施管理机构，由法人代表直接领导，抽调人员组成，并吸收设计、施工单位加入，负责治理工程任务的施工、组织、管理和落实，做到责任明确、奖惩分明。由</w:t>
      </w:r>
      <w:r>
        <w:rPr>
          <w:rFonts w:hint="eastAsia"/>
        </w:rPr>
        <w:t>桦川县自然资源局</w:t>
      </w:r>
      <w:r>
        <w:t>履行政府职能，对方案的实施进行指导、检查、监督和管理，认真处理施工工作当中的技术问题；</w:t>
      </w:r>
      <w:r>
        <w:rPr>
          <w:rFonts w:hint="eastAsia"/>
          <w:lang w:eastAsia="zh-CN"/>
        </w:rPr>
        <w:t>对辖</w:t>
      </w:r>
      <w:r>
        <w:t>区内的工作开展情况进行了解、监督、协调和技术指导，分析存在问题，及时向项目建设行政主管部门反映实施过程中存在的问题和</w:t>
      </w:r>
      <w:r>
        <w:rPr>
          <w:rFonts w:hint="eastAsia"/>
          <w:lang w:eastAsia="zh-CN"/>
        </w:rPr>
        <w:t>改进</w:t>
      </w:r>
      <w:r>
        <w:t>建议，纠正治理恢复过程中的偏差问题，</w:t>
      </w:r>
      <w:r>
        <w:rPr>
          <w:rFonts w:hint="eastAsia"/>
        </w:rPr>
        <w:t>桦川县自然资源局</w:t>
      </w:r>
      <w:r>
        <w:t>负责监督项目矿山地质环境保护与恢复治理工作实施情况并负责组织</w:t>
      </w:r>
      <w:r>
        <w:rPr>
          <w:rFonts w:hint="eastAsia"/>
          <w:lang w:eastAsia="zh-CN"/>
        </w:rPr>
        <w:t>矿区生态修复</w:t>
      </w:r>
      <w:r>
        <w:t>工作的竣工验收。矿山建设生产单位和主管部门应各尽其责，相互配合，加强交流与沟通，提高工作效率，保证</w:t>
      </w:r>
      <w:r>
        <w:rPr>
          <w:rFonts w:hint="eastAsia"/>
          <w:lang w:eastAsia="zh-CN"/>
        </w:rPr>
        <w:t>矿区生态修复</w:t>
      </w:r>
      <w:r>
        <w:t>工作的顺利实施。</w:t>
      </w:r>
    </w:p>
    <w:p>
      <w:pPr>
        <w:pStyle w:val="4"/>
        <w:bidi w:val="0"/>
        <w:rPr>
          <w:rFonts w:hint="eastAsia"/>
        </w:rPr>
      </w:pPr>
      <w:bookmarkStart w:id="159" w:name="_Toc17849"/>
      <w:r>
        <w:rPr>
          <w:rFonts w:hint="eastAsia"/>
        </w:rPr>
        <w:t>（二）技术保障</w:t>
      </w:r>
      <w:bookmarkEnd w:id="159"/>
    </w:p>
    <w:p>
      <w:pPr>
        <w:bidi w:val="0"/>
        <w:rPr>
          <w:rFonts w:hint="eastAsia"/>
        </w:rPr>
      </w:pPr>
      <w:r>
        <w:rPr>
          <w:rFonts w:hint="eastAsia"/>
        </w:rPr>
        <w:t>（1）方案</w:t>
      </w:r>
      <w:r>
        <w:rPr>
          <w:rFonts w:hint="eastAsia"/>
          <w:lang w:eastAsia="zh-CN"/>
        </w:rPr>
        <w:t>阶段</w:t>
      </w:r>
      <w:r>
        <w:rPr>
          <w:rFonts w:hint="eastAsia"/>
        </w:rPr>
        <w:t>，</w:t>
      </w:r>
      <w:r>
        <w:t>矿山成立专业技术人员组成的技术小组，</w:t>
      </w:r>
      <w:r>
        <w:rPr>
          <w:rFonts w:hint="eastAsia"/>
        </w:rPr>
        <w:t>与方案编制单位密切合作，</w:t>
      </w:r>
      <w:r>
        <w:rPr>
          <w:rFonts w:hint="eastAsia"/>
          <w:lang w:eastAsia="zh-CN"/>
        </w:rPr>
        <w:t>对矿区生态修复</w:t>
      </w:r>
      <w:r>
        <w:rPr>
          <w:rFonts w:hint="eastAsia"/>
          <w:lang w:val="en-US" w:eastAsia="zh-CN"/>
        </w:rPr>
        <w:t>方案</w:t>
      </w:r>
      <w:r>
        <w:t>进行专门研究、咨询</w:t>
      </w:r>
      <w:r>
        <w:rPr>
          <w:rFonts w:hint="eastAsia"/>
        </w:rPr>
        <w:t>，确保施工质量。</w:t>
      </w:r>
    </w:p>
    <w:p>
      <w:pPr>
        <w:bidi w:val="0"/>
        <w:rPr>
          <w:rFonts w:hint="eastAsia"/>
        </w:rPr>
      </w:pPr>
      <w:r>
        <w:rPr>
          <w:rFonts w:hint="eastAsia"/>
        </w:rPr>
        <w:t>（2）方案实施</w:t>
      </w:r>
      <w:r>
        <w:rPr>
          <w:rFonts w:hint="eastAsia"/>
          <w:lang w:eastAsia="zh-CN"/>
        </w:rPr>
        <w:t>阶段</w:t>
      </w:r>
      <w:r>
        <w:rPr>
          <w:rFonts w:hint="eastAsia"/>
        </w:rPr>
        <w:t>，</w:t>
      </w:r>
      <w:r>
        <w:t>根据各项工程的技术要求，技术指导小组对项目进行</w:t>
      </w:r>
      <w:r>
        <w:rPr>
          <w:rFonts w:hint="eastAsia"/>
          <w:lang w:eastAsia="zh-CN"/>
        </w:rPr>
        <w:t>全面</w:t>
      </w:r>
      <w:r>
        <w:t>指导，</w:t>
      </w:r>
      <w:r>
        <w:rPr>
          <w:rFonts w:hint="eastAsia"/>
          <w:lang w:eastAsia="zh-CN"/>
        </w:rPr>
        <w:t>并</w:t>
      </w:r>
      <w:r>
        <w:t>提供技术支持，以保证项目的顺利实施。</w:t>
      </w:r>
      <w:r>
        <w:rPr>
          <w:rFonts w:hint="eastAsia"/>
        </w:rPr>
        <w:t>技术指导小组按方案实施计划和年度计划开展恢复治理工作，并及时总结阶段性治理与复垦实施经验，及时修订更符合实际治理与复垦方案。</w:t>
      </w:r>
    </w:p>
    <w:p>
      <w:pPr>
        <w:bidi w:val="0"/>
        <w:rPr>
          <w:rFonts w:hint="eastAsia"/>
        </w:rPr>
      </w:pPr>
      <w:r>
        <w:t>因此，该工程的矿山地质环境保护和恢复治理在技术上是有保证的。</w:t>
      </w:r>
    </w:p>
    <w:p>
      <w:pPr>
        <w:bidi w:val="0"/>
        <w:rPr>
          <w:rFonts w:hint="eastAsia"/>
          <w:szCs w:val="28"/>
        </w:rPr>
      </w:pPr>
      <w:r>
        <w:rPr>
          <w:rFonts w:hint="eastAsia"/>
        </w:rPr>
        <w:t>（3）矿山单位应定期培训技术人员，咨询相关专家、开展科学实验、引进先进技术，以及对土地损毁情况进行动态观测和评价。</w:t>
      </w:r>
    </w:p>
    <w:p>
      <w:pPr>
        <w:pStyle w:val="4"/>
        <w:bidi w:val="0"/>
        <w:rPr>
          <w:rFonts w:hint="eastAsia"/>
        </w:rPr>
      </w:pPr>
      <w:bookmarkStart w:id="160" w:name="_Toc32130"/>
      <w:r>
        <w:rPr>
          <w:rFonts w:hint="eastAsia"/>
        </w:rPr>
        <w:t>（三）资金保障</w:t>
      </w:r>
      <w:bookmarkEnd w:id="160"/>
    </w:p>
    <w:p>
      <w:pPr>
        <w:ind w:firstLine="560"/>
        <w:rPr>
          <w:rFonts w:hint="eastAsia"/>
        </w:rPr>
      </w:pPr>
      <w:r>
        <w:t>本项目的治理恢复费用</w:t>
      </w:r>
      <w:r>
        <w:rPr>
          <w:rFonts w:hint="eastAsia"/>
        </w:rPr>
        <w:t>和土地复垦</w:t>
      </w:r>
      <w:r>
        <w:t>均由业主自筹，从矿山生产成本中列支</w:t>
      </w:r>
      <w:r>
        <w:rPr>
          <w:rFonts w:hint="eastAsia"/>
        </w:rPr>
        <w:t>。矿山单位应按规定交矿山恢复治理保证金和土地复垦保证金，落实阶段治理与复垦费用，严格按照治理与复垦方案的年度工程实施计划安排，分阶段有步骤</w:t>
      </w:r>
      <w:r>
        <w:rPr>
          <w:rFonts w:hint="eastAsia"/>
          <w:lang w:eastAsia="zh-CN"/>
        </w:rPr>
        <w:t>地</w:t>
      </w:r>
      <w:r>
        <w:rPr>
          <w:rFonts w:hint="eastAsia"/>
        </w:rPr>
        <w:t>安排治理与复垦项目资金的预算支出，进行治理与复垦，并及时编制验收报告，申请自然资源部门验收，及时返还地质治理恢复保证金，确保治理与复垦工作顺利进行。</w:t>
      </w:r>
    </w:p>
    <w:p>
      <w:pPr>
        <w:bidi w:val="0"/>
        <w:rPr>
          <w:rFonts w:hint="default"/>
          <w:lang w:val="en-US" w:eastAsia="zh-CN"/>
        </w:rPr>
      </w:pPr>
      <w:r>
        <w:rPr>
          <w:rFonts w:hint="eastAsia"/>
          <w:lang w:val="en-US" w:eastAsia="zh-CN"/>
        </w:rPr>
        <w:t>桦川县马库力山采石场截至已交复垦保证金**.**万元（附件9），</w:t>
      </w:r>
      <w:r>
        <w:t>根据《土地复垦条例实施办法》，生产建设周期在三年以下的项目，应当一次性全额预存土地复垦费用。生产建设周期在三年以上的项目，可以分期预存土地复垦费用，但第一次预存的数额不得少于土地复垦费用总金额的百分之二十，按年度存入基金账户，每年</w:t>
      </w:r>
      <w:r>
        <w:rPr>
          <w:rFonts w:hint="eastAsia"/>
          <w:lang w:val="en-US" w:eastAsia="zh-CN"/>
        </w:rPr>
        <w:t>底</w:t>
      </w:r>
      <w:r>
        <w:t>前完成本年度的基金提取工作</w:t>
      </w:r>
      <w:r>
        <w:rPr>
          <w:rFonts w:hint="eastAsia"/>
          <w:lang w:eastAsia="zh-CN"/>
        </w:rPr>
        <w:t>。</w:t>
      </w:r>
      <w:r>
        <w:rPr>
          <w:rFonts w:hint="eastAsia"/>
          <w:lang w:val="en-US" w:eastAsia="zh-CN"/>
        </w:rPr>
        <w:t>因现提交保证金已满足复垦全部费用，不用补交保证金。</w:t>
      </w:r>
    </w:p>
    <w:p>
      <w:pPr>
        <w:pStyle w:val="3"/>
        <w:bidi w:val="0"/>
        <w:rPr>
          <w:rFonts w:hint="eastAsia"/>
        </w:rPr>
      </w:pPr>
      <w:bookmarkStart w:id="161" w:name="_Toc749"/>
      <w:bookmarkStart w:id="162" w:name="_Toc29524"/>
      <w:bookmarkStart w:id="163" w:name="_Toc30744"/>
      <w:bookmarkStart w:id="164" w:name="_Toc1545"/>
      <w:r>
        <w:rPr>
          <w:rFonts w:hint="eastAsia"/>
        </w:rPr>
        <w:t>二、公众参与</w:t>
      </w:r>
      <w:bookmarkEnd w:id="161"/>
      <w:bookmarkEnd w:id="162"/>
      <w:bookmarkEnd w:id="163"/>
      <w:bookmarkEnd w:id="164"/>
    </w:p>
    <w:p>
      <w:pPr>
        <w:bidi w:val="0"/>
      </w:pPr>
      <w:r>
        <w:t>公众参与可以使公众了解项目建设可能带来的土地资源、生态环境损毁等问题，增加公众对矿山生态修复工作的认同感；有助于减少方案规划失误，增加规划的合理性；能够对矿山生态修复工作的实施，包括工程实施后的质量和效益等起到监督作用。</w:t>
      </w:r>
    </w:p>
    <w:p>
      <w:pPr>
        <w:pStyle w:val="4"/>
        <w:bidi w:val="0"/>
      </w:pPr>
      <w:r>
        <w:t>（一）公众参与的环节与内容</w:t>
      </w:r>
    </w:p>
    <w:p>
      <w:pPr>
        <w:bidi w:val="0"/>
        <w:rPr>
          <w:kern w:val="0"/>
          <w:szCs w:val="28"/>
          <w:shd w:val="clear" w:color="auto" w:fill="FFFFFF"/>
        </w:rPr>
      </w:pPr>
      <w:r>
        <w:t>公众参与</w:t>
      </w:r>
      <w:r>
        <w:rPr>
          <w:rFonts w:hint="eastAsia"/>
          <w:lang w:eastAsia="zh-CN"/>
        </w:rPr>
        <w:t>包括</w:t>
      </w:r>
      <w:r>
        <w:t>全面参与和全程参与。公众参与的环节包括本方案编制前期、方案编制期间、方案实施过程中和各项工程竣工验收阶段等。参与对象包括土地权利人、行政主管部门、相关义务人以及其他社会个人或者团体。参与内容包括监测工程的布设、生态修复的方向、生态修复工程技术措施与适宜物种等。</w:t>
      </w:r>
    </w:p>
    <w:p>
      <w:pPr>
        <w:pStyle w:val="5"/>
        <w:bidi w:val="0"/>
      </w:pPr>
      <w:r>
        <w:t>1.方案编制前的公众参与</w:t>
      </w:r>
    </w:p>
    <w:p>
      <w:pPr>
        <w:bidi w:val="0"/>
      </w:pPr>
      <w:r>
        <w:t>方案编制前的公众参与为方案编制前实行。针对矿山、土地等相关政府部门、土地权利人等。公众参与调查主要采取访谈的方式，通过访谈内容及收集的相关资料初步确定规划土地占用及生态修复区拟采取的修复设计方向。具体内容包括：</w:t>
      </w:r>
    </w:p>
    <w:p>
      <w:pPr>
        <w:bidi w:val="0"/>
      </w:pPr>
      <w:r>
        <w:t>查阅矿山基础资料，访谈当地村民，了解矿区自然条件，重点是地形、地貌、土壤和植被、当地的种植习惯，以及项目所在地经济情况。</w:t>
      </w:r>
    </w:p>
    <w:p>
      <w:pPr>
        <w:bidi w:val="0"/>
      </w:pPr>
      <w:r>
        <w:t>查阅当地土地利用现状以及乡镇级土地利用规划，访谈规划、土地等政府部门，确定其对待修复区域规划用途。</w:t>
      </w:r>
    </w:p>
    <w:p>
      <w:pPr>
        <w:bidi w:val="0"/>
      </w:pPr>
      <w:r>
        <w:t>确定对矿区监测工程的布设、生态修复工作的安排和修复用途的确定。</w:t>
      </w:r>
    </w:p>
    <w:p>
      <w:pPr>
        <w:pStyle w:val="5"/>
        <w:bidi w:val="0"/>
      </w:pPr>
      <w:r>
        <w:t>2.方案编制期间的公众参与</w:t>
      </w:r>
    </w:p>
    <w:p>
      <w:pPr>
        <w:bidi w:val="0"/>
      </w:pPr>
      <w:r>
        <w:t>方案编制过程中，为使评价工作更具民主化、公众化，遵循公众广泛参与的原则，特向广大公众征求意见，此次参与主要有当地群众问卷调查、相关政府部门意见收集。</w:t>
      </w:r>
    </w:p>
    <w:p>
      <w:pPr>
        <w:pStyle w:val="5"/>
        <w:bidi w:val="0"/>
      </w:pPr>
      <w:r>
        <w:t>3.方案实施过程中和工程竣工验收公众参与计划</w:t>
      </w:r>
    </w:p>
    <w:p>
      <w:pPr>
        <w:bidi w:val="0"/>
      </w:pPr>
      <w:r>
        <w:rPr>
          <w:rFonts w:hint="eastAsia"/>
          <w:lang w:eastAsia="zh-CN"/>
        </w:rPr>
        <w:t>（1）</w:t>
      </w:r>
      <w:r>
        <w:t>方案实施过程中公众参与</w:t>
      </w:r>
    </w:p>
    <w:p>
      <w:pPr>
        <w:bidi w:val="0"/>
      </w:pPr>
      <w:r>
        <w:t>每年组织当地群众、相关职能部门和专家代表，对</w:t>
      </w:r>
      <w:r>
        <w:rPr>
          <w:rFonts w:hint="eastAsia"/>
        </w:rPr>
        <w:t>评估区</w:t>
      </w:r>
      <w:r>
        <w:t>矿区生态修复实施情况进行一次实地考察验收。</w:t>
      </w:r>
    </w:p>
    <w:p>
      <w:pPr>
        <w:bidi w:val="0"/>
      </w:pPr>
      <w:r>
        <w:t>通过网络、报纸或公示等手段，每月公布本项目矿区生态修复方案资金使用情况，每年年底公布本项目矿区生态修复审计部门审计结果，矿区生态修复实施计划、进展和效果。</w:t>
      </w:r>
    </w:p>
    <w:p>
      <w:pPr>
        <w:bidi w:val="0"/>
      </w:pPr>
      <w:r>
        <w:t>设立矿区生态修复意见征集网上信箱和论坛，确保公众意见有通畅表达渠道。</w:t>
      </w:r>
    </w:p>
    <w:p>
      <w:pPr>
        <w:bidi w:val="0"/>
      </w:pPr>
      <w:r>
        <w:t>每年年底组织召开一次座谈会，邀请当地群众、相关职能部门和专家代表参加，根据考察验收的实际情况，以及通过各种渠道征集到公众意见，对</w:t>
      </w:r>
      <w:r>
        <w:rPr>
          <w:rFonts w:hint="eastAsia"/>
        </w:rPr>
        <w:t>评估区</w:t>
      </w:r>
      <w:r>
        <w:t>矿区生态修复方案和计划进行调整修改。修改后的方案和计划上报自然资源主管部门备案。</w:t>
      </w:r>
    </w:p>
    <w:p>
      <w:pPr>
        <w:bidi w:val="0"/>
      </w:pPr>
      <w:r>
        <w:rPr>
          <w:rFonts w:hint="eastAsia"/>
          <w:lang w:eastAsia="zh-CN"/>
        </w:rPr>
        <w:t>（2）</w:t>
      </w:r>
      <w:r>
        <w:t>竣工验收阶段中公众参与</w:t>
      </w:r>
    </w:p>
    <w:p>
      <w:pPr>
        <w:bidi w:val="0"/>
        <w:rPr>
          <w:kern w:val="0"/>
          <w:szCs w:val="28"/>
          <w:shd w:val="clear" w:color="auto" w:fill="FFFFFF"/>
        </w:rPr>
      </w:pPr>
      <w:r>
        <w:t>矿区生态修复工程竣工以前，通过网络、报纸等媒体发布工程竣工验收消息，广大群众可参与对</w:t>
      </w:r>
      <w:r>
        <w:rPr>
          <w:rFonts w:hint="eastAsia"/>
        </w:rPr>
        <w:t>评估区</w:t>
      </w:r>
      <w:r>
        <w:t>矿区生态修复项目数量和质量的评价。向自然资源主管部门提出竣工验收申请，并邀请相关职能部门和专家参与竣工验收。</w:t>
      </w:r>
    </w:p>
    <w:p>
      <w:pPr>
        <w:pStyle w:val="4"/>
        <w:bidi w:val="0"/>
      </w:pPr>
      <w:r>
        <w:t>（二）公众参与具体方法</w:t>
      </w:r>
    </w:p>
    <w:p>
      <w:pPr>
        <w:bidi w:val="0"/>
      </w:pPr>
      <w:r>
        <w:t>由于矿山开采会给周围的自然环境和社会环境带来影响，直接或间接地影响当地人民群众生活，本次方案编制过程中始终遵循公众参与的原则。</w:t>
      </w:r>
    </w:p>
    <w:p>
      <w:pPr>
        <w:bidi w:val="0"/>
        <w:rPr>
          <w:rFonts w:hint="eastAsia"/>
        </w:rPr>
      </w:pPr>
      <w:r>
        <w:t>本项目在生态保护修复方案报告编制过程中，县自然资源局、地方等相关部门的指导和大力支持。通过广泛调查和征求项目区周边当地人民群众的意见和建议，根据项目区的社会经济发展状况，结合可持续发展的要求，和谐发展的理念，使本生态保护修复方案报告书更加科学、合理，各项措施操作性更强。</w:t>
      </w:r>
    </w:p>
    <w:p>
      <w:pPr>
        <w:pStyle w:val="3"/>
        <w:bidi w:val="0"/>
      </w:pPr>
      <w:bookmarkStart w:id="165" w:name="_Toc614"/>
      <w:r>
        <w:rPr>
          <w:rFonts w:hint="eastAsia"/>
          <w:lang w:eastAsia="zh-CN"/>
        </w:rPr>
        <w:t>三、</w:t>
      </w:r>
      <w:r>
        <w:rPr>
          <w:rFonts w:hint="eastAsia"/>
        </w:rPr>
        <w:t>效益分析</w:t>
      </w:r>
      <w:bookmarkEnd w:id="165"/>
    </w:p>
    <w:p>
      <w:pPr>
        <w:pStyle w:val="4"/>
        <w:bidi w:val="0"/>
        <w:rPr>
          <w:rFonts w:hint="eastAsia"/>
        </w:rPr>
      </w:pPr>
      <w:bookmarkStart w:id="166" w:name="_Toc13952"/>
      <w:r>
        <w:rPr>
          <w:rFonts w:hint="eastAsia"/>
        </w:rPr>
        <w:t>（一）社会效益分析</w:t>
      </w:r>
      <w:bookmarkEnd w:id="166"/>
    </w:p>
    <w:p>
      <w:pPr>
        <w:bidi w:val="0"/>
        <w:rPr>
          <w:rFonts w:hint="eastAsia"/>
          <w:szCs w:val="28"/>
        </w:rPr>
      </w:pPr>
      <w:r>
        <w:rPr>
          <w:rFonts w:hint="eastAsia"/>
        </w:rPr>
        <w:t>本方案的实施符合国家相关的法律法规和政策，体现了矿产资源开发与环境保护协调发展，保证了经济社会的可持续发展。同时，项目的实施反映了广大人民群众要求改善矿山恶劣环境的强烈呼声和愿望，治理后会给公众带来一片良好的生存空间，对促进当地社会文明程度的提高将起到积极作用，具有良好的社会效益。</w:t>
      </w:r>
    </w:p>
    <w:p>
      <w:pPr>
        <w:pStyle w:val="4"/>
        <w:bidi w:val="0"/>
        <w:rPr>
          <w:rFonts w:hint="eastAsia"/>
        </w:rPr>
      </w:pPr>
      <w:bookmarkStart w:id="167" w:name="_Toc13675"/>
      <w:r>
        <w:rPr>
          <w:rFonts w:hint="eastAsia"/>
        </w:rPr>
        <w:t>（二）经济效益分析</w:t>
      </w:r>
      <w:bookmarkEnd w:id="167"/>
    </w:p>
    <w:p>
      <w:pPr>
        <w:bidi w:val="0"/>
        <w:rPr>
          <w:rFonts w:hint="eastAsia"/>
        </w:rPr>
      </w:pPr>
      <w:r>
        <w:rPr>
          <w:rFonts w:hint="eastAsia"/>
        </w:rPr>
        <w:t>矿山生态修复无短期直接经营性收入，修复以生态公益造林、土地复垦为主，不配套产业经营项目，樟子松等林木成材周期极长，短期内无法依靠植被产出覆盖 **.** 万元修复投入，项目前期仅产生资金支出。</w:t>
      </w:r>
    </w:p>
    <w:p>
      <w:pPr>
        <w:bidi w:val="0"/>
        <w:rPr>
          <w:rFonts w:hint="eastAsia"/>
        </w:rPr>
      </w:pPr>
      <w:r>
        <w:rPr>
          <w:rFonts w:hint="eastAsia"/>
        </w:rPr>
        <w:t>修复工程具备显著避险降本效益，可彻底消除边坡崩塌、冻土冻融地质灾害隐患，规避农户索赔、行政处罚、第三方高额代治等隐性损失，完工验收后可全额返还 **.** 万元生态保证金，盘活企业流动资金。</w:t>
      </w:r>
    </w:p>
    <w:p>
      <w:pPr>
        <w:bidi w:val="0"/>
        <w:rPr>
          <w:rFonts w:hint="eastAsia"/>
        </w:rPr>
      </w:pPr>
      <w:r>
        <w:rPr>
          <w:rFonts w:hint="eastAsia"/>
        </w:rPr>
        <w:t>修复是矿山持续经营的必要保障，生态治理落实情况直接决定 2029 年采矿权能否延续，按期完成修复可保住每年 18 万立方米石料开采的核心经营收益，避免矿山提前关停造成巨额资源损失。</w:t>
      </w:r>
    </w:p>
    <w:p>
      <w:pPr>
        <w:bidi w:val="0"/>
      </w:pPr>
      <w:r>
        <w:rPr>
          <w:rFonts w:hint="eastAsia"/>
        </w:rPr>
        <w:t>中长期可盘活损毁土地、降低综合运营成本，**.****hm² 损毁土地复垦后恢复农林利用价值，减少土地闲置租赁费、生产期防尘治土等持续开支，同时带动本地务工，压低工程施工造价，长期综合间接收益高于一次性修复投入。</w:t>
      </w:r>
    </w:p>
    <w:p>
      <w:pPr>
        <w:pStyle w:val="4"/>
        <w:bidi w:val="0"/>
        <w:rPr>
          <w:rFonts w:hint="eastAsia"/>
        </w:rPr>
      </w:pPr>
      <w:bookmarkStart w:id="168" w:name="_Toc31845"/>
      <w:r>
        <w:rPr>
          <w:rFonts w:hint="eastAsia"/>
        </w:rPr>
        <w:t>（三）环境效益分析</w:t>
      </w:r>
      <w:bookmarkEnd w:id="168"/>
    </w:p>
    <w:p>
      <w:pPr>
        <w:bidi w:val="0"/>
        <w:rPr>
          <w:rFonts w:hint="eastAsia"/>
        </w:rPr>
      </w:pPr>
      <w:r>
        <w:t>工程实施后</w:t>
      </w:r>
      <w:r>
        <w:rPr>
          <w:rFonts w:hint="eastAsia"/>
        </w:rPr>
        <w:t>，随着植被覆盖率的增加，水土侵蚀可以得到</w:t>
      </w:r>
      <w:r>
        <w:rPr>
          <w:rFonts w:hint="eastAsia"/>
          <w:lang w:eastAsia="zh-CN"/>
        </w:rPr>
        <w:t>有效</w:t>
      </w:r>
      <w:r>
        <w:rPr>
          <w:rFonts w:hint="eastAsia"/>
        </w:rPr>
        <w:t>控制，地貌景观及森林景观得到改观，植物对气候的调节作用加强，动物生存环境得以改善，生态环境效益将逐渐显现。</w:t>
      </w:r>
    </w:p>
    <w:p>
      <w:pPr>
        <w:bidi w:val="0"/>
      </w:pPr>
      <w:r>
        <w:rPr>
          <w:rFonts w:hint="eastAsia"/>
        </w:rPr>
        <w:t>总之，通过对矿山地质环境保护与恢复治理，改变人类生产活动所带来的环境恶化，使人们充分</w:t>
      </w:r>
      <w:r>
        <w:rPr>
          <w:rFonts w:hint="eastAsia"/>
          <w:lang w:eastAsia="zh-CN"/>
        </w:rPr>
        <w:t>地</w:t>
      </w:r>
      <w:r>
        <w:rPr>
          <w:rFonts w:hint="eastAsia"/>
        </w:rPr>
        <w:t>意识到人类活动能破坏自然，也能改造自然。更使区内生产、生活得到改善，保障区内经济可持续发展，为提高人民的生产、生活、具有重要的现实意义和长远意义，让区内社会效益、经济效益、环境效益多赢。</w:t>
      </w:r>
    </w:p>
    <w:p/>
    <w:p>
      <w:pPr>
        <w:ind w:firstLine="560"/>
        <w:rPr>
          <w:sz w:val="28"/>
          <w:szCs w:val="28"/>
        </w:rPr>
        <w:sectPr>
          <w:pgSz w:w="11906" w:h="16838"/>
          <w:pgMar w:top="1440" w:right="1080" w:bottom="1440" w:left="1080" w:header="851" w:footer="992" w:gutter="0"/>
          <w:cols w:space="720" w:num="1"/>
          <w:docGrid w:type="lines" w:linePitch="312" w:charSpace="0"/>
        </w:sectPr>
      </w:pPr>
    </w:p>
    <w:p>
      <w:pPr>
        <w:pStyle w:val="2"/>
        <w:bidi w:val="0"/>
      </w:pPr>
      <w:bookmarkStart w:id="169" w:name="_Toc17735"/>
      <w:bookmarkStart w:id="170" w:name="_Toc30141"/>
      <w:bookmarkStart w:id="171" w:name="_Toc11354"/>
      <w:r>
        <w:t>第</w:t>
      </w:r>
      <w:r>
        <w:rPr>
          <w:rFonts w:hint="eastAsia"/>
          <w:lang w:val="en-US" w:eastAsia="zh-CN"/>
        </w:rPr>
        <w:t>八</w:t>
      </w:r>
      <w:r>
        <w:t>章 结</w:t>
      </w:r>
      <w:r>
        <w:rPr>
          <w:rFonts w:hint="eastAsia"/>
          <w:lang w:val="en-US" w:eastAsia="zh-CN"/>
        </w:rPr>
        <w:t xml:space="preserve">  </w:t>
      </w:r>
      <w:r>
        <w:t>论</w:t>
      </w:r>
      <w:bookmarkEnd w:id="169"/>
      <w:bookmarkEnd w:id="170"/>
      <w:bookmarkEnd w:id="171"/>
    </w:p>
    <w:p>
      <w:pPr>
        <w:pStyle w:val="3"/>
      </w:pPr>
      <w:bookmarkStart w:id="172" w:name="_Toc11377"/>
      <w:r>
        <w:t>一、结论</w:t>
      </w:r>
      <w:bookmarkEnd w:id="172"/>
    </w:p>
    <w:p>
      <w:pPr>
        <w:ind w:firstLine="560"/>
        <w:rPr>
          <w:rFonts w:hint="eastAsia"/>
          <w:lang w:eastAsia="zh-CN"/>
        </w:rPr>
      </w:pPr>
      <w:r>
        <w:rPr>
          <w:rFonts w:hint="eastAsia"/>
          <w:lang w:val="en-US" w:eastAsia="zh-CN"/>
        </w:rPr>
        <w:t>1.桦川县马库力山采石场采矿权人桦川县马库力恒瑞采石场有限公司。矿区开采方式：</w:t>
      </w:r>
      <w:r>
        <w:rPr>
          <w:rFonts w:hint="eastAsia"/>
        </w:rPr>
        <w:t>露天台阶式开采</w:t>
      </w:r>
      <w:r>
        <w:rPr>
          <w:rFonts w:hint="eastAsia"/>
          <w:lang w:val="en-US" w:eastAsia="zh-CN"/>
        </w:rPr>
        <w:t>。开采顺序：</w:t>
      </w:r>
      <w:r>
        <w:rPr>
          <w:rFonts w:hint="eastAsia"/>
        </w:rPr>
        <w:t>由上往下分台阶推进的原则</w:t>
      </w:r>
      <w:r>
        <w:rPr>
          <w:rFonts w:hint="eastAsia"/>
          <w:lang w:val="en-US" w:eastAsia="zh-CN"/>
        </w:rPr>
        <w:t>。采矿方法：</w:t>
      </w:r>
      <w:r>
        <w:rPr>
          <w:rFonts w:hint="eastAsia"/>
        </w:rPr>
        <w:t>露天横向</w:t>
      </w:r>
      <w:r>
        <w:rPr>
          <w:rFonts w:hint="eastAsia"/>
          <w:lang w:val="en-US" w:eastAsia="zh-CN"/>
        </w:rPr>
        <w:t>开采，</w:t>
      </w:r>
      <w:r>
        <w:rPr>
          <w:rFonts w:hint="eastAsia"/>
        </w:rPr>
        <w:t>挖掘机装矿</w:t>
      </w:r>
      <w:r>
        <w:rPr>
          <w:rFonts w:hint="eastAsia"/>
          <w:lang w:eastAsia="zh-CN"/>
        </w:rPr>
        <w:t>，</w:t>
      </w:r>
      <w:r>
        <w:rPr>
          <w:rFonts w:hint="eastAsia"/>
        </w:rPr>
        <w:t>汽车运输。生产规模为</w:t>
      </w:r>
      <w:r>
        <w:rPr>
          <w:rFonts w:hint="eastAsia"/>
          <w:lang w:val="en-US" w:eastAsia="zh-CN"/>
        </w:rPr>
        <w:t>18</w:t>
      </w:r>
      <w:r>
        <w:rPr>
          <w:rFonts w:hint="eastAsia"/>
        </w:rPr>
        <w:t>万立方米/年</w:t>
      </w:r>
      <w:r>
        <w:rPr>
          <w:rFonts w:hint="eastAsia"/>
          <w:lang w:eastAsia="zh-CN"/>
        </w:rPr>
        <w:t>。</w:t>
      </w:r>
    </w:p>
    <w:p>
      <w:pPr>
        <w:ind w:firstLine="560"/>
        <w:rPr>
          <w:rFonts w:hint="eastAsia" w:eastAsia="宋体"/>
          <w:sz w:val="28"/>
          <w:szCs w:val="28"/>
          <w:shd w:val="clear" w:color="auto" w:fill="FFFFFF"/>
          <w:lang w:eastAsia="zh-CN"/>
        </w:rPr>
      </w:pPr>
      <w:r>
        <w:rPr>
          <w:rFonts w:hint="eastAsia"/>
          <w:lang w:val="en-US" w:eastAsia="zh-CN"/>
        </w:rPr>
        <w:t>2.矿山剩余</w:t>
      </w:r>
      <w:r>
        <w:rPr>
          <w:rFonts w:eastAsia="宋体"/>
          <w:sz w:val="28"/>
          <w:szCs w:val="28"/>
        </w:rPr>
        <w:t>服务年限为</w:t>
      </w:r>
      <w:r>
        <w:rPr>
          <w:rFonts w:hint="eastAsia" w:eastAsia="宋体"/>
          <w:sz w:val="28"/>
          <w:szCs w:val="28"/>
          <w:lang w:val="en-US" w:eastAsia="zh-CN"/>
        </w:rPr>
        <w:t>3</w:t>
      </w:r>
      <w:r>
        <w:rPr>
          <w:rFonts w:eastAsia="宋体"/>
          <w:sz w:val="28"/>
          <w:szCs w:val="28"/>
        </w:rPr>
        <w:t>年（2026年</w:t>
      </w:r>
      <w:r>
        <w:rPr>
          <w:rFonts w:hint="eastAsia" w:eastAsia="宋体"/>
          <w:sz w:val="28"/>
          <w:szCs w:val="28"/>
          <w:lang w:val="en-US" w:eastAsia="zh-CN"/>
        </w:rPr>
        <w:t>6</w:t>
      </w:r>
      <w:r>
        <w:rPr>
          <w:rFonts w:eastAsia="宋体"/>
          <w:sz w:val="28"/>
          <w:szCs w:val="28"/>
        </w:rPr>
        <w:t>月</w:t>
      </w:r>
      <w:r>
        <w:rPr>
          <w:rFonts w:hint="eastAsia" w:eastAsia="宋体"/>
          <w:sz w:val="28"/>
          <w:szCs w:val="28"/>
          <w:lang w:eastAsia="zh-CN"/>
        </w:rPr>
        <w:t>—</w:t>
      </w:r>
      <w:r>
        <w:rPr>
          <w:rFonts w:eastAsia="宋体"/>
          <w:sz w:val="28"/>
          <w:szCs w:val="28"/>
        </w:rPr>
        <w:t>20</w:t>
      </w:r>
      <w:r>
        <w:rPr>
          <w:rFonts w:hint="eastAsia" w:eastAsia="宋体"/>
          <w:sz w:val="28"/>
          <w:szCs w:val="28"/>
          <w:lang w:val="en-US" w:eastAsia="zh-CN"/>
        </w:rPr>
        <w:t>29</w:t>
      </w:r>
      <w:r>
        <w:rPr>
          <w:rFonts w:eastAsia="宋体"/>
          <w:sz w:val="28"/>
          <w:szCs w:val="28"/>
        </w:rPr>
        <w:t>年</w:t>
      </w:r>
      <w:r>
        <w:rPr>
          <w:rFonts w:hint="eastAsia" w:eastAsia="宋体"/>
          <w:sz w:val="28"/>
          <w:szCs w:val="28"/>
          <w:lang w:val="en-US" w:eastAsia="zh-CN"/>
        </w:rPr>
        <w:t>6</w:t>
      </w:r>
      <w:r>
        <w:rPr>
          <w:rFonts w:eastAsia="宋体"/>
          <w:sz w:val="28"/>
          <w:szCs w:val="28"/>
        </w:rPr>
        <w:t>月），生态修复期为1年（20</w:t>
      </w:r>
      <w:r>
        <w:rPr>
          <w:rFonts w:hint="eastAsia" w:eastAsia="宋体"/>
          <w:sz w:val="28"/>
          <w:szCs w:val="28"/>
          <w:lang w:val="en-US" w:eastAsia="zh-CN"/>
        </w:rPr>
        <w:t>29</w:t>
      </w:r>
      <w:r>
        <w:rPr>
          <w:rFonts w:eastAsia="宋体"/>
          <w:sz w:val="28"/>
          <w:szCs w:val="28"/>
        </w:rPr>
        <w:t>年</w:t>
      </w:r>
      <w:r>
        <w:rPr>
          <w:rFonts w:hint="eastAsia" w:eastAsia="宋体"/>
          <w:sz w:val="28"/>
          <w:szCs w:val="28"/>
          <w:lang w:val="en-US" w:eastAsia="zh-CN"/>
        </w:rPr>
        <w:t>6</w:t>
      </w:r>
      <w:r>
        <w:rPr>
          <w:rFonts w:eastAsia="宋体"/>
          <w:sz w:val="28"/>
          <w:szCs w:val="28"/>
        </w:rPr>
        <w:t>月</w:t>
      </w:r>
      <w:r>
        <w:rPr>
          <w:rFonts w:hint="eastAsia" w:eastAsia="宋体"/>
          <w:sz w:val="28"/>
          <w:szCs w:val="28"/>
          <w:lang w:eastAsia="zh-CN"/>
        </w:rPr>
        <w:t>—</w:t>
      </w:r>
      <w:r>
        <w:rPr>
          <w:rFonts w:eastAsia="宋体"/>
          <w:sz w:val="28"/>
          <w:szCs w:val="28"/>
        </w:rPr>
        <w:t>20</w:t>
      </w:r>
      <w:r>
        <w:rPr>
          <w:rFonts w:hint="eastAsia" w:eastAsia="宋体"/>
          <w:sz w:val="28"/>
          <w:szCs w:val="28"/>
          <w:lang w:val="en-US" w:eastAsia="zh-CN"/>
        </w:rPr>
        <w:t>30</w:t>
      </w:r>
      <w:r>
        <w:rPr>
          <w:rFonts w:eastAsia="宋体"/>
          <w:sz w:val="28"/>
          <w:szCs w:val="28"/>
        </w:rPr>
        <w:t>年</w:t>
      </w:r>
      <w:r>
        <w:rPr>
          <w:rFonts w:hint="eastAsia" w:eastAsia="宋体"/>
          <w:sz w:val="28"/>
          <w:szCs w:val="28"/>
          <w:lang w:val="en-US" w:eastAsia="zh-CN"/>
        </w:rPr>
        <w:t>6</w:t>
      </w:r>
      <w:r>
        <w:rPr>
          <w:rFonts w:eastAsia="宋体"/>
          <w:sz w:val="28"/>
          <w:szCs w:val="28"/>
        </w:rPr>
        <w:t>月），后期监测管护期为3年（203</w:t>
      </w:r>
      <w:r>
        <w:rPr>
          <w:rFonts w:hint="eastAsia" w:eastAsia="宋体"/>
          <w:sz w:val="28"/>
          <w:szCs w:val="28"/>
          <w:lang w:val="en-US" w:eastAsia="zh-CN"/>
        </w:rPr>
        <w:t>0</w:t>
      </w:r>
      <w:r>
        <w:rPr>
          <w:rFonts w:eastAsia="宋体"/>
          <w:sz w:val="28"/>
          <w:szCs w:val="28"/>
        </w:rPr>
        <w:t>年</w:t>
      </w:r>
      <w:r>
        <w:rPr>
          <w:rFonts w:hint="eastAsia" w:eastAsia="宋体"/>
          <w:sz w:val="28"/>
          <w:szCs w:val="28"/>
          <w:lang w:val="en-US" w:eastAsia="zh-CN"/>
        </w:rPr>
        <w:t>6</w:t>
      </w:r>
      <w:r>
        <w:rPr>
          <w:rFonts w:eastAsia="宋体"/>
          <w:sz w:val="28"/>
          <w:szCs w:val="28"/>
        </w:rPr>
        <w:t>月</w:t>
      </w:r>
      <w:r>
        <w:rPr>
          <w:rFonts w:hint="eastAsia" w:eastAsia="宋体"/>
          <w:sz w:val="28"/>
          <w:szCs w:val="28"/>
          <w:lang w:eastAsia="zh-CN"/>
        </w:rPr>
        <w:t>—</w:t>
      </w:r>
      <w:r>
        <w:rPr>
          <w:rFonts w:eastAsia="宋体"/>
          <w:sz w:val="28"/>
          <w:szCs w:val="28"/>
        </w:rPr>
        <w:t>20</w:t>
      </w:r>
      <w:r>
        <w:rPr>
          <w:rFonts w:hint="eastAsia" w:eastAsia="宋体"/>
          <w:sz w:val="28"/>
          <w:szCs w:val="28"/>
        </w:rPr>
        <w:t>3</w:t>
      </w:r>
      <w:r>
        <w:rPr>
          <w:rFonts w:hint="eastAsia" w:eastAsia="宋体"/>
          <w:sz w:val="28"/>
          <w:szCs w:val="28"/>
          <w:lang w:val="en-US" w:eastAsia="zh-CN"/>
        </w:rPr>
        <w:t>3</w:t>
      </w:r>
      <w:r>
        <w:rPr>
          <w:rFonts w:eastAsia="宋体"/>
          <w:sz w:val="28"/>
          <w:szCs w:val="28"/>
        </w:rPr>
        <w:t>年</w:t>
      </w:r>
      <w:r>
        <w:rPr>
          <w:rFonts w:hint="eastAsia" w:eastAsia="宋体"/>
          <w:sz w:val="28"/>
          <w:szCs w:val="28"/>
          <w:lang w:val="en-US" w:eastAsia="zh-CN"/>
        </w:rPr>
        <w:t>6</w:t>
      </w:r>
      <w:r>
        <w:rPr>
          <w:rFonts w:eastAsia="宋体"/>
          <w:sz w:val="28"/>
          <w:szCs w:val="28"/>
        </w:rPr>
        <w:t>月），本方案服务年限为</w:t>
      </w:r>
      <w:r>
        <w:rPr>
          <w:rFonts w:hint="eastAsia" w:eastAsia="宋体"/>
          <w:sz w:val="28"/>
          <w:szCs w:val="28"/>
          <w:lang w:val="en-US" w:eastAsia="zh-CN"/>
        </w:rPr>
        <w:t>7年</w:t>
      </w:r>
      <w:r>
        <w:rPr>
          <w:rFonts w:eastAsia="宋体"/>
          <w:sz w:val="28"/>
          <w:szCs w:val="28"/>
        </w:rPr>
        <w:t>（202</w:t>
      </w:r>
      <w:r>
        <w:rPr>
          <w:rFonts w:hint="eastAsia" w:eastAsia="宋体"/>
          <w:sz w:val="28"/>
          <w:szCs w:val="28"/>
        </w:rPr>
        <w:t>6</w:t>
      </w:r>
      <w:r>
        <w:rPr>
          <w:rFonts w:eastAsia="宋体"/>
          <w:sz w:val="28"/>
          <w:szCs w:val="28"/>
        </w:rPr>
        <w:t>年</w:t>
      </w:r>
      <w:r>
        <w:rPr>
          <w:rFonts w:hint="eastAsia" w:eastAsia="宋体"/>
          <w:sz w:val="28"/>
          <w:szCs w:val="28"/>
          <w:lang w:val="en-US" w:eastAsia="zh-CN"/>
        </w:rPr>
        <w:t>6</w:t>
      </w:r>
      <w:r>
        <w:rPr>
          <w:rFonts w:eastAsia="宋体"/>
          <w:sz w:val="28"/>
          <w:szCs w:val="28"/>
        </w:rPr>
        <w:t>月至20</w:t>
      </w:r>
      <w:r>
        <w:rPr>
          <w:rFonts w:hint="eastAsia" w:eastAsia="宋体"/>
          <w:sz w:val="28"/>
          <w:szCs w:val="28"/>
        </w:rPr>
        <w:t>3</w:t>
      </w:r>
      <w:r>
        <w:rPr>
          <w:rFonts w:hint="eastAsia" w:eastAsia="宋体"/>
          <w:sz w:val="28"/>
          <w:szCs w:val="28"/>
          <w:lang w:val="en-US" w:eastAsia="zh-CN"/>
        </w:rPr>
        <w:t>3</w:t>
      </w:r>
      <w:r>
        <w:rPr>
          <w:rFonts w:eastAsia="宋体"/>
          <w:sz w:val="28"/>
          <w:szCs w:val="28"/>
        </w:rPr>
        <w:t>年</w:t>
      </w:r>
      <w:r>
        <w:rPr>
          <w:rFonts w:hint="eastAsia" w:eastAsia="宋体"/>
          <w:sz w:val="28"/>
          <w:szCs w:val="28"/>
          <w:lang w:val="en-US" w:eastAsia="zh-CN"/>
        </w:rPr>
        <w:t>6</w:t>
      </w:r>
      <w:r>
        <w:rPr>
          <w:rFonts w:eastAsia="宋体"/>
          <w:sz w:val="28"/>
          <w:szCs w:val="28"/>
        </w:rPr>
        <w:t>月）</w:t>
      </w:r>
      <w:r>
        <w:rPr>
          <w:sz w:val="28"/>
          <w:szCs w:val="28"/>
        </w:rPr>
        <w:t>，从自然资源主管部门将审查结果向社会公告之日起算</w:t>
      </w:r>
      <w:r>
        <w:rPr>
          <w:rFonts w:hint="eastAsia"/>
          <w:sz w:val="28"/>
          <w:szCs w:val="28"/>
          <w:lang w:eastAsia="zh-CN"/>
        </w:rPr>
        <w:t>。</w:t>
      </w:r>
    </w:p>
    <w:p>
      <w:pPr>
        <w:bidi w:val="0"/>
        <w:rPr>
          <w:rFonts w:hint="default"/>
          <w:lang w:val="en-US" w:eastAsia="zh-CN"/>
        </w:rPr>
      </w:pPr>
      <w:r>
        <w:rPr>
          <w:rFonts w:hint="eastAsia"/>
          <w:lang w:val="en-US" w:eastAsia="zh-CN"/>
        </w:rPr>
        <w:t>3.</w:t>
      </w:r>
      <w:r>
        <w:rPr>
          <w:rFonts w:hint="eastAsia"/>
        </w:rPr>
        <w:t>评估区为</w:t>
      </w:r>
      <w:r>
        <w:rPr>
          <w:rFonts w:hint="eastAsia"/>
          <w:lang w:val="en-US" w:eastAsia="zh-CN"/>
        </w:rPr>
        <w:t>重要区</w:t>
      </w:r>
      <w:r>
        <w:rPr>
          <w:rFonts w:hint="eastAsia"/>
        </w:rPr>
        <w:t>，矿山地质环境条件复杂程度为</w:t>
      </w:r>
      <w:r>
        <w:rPr>
          <w:rFonts w:hint="eastAsia"/>
          <w:lang w:val="en-US" w:eastAsia="zh-CN"/>
        </w:rPr>
        <w:t>复杂</w:t>
      </w:r>
      <w:r>
        <w:rPr>
          <w:rFonts w:hint="eastAsia"/>
        </w:rPr>
        <w:t>，矿山规模为</w:t>
      </w:r>
      <w:r>
        <w:rPr>
          <w:rFonts w:hint="eastAsia"/>
          <w:lang w:val="en-US" w:eastAsia="zh-CN"/>
        </w:rPr>
        <w:t>大</w:t>
      </w:r>
      <w:r>
        <w:rPr>
          <w:rFonts w:hint="eastAsia"/>
        </w:rPr>
        <w:t>型，该矿山地质环境影响评估级别为</w:t>
      </w:r>
      <w:r>
        <w:rPr>
          <w:rFonts w:hint="eastAsia"/>
          <w:lang w:val="en-US" w:eastAsia="zh-CN"/>
        </w:rPr>
        <w:t>一</w:t>
      </w:r>
      <w:r>
        <w:rPr>
          <w:rFonts w:hint="eastAsia"/>
        </w:rPr>
        <w:t>级。</w:t>
      </w:r>
    </w:p>
    <w:p>
      <w:pPr>
        <w:bidi w:val="0"/>
        <w:rPr>
          <w:rFonts w:hint="eastAsia"/>
        </w:rPr>
      </w:pPr>
      <w:r>
        <w:rPr>
          <w:rFonts w:hint="eastAsia"/>
          <w:lang w:val="en-US" w:eastAsia="zh-CN"/>
        </w:rPr>
        <w:t>4.</w:t>
      </w:r>
      <w:r>
        <w:rPr>
          <w:rFonts w:hint="eastAsia"/>
        </w:rPr>
        <w:t>本次评估范围面积</w:t>
      </w:r>
      <w:r>
        <w:rPr>
          <w:rFonts w:hint="eastAsia"/>
          <w:lang w:val="en-US" w:eastAsia="zh-CN"/>
        </w:rPr>
        <w:t>**.****hm</w:t>
      </w:r>
      <w:r>
        <w:rPr>
          <w:rFonts w:hint="eastAsia"/>
          <w:vertAlign w:val="superscript"/>
          <w:lang w:val="en-US" w:eastAsia="zh-CN"/>
        </w:rPr>
        <w:t>2</w:t>
      </w:r>
      <w:r>
        <w:rPr>
          <w:rFonts w:hint="eastAsia"/>
        </w:rPr>
        <w:t>。现状评估：现状地质灾害为季节性冻土冻融和崩塌，影响程度为较轻；对含水层影响较轻；对地形地貌景观</w:t>
      </w:r>
      <w:r>
        <w:rPr>
          <w:rFonts w:hint="eastAsia"/>
          <w:lang w:val="en-US" w:eastAsia="zh-CN"/>
        </w:rPr>
        <w:t>对</w:t>
      </w:r>
      <w:r>
        <w:rPr>
          <w:rFonts w:hint="eastAsia"/>
        </w:rPr>
        <w:t>采掘场</w:t>
      </w:r>
      <w:r>
        <w:rPr>
          <w:rFonts w:hint="eastAsia"/>
          <w:lang w:val="en-US" w:eastAsia="zh-CN"/>
        </w:rPr>
        <w:t>及工业广场</w:t>
      </w:r>
      <w:r>
        <w:rPr>
          <w:rFonts w:hint="eastAsia"/>
        </w:rPr>
        <w:t>地形地貌景观影响</w:t>
      </w:r>
      <w:r>
        <w:rPr>
          <w:rFonts w:hint="eastAsia"/>
          <w:lang w:val="en-US" w:eastAsia="zh-CN"/>
        </w:rPr>
        <w:t>较</w:t>
      </w:r>
      <w:r>
        <w:rPr>
          <w:rFonts w:hint="eastAsia"/>
        </w:rPr>
        <w:t>严重</w:t>
      </w:r>
      <w:r>
        <w:rPr>
          <w:rFonts w:hint="eastAsia"/>
          <w:lang w:eastAsia="zh-CN"/>
        </w:rPr>
        <w:t>，</w:t>
      </w:r>
      <w:r>
        <w:rPr>
          <w:rFonts w:hint="eastAsia"/>
        </w:rPr>
        <w:t>对</w:t>
      </w:r>
      <w:r>
        <w:rPr>
          <w:rFonts w:hint="eastAsia"/>
          <w:lang w:eastAsia="zh-CN"/>
        </w:rPr>
        <w:t>其他</w:t>
      </w:r>
      <w:r>
        <w:rPr>
          <w:rFonts w:hint="eastAsia"/>
        </w:rPr>
        <w:t>区域影响较轻；矿山开采对区内水土环境污染影响较轻。现状评估将评估区划分为矿山地质环境影响较严重区和较轻区。</w:t>
      </w:r>
    </w:p>
    <w:p>
      <w:pPr>
        <w:bidi w:val="0"/>
        <w:rPr>
          <w:rFonts w:hint="eastAsia"/>
        </w:rPr>
      </w:pPr>
      <w:r>
        <w:rPr>
          <w:rFonts w:hint="eastAsia"/>
        </w:rPr>
        <w:t>预测评估：矿山建设可能引发或加剧的地质灾害为崩塌，危害小，危险性小；</w:t>
      </w:r>
      <w:r>
        <w:rPr>
          <w:rFonts w:hint="eastAsia"/>
          <w:lang w:val="zh-CN"/>
        </w:rPr>
        <w:t>矿山建设和生产可能遭受崩塌、</w:t>
      </w:r>
      <w:r>
        <w:rPr>
          <w:rFonts w:hint="eastAsia"/>
        </w:rPr>
        <w:t>冻土冻融地质灾害</w:t>
      </w:r>
      <w:r>
        <w:rPr>
          <w:rFonts w:hint="eastAsia"/>
          <w:lang w:eastAsia="zh-CN"/>
        </w:rPr>
        <w:t>危</w:t>
      </w:r>
      <w:r>
        <w:rPr>
          <w:rFonts w:hint="eastAsia"/>
        </w:rPr>
        <w:t>险性小，危害程度小；采矿活动对水资源（含水层）的影响</w:t>
      </w:r>
      <w:r>
        <w:rPr>
          <w:rFonts w:hint="eastAsia"/>
          <w:lang w:eastAsia="zh-CN"/>
        </w:rPr>
        <w:t>程度</w:t>
      </w:r>
      <w:r>
        <w:rPr>
          <w:rFonts w:hint="eastAsia"/>
        </w:rPr>
        <w:t>较轻；对地形地貌景观采掘场地形地貌景观影响</w:t>
      </w:r>
      <w:r>
        <w:rPr>
          <w:rFonts w:hint="eastAsia"/>
          <w:lang w:val="en-US" w:eastAsia="zh-CN"/>
        </w:rPr>
        <w:t>较</w:t>
      </w:r>
      <w:r>
        <w:rPr>
          <w:rFonts w:hint="eastAsia"/>
        </w:rPr>
        <w:t>严重</w:t>
      </w:r>
      <w:r>
        <w:rPr>
          <w:rFonts w:hint="eastAsia"/>
          <w:lang w:eastAsia="zh-CN"/>
        </w:rPr>
        <w:t>，</w:t>
      </w:r>
      <w:r>
        <w:rPr>
          <w:rFonts w:hint="eastAsia"/>
        </w:rPr>
        <w:t>对</w:t>
      </w:r>
      <w:r>
        <w:rPr>
          <w:rFonts w:hint="eastAsia"/>
          <w:lang w:eastAsia="zh-CN"/>
        </w:rPr>
        <w:t>其他</w:t>
      </w:r>
      <w:r>
        <w:rPr>
          <w:rFonts w:hint="eastAsia"/>
        </w:rPr>
        <w:t>区域影响较轻；预测矿山开采对区内水土环境污染影响较轻。预测评估将评估区划分为矿山地质环境影响</w:t>
      </w:r>
      <w:r>
        <w:rPr>
          <w:rFonts w:hint="eastAsia"/>
          <w:lang w:val="en-US" w:eastAsia="zh-CN"/>
        </w:rPr>
        <w:t>较</w:t>
      </w:r>
      <w:r>
        <w:rPr>
          <w:rFonts w:hint="eastAsia"/>
        </w:rPr>
        <w:t>严重区和较轻区。</w:t>
      </w:r>
    </w:p>
    <w:p>
      <w:pPr>
        <w:bidi w:val="0"/>
        <w:rPr>
          <w:rFonts w:hint="eastAsia"/>
        </w:rPr>
      </w:pPr>
      <w:r>
        <w:rPr>
          <w:rFonts w:hint="eastAsia"/>
          <w:lang w:val="en-US" w:eastAsia="zh-CN"/>
        </w:rPr>
        <w:t>5.</w:t>
      </w:r>
      <w:r>
        <w:rPr>
          <w:rFonts w:hint="eastAsia"/>
        </w:rPr>
        <w:t>在现状评估和预测评估基础上，对矿山地质环境治理进行了防治分区，划定为</w:t>
      </w:r>
      <w:r>
        <w:rPr>
          <w:rFonts w:hint="eastAsia"/>
          <w:lang w:val="en-US" w:eastAsia="zh-CN"/>
        </w:rPr>
        <w:t>次</w:t>
      </w:r>
      <w:r>
        <w:rPr>
          <w:rFonts w:hint="eastAsia"/>
        </w:rPr>
        <w:t>重点防治区和一般防治区。</w:t>
      </w:r>
    </w:p>
    <w:p>
      <w:pPr>
        <w:bidi w:val="0"/>
        <w:rPr>
          <w:rFonts w:hint="default" w:eastAsia="宋体"/>
          <w:lang w:val="en-US" w:eastAsia="zh-CN"/>
        </w:rPr>
      </w:pPr>
      <w:r>
        <w:rPr>
          <w:rFonts w:hint="eastAsia"/>
          <w:lang w:val="en-US" w:eastAsia="zh-CN"/>
        </w:rPr>
        <w:t>6.预测损毁范围：</w:t>
      </w:r>
      <w:r>
        <w:rPr>
          <w:rFonts w:hint="eastAsia" w:eastAsia="宋体"/>
          <w:sz w:val="28"/>
          <w:szCs w:val="28"/>
          <w:lang w:val="en-US" w:eastAsia="zh-CN"/>
        </w:rPr>
        <w:t>该矿山已经过生产，前期已经损毁，不新增损毁区域。</w:t>
      </w:r>
    </w:p>
    <w:p>
      <w:pPr>
        <w:bidi w:val="0"/>
        <w:rPr>
          <w:rFonts w:hint="eastAsia"/>
        </w:rPr>
      </w:pPr>
      <w:r>
        <w:rPr>
          <w:rFonts w:hint="eastAsia"/>
          <w:lang w:val="en-US" w:eastAsia="zh-CN"/>
        </w:rPr>
        <w:t>7.</w:t>
      </w:r>
      <w:r>
        <w:rPr>
          <w:rFonts w:hint="eastAsia"/>
        </w:rPr>
        <w:t>本矿复垦区为矿区范围及工业广场范围</w:t>
      </w:r>
      <w:r>
        <w:rPr>
          <w:rFonts w:hint="eastAsia"/>
          <w:lang w:val="en-US" w:eastAsia="zh-CN"/>
        </w:rPr>
        <w:t>和影响区范围</w:t>
      </w:r>
      <w:r>
        <w:rPr>
          <w:rFonts w:hint="eastAsia"/>
        </w:rPr>
        <w:t>，复垦区土地利用现状分为</w:t>
      </w:r>
      <w:r>
        <w:rPr>
          <w:rFonts w:hint="eastAsia"/>
          <w:lang w:val="en-US" w:eastAsia="zh-CN"/>
        </w:rPr>
        <w:t>6</w:t>
      </w:r>
      <w:r>
        <w:rPr>
          <w:rFonts w:hint="eastAsia"/>
        </w:rPr>
        <w:t>个一级类和</w:t>
      </w:r>
      <w:r>
        <w:rPr>
          <w:rFonts w:hint="eastAsia"/>
          <w:lang w:val="en-US" w:eastAsia="zh-CN"/>
        </w:rPr>
        <w:t>6</w:t>
      </w:r>
      <w:r>
        <w:rPr>
          <w:rFonts w:hint="eastAsia"/>
        </w:rPr>
        <w:t>个二级类，一级类为耕地</w:t>
      </w:r>
      <w:r>
        <w:rPr>
          <w:rFonts w:hint="eastAsia"/>
          <w:lang w:eastAsia="zh-CN"/>
        </w:rPr>
        <w:t>、</w:t>
      </w:r>
      <w:r>
        <w:rPr>
          <w:rFonts w:hint="eastAsia"/>
        </w:rPr>
        <w:t>林地</w:t>
      </w:r>
      <w:r>
        <w:rPr>
          <w:rFonts w:hint="eastAsia"/>
          <w:lang w:eastAsia="zh-CN"/>
        </w:rPr>
        <w:t>、</w:t>
      </w:r>
      <w:r>
        <w:rPr>
          <w:rFonts w:hint="eastAsia"/>
        </w:rPr>
        <w:t>草地</w:t>
      </w:r>
      <w:r>
        <w:rPr>
          <w:rFonts w:hint="eastAsia"/>
          <w:lang w:eastAsia="zh-CN"/>
        </w:rPr>
        <w:t>、</w:t>
      </w:r>
      <w:r>
        <w:rPr>
          <w:rFonts w:hint="eastAsia"/>
        </w:rPr>
        <w:t>工矿仓储用地</w:t>
      </w:r>
      <w:r>
        <w:rPr>
          <w:rFonts w:hint="eastAsia"/>
          <w:lang w:eastAsia="zh-CN"/>
        </w:rPr>
        <w:t>、</w:t>
      </w:r>
      <w:r>
        <w:rPr>
          <w:rFonts w:hint="eastAsia"/>
        </w:rPr>
        <w:t>交通运输用地</w:t>
      </w:r>
      <w:r>
        <w:rPr>
          <w:rFonts w:hint="eastAsia"/>
          <w:lang w:eastAsia="zh-CN"/>
        </w:rPr>
        <w:t>、</w:t>
      </w:r>
      <w:r>
        <w:rPr>
          <w:rFonts w:hint="eastAsia"/>
        </w:rPr>
        <w:t>水域及水利设施用地</w:t>
      </w:r>
      <w:r>
        <w:rPr>
          <w:rFonts w:hint="eastAsia"/>
          <w:lang w:eastAsia="zh-CN"/>
        </w:rPr>
        <w:t>。</w:t>
      </w:r>
      <w:r>
        <w:rPr>
          <w:rFonts w:hint="eastAsia"/>
        </w:rPr>
        <w:t>二级类分别为旱地*.**** hm</w:t>
      </w:r>
      <w:r>
        <w:rPr>
          <w:rFonts w:hint="eastAsia"/>
          <w:vertAlign w:val="superscript"/>
        </w:rPr>
        <w:t>2</w:t>
      </w:r>
      <w:r>
        <w:rPr>
          <w:rFonts w:hint="eastAsia"/>
          <w:lang w:val="en-US" w:eastAsia="zh-CN"/>
        </w:rPr>
        <w:t>、</w:t>
      </w:r>
      <w:r>
        <w:rPr>
          <w:rFonts w:hint="eastAsia"/>
        </w:rPr>
        <w:t>乔木林地*.**** hm</w:t>
      </w:r>
      <w:r>
        <w:rPr>
          <w:rFonts w:hint="eastAsia"/>
          <w:vertAlign w:val="superscript"/>
        </w:rPr>
        <w:t>2</w:t>
      </w:r>
      <w:r>
        <w:rPr>
          <w:rFonts w:hint="eastAsia"/>
          <w:lang w:eastAsia="zh-CN"/>
        </w:rPr>
        <w:t>、</w:t>
      </w:r>
      <w:r>
        <w:rPr>
          <w:rFonts w:hint="eastAsia"/>
        </w:rPr>
        <w:t>其他草地*.**** hm</w:t>
      </w:r>
      <w:r>
        <w:rPr>
          <w:rFonts w:hint="eastAsia"/>
          <w:vertAlign w:val="superscript"/>
        </w:rPr>
        <w:t>2</w:t>
      </w:r>
      <w:r>
        <w:rPr>
          <w:rFonts w:hint="eastAsia"/>
          <w:lang w:eastAsia="zh-CN"/>
        </w:rPr>
        <w:t>、</w:t>
      </w:r>
      <w:r>
        <w:rPr>
          <w:rFonts w:hint="eastAsia"/>
        </w:rPr>
        <w:t>采矿用地**.**** hm</w:t>
      </w:r>
      <w:r>
        <w:rPr>
          <w:rFonts w:hint="eastAsia"/>
          <w:vertAlign w:val="superscript"/>
        </w:rPr>
        <w:t>2</w:t>
      </w:r>
      <w:r>
        <w:rPr>
          <w:rFonts w:hint="eastAsia"/>
          <w:lang w:eastAsia="zh-CN"/>
        </w:rPr>
        <w:t>、</w:t>
      </w:r>
      <w:r>
        <w:rPr>
          <w:rFonts w:hint="eastAsia"/>
        </w:rPr>
        <w:t>农村道路*.**** hm</w:t>
      </w:r>
      <w:r>
        <w:rPr>
          <w:rFonts w:hint="eastAsia"/>
          <w:vertAlign w:val="superscript"/>
        </w:rPr>
        <w:t>2</w:t>
      </w:r>
      <w:r>
        <w:rPr>
          <w:rFonts w:hint="eastAsia"/>
          <w:lang w:eastAsia="zh-CN"/>
        </w:rPr>
        <w:t>、</w:t>
      </w:r>
      <w:r>
        <w:rPr>
          <w:rFonts w:hint="eastAsia"/>
        </w:rPr>
        <w:t>坑塘水面*.**** hm</w:t>
      </w:r>
      <w:r>
        <w:rPr>
          <w:rFonts w:hint="eastAsia"/>
          <w:vertAlign w:val="superscript"/>
        </w:rPr>
        <w:t>2</w:t>
      </w:r>
      <w:r>
        <w:rPr>
          <w:rFonts w:hint="eastAsia"/>
        </w:rPr>
        <w:t>。本方案复垦责任范围与复垦区范围一致</w:t>
      </w:r>
      <w:r>
        <w:rPr>
          <w:rFonts w:hint="eastAsia"/>
          <w:lang w:eastAsia="zh-CN"/>
        </w:rPr>
        <w:t>，</w:t>
      </w:r>
      <w:r>
        <w:rPr>
          <w:rFonts w:hint="eastAsia"/>
          <w:lang w:val="en-US" w:eastAsia="zh-CN"/>
        </w:rPr>
        <w:t>复垦后旱地*.****</w:t>
      </w:r>
      <w:r>
        <w:rPr>
          <w:rFonts w:hint="eastAsia"/>
        </w:rPr>
        <w:t>hm</w:t>
      </w:r>
      <w:r>
        <w:rPr>
          <w:rFonts w:hint="eastAsia"/>
          <w:vertAlign w:val="superscript"/>
        </w:rPr>
        <w:t>2</w:t>
      </w:r>
      <w:r>
        <w:rPr>
          <w:rFonts w:hint="eastAsia"/>
          <w:lang w:eastAsia="zh-CN"/>
        </w:rPr>
        <w:t>、</w:t>
      </w:r>
      <w:r>
        <w:rPr>
          <w:rFonts w:hint="eastAsia"/>
          <w:vertAlign w:val="baseline"/>
          <w:lang w:val="en-US" w:eastAsia="zh-CN"/>
        </w:rPr>
        <w:t xml:space="preserve">林地*.**** </w:t>
      </w:r>
      <w:r>
        <w:rPr>
          <w:rFonts w:hint="eastAsia"/>
        </w:rPr>
        <w:t>hm</w:t>
      </w:r>
      <w:r>
        <w:rPr>
          <w:rFonts w:hint="eastAsia"/>
          <w:vertAlign w:val="superscript"/>
        </w:rPr>
        <w:t>2</w:t>
      </w:r>
      <w:r>
        <w:rPr>
          <w:rFonts w:hint="eastAsia"/>
          <w:vertAlign w:val="baseline"/>
          <w:lang w:eastAsia="zh-CN"/>
        </w:rPr>
        <w:t>，</w:t>
      </w:r>
      <w:r>
        <w:rPr>
          <w:rFonts w:hint="eastAsia"/>
          <w:vertAlign w:val="baseline"/>
          <w:lang w:val="en-US" w:eastAsia="zh-CN"/>
        </w:rPr>
        <w:t xml:space="preserve">其他草地*.**** </w:t>
      </w:r>
      <w:r>
        <w:rPr>
          <w:rFonts w:hint="eastAsia"/>
        </w:rPr>
        <w:t>hm</w:t>
      </w:r>
      <w:r>
        <w:rPr>
          <w:rFonts w:hint="eastAsia"/>
          <w:vertAlign w:val="superscript"/>
        </w:rPr>
        <w:t>2</w:t>
      </w:r>
      <w:r>
        <w:rPr>
          <w:rFonts w:hint="eastAsia"/>
          <w:vertAlign w:val="baseline"/>
          <w:lang w:eastAsia="zh-CN"/>
        </w:rPr>
        <w:t>、农村道路*.****</w:t>
      </w:r>
      <w:r>
        <w:rPr>
          <w:rFonts w:hint="eastAsia"/>
        </w:rPr>
        <w:t>hm</w:t>
      </w:r>
      <w:r>
        <w:rPr>
          <w:rFonts w:hint="eastAsia"/>
          <w:vertAlign w:val="superscript"/>
        </w:rPr>
        <w:t>2</w:t>
      </w:r>
      <w:r>
        <w:rPr>
          <w:rFonts w:hint="eastAsia"/>
          <w:lang w:eastAsia="zh-CN"/>
        </w:rPr>
        <w:t>、</w:t>
      </w:r>
      <w:r>
        <w:rPr>
          <w:rFonts w:hint="eastAsia"/>
          <w:vertAlign w:val="baseline"/>
          <w:lang w:eastAsia="zh-CN"/>
        </w:rPr>
        <w:t xml:space="preserve">裸岩石砾地*.**** </w:t>
      </w:r>
      <w:r>
        <w:rPr>
          <w:rFonts w:hint="eastAsia"/>
        </w:rPr>
        <w:t>hm</w:t>
      </w:r>
      <w:r>
        <w:rPr>
          <w:rFonts w:hint="eastAsia"/>
          <w:vertAlign w:val="superscript"/>
        </w:rPr>
        <w:t>2</w:t>
      </w:r>
      <w:r>
        <w:rPr>
          <w:rFonts w:hint="eastAsia"/>
          <w:vertAlign w:val="baseline"/>
          <w:lang w:eastAsia="zh-CN"/>
        </w:rPr>
        <w:t>，</w:t>
      </w:r>
      <w:r>
        <w:rPr>
          <w:rFonts w:hint="eastAsia"/>
        </w:rPr>
        <w:t>复垦率为</w:t>
      </w:r>
      <w:r>
        <w:rPr>
          <w:rFonts w:hint="eastAsia"/>
          <w:lang w:val="en-US" w:eastAsia="zh-CN"/>
        </w:rPr>
        <w:t>72.82</w:t>
      </w:r>
      <w:r>
        <w:rPr>
          <w:rFonts w:hint="eastAsia"/>
        </w:rPr>
        <w:t>%。</w:t>
      </w:r>
    </w:p>
    <w:p>
      <w:pPr>
        <w:bidi w:val="0"/>
        <w:rPr>
          <w:rFonts w:hint="eastAsia"/>
          <w:lang w:val="en-US" w:eastAsia="zh-CN"/>
        </w:rPr>
      </w:pPr>
      <w:r>
        <w:rPr>
          <w:rFonts w:hint="eastAsia"/>
          <w:lang w:val="en-US" w:eastAsia="zh-CN"/>
        </w:rPr>
        <w:t>8.主要修复工程包括四类为：地貌重塑工程、土壤重构、植被重建、景观营建。地貌重塑工程分为：建筑物拆除、建筑垃圾清运、地面清理平整、翻耕工程。土壤重构分为：表土回覆、表土运输。植被重建分为：植树工程、栽植爬山虎、草地恢复。景观营建分为：警示牌、围栏。</w:t>
      </w:r>
    </w:p>
    <w:p>
      <w:pPr>
        <w:bidi w:val="0"/>
        <w:rPr>
          <w:rFonts w:hint="default"/>
          <w:lang w:val="en-US" w:eastAsia="zh-CN"/>
        </w:rPr>
      </w:pPr>
      <w:r>
        <w:rPr>
          <w:rFonts w:hint="eastAsia"/>
          <w:lang w:val="en-US" w:eastAsia="zh-CN"/>
        </w:rPr>
        <w:t>9.监测管护措施及期限：监测分为崩塌监测点位6个，监测期限为3年，每年不少于4次。土地损毁监测1个，监测期限为3年，每年不少于1次。土壤质量监测7个，监测期限为3年，每年不少于2次。土地复垦效果监测7个，监测期限为3年，每年不少于2次。管护分为林地管护、草地管护管护期限为3年。</w:t>
      </w:r>
    </w:p>
    <w:p>
      <w:pPr>
        <w:bidi w:val="0"/>
        <w:rPr>
          <w:rFonts w:hint="eastAsia"/>
          <w:lang w:val="en-US" w:eastAsia="zh-CN"/>
        </w:rPr>
      </w:pPr>
      <w:r>
        <w:rPr>
          <w:rFonts w:hint="eastAsia"/>
          <w:lang w:val="en-US" w:eastAsia="zh-CN"/>
        </w:rPr>
        <w:t>10.</w:t>
      </w:r>
      <w:r>
        <w:rPr>
          <w:rFonts w:hint="eastAsia"/>
        </w:rPr>
        <w:t>本项目</w:t>
      </w:r>
      <w:r>
        <w:rPr>
          <w:rFonts w:hint="eastAsia"/>
          <w:lang w:val="en-US" w:eastAsia="zh-CN"/>
        </w:rPr>
        <w:t>矿区生态修复</w:t>
      </w:r>
      <w:r>
        <w:rPr>
          <w:rFonts w:hint="eastAsia"/>
        </w:rPr>
        <w:t>静态投资为</w:t>
      </w:r>
      <w:r>
        <w:rPr>
          <w:rFonts w:hint="eastAsia"/>
          <w:color w:val="auto"/>
          <w:lang w:val="en-US" w:eastAsia="zh-CN"/>
        </w:rPr>
        <w:t>**.**</w:t>
      </w:r>
      <w:r>
        <w:rPr>
          <w:rFonts w:hint="eastAsia"/>
        </w:rPr>
        <w:t>万元</w:t>
      </w:r>
      <w:r>
        <w:rPr>
          <w:rFonts w:hint="eastAsia"/>
          <w:lang w:val="en-US" w:eastAsia="zh-CN"/>
        </w:rPr>
        <w:t>。</w:t>
      </w:r>
    </w:p>
    <w:p>
      <w:pPr>
        <w:pStyle w:val="3"/>
      </w:pPr>
      <w:bookmarkStart w:id="173" w:name="_Toc26631"/>
      <w:bookmarkStart w:id="174" w:name="_Toc30237"/>
      <w:bookmarkStart w:id="175" w:name="_Toc1703"/>
      <w:bookmarkStart w:id="176" w:name="_Toc5367"/>
      <w:r>
        <w:t>二、建议</w:t>
      </w:r>
      <w:bookmarkEnd w:id="173"/>
      <w:bookmarkEnd w:id="174"/>
      <w:bookmarkEnd w:id="175"/>
      <w:bookmarkEnd w:id="176"/>
    </w:p>
    <w:p>
      <w:pPr>
        <w:ind w:firstLine="560"/>
        <w:rPr>
          <w:rFonts w:hint="eastAsia"/>
          <w:sz w:val="28"/>
          <w:szCs w:val="28"/>
        </w:rPr>
      </w:pPr>
      <w:r>
        <w:rPr>
          <w:rFonts w:hint="eastAsia"/>
          <w:sz w:val="28"/>
          <w:szCs w:val="28"/>
        </w:rPr>
        <w:t>1</w:t>
      </w:r>
      <w:r>
        <w:rPr>
          <w:rFonts w:hint="eastAsia"/>
          <w:sz w:val="28"/>
          <w:szCs w:val="28"/>
          <w:lang w:val="en-US" w:eastAsia="zh-CN"/>
        </w:rPr>
        <w:t>.</w:t>
      </w:r>
      <w:r>
        <w:rPr>
          <w:rFonts w:hint="eastAsia"/>
          <w:sz w:val="28"/>
          <w:szCs w:val="28"/>
        </w:rPr>
        <w:t>建议矿山地质环境保护与土地复垦应与矿区规划相结合，转变矿山企业重开发、轻保护，重效益、轻环境的旧观念，建设生态型矿山。矿山建设及开采过程中，应按照矿山地质环境保护与治理恢复方案要求，真正做到“在开发中保护”和“在保护中开发”，最大限度地减少矿产资源开发对地质环境的影响，促进矿业活动健康发展。</w:t>
      </w:r>
    </w:p>
    <w:p>
      <w:pPr>
        <w:ind w:firstLine="560"/>
        <w:rPr>
          <w:rFonts w:hint="eastAsia"/>
          <w:sz w:val="28"/>
          <w:szCs w:val="28"/>
        </w:rPr>
      </w:pPr>
      <w:r>
        <w:rPr>
          <w:rFonts w:hint="eastAsia"/>
          <w:sz w:val="28"/>
          <w:szCs w:val="28"/>
        </w:rPr>
        <w:t>2</w:t>
      </w:r>
      <w:r>
        <w:rPr>
          <w:rFonts w:hint="eastAsia"/>
          <w:sz w:val="28"/>
          <w:szCs w:val="28"/>
          <w:lang w:val="en-US" w:eastAsia="zh-CN"/>
        </w:rPr>
        <w:t>.</w:t>
      </w:r>
      <w:r>
        <w:rPr>
          <w:rFonts w:hint="eastAsia"/>
          <w:sz w:val="28"/>
          <w:szCs w:val="28"/>
        </w:rPr>
        <w:t>为确保矿区地质环境治理恢复与土地复垦工作的顺利开展，本工程生产建设单位应设置专门的地质环境治理恢复与土地复垦管理机构。</w:t>
      </w:r>
    </w:p>
    <w:p>
      <w:pPr>
        <w:ind w:firstLine="560"/>
        <w:rPr>
          <w:rFonts w:hint="eastAsia"/>
          <w:sz w:val="28"/>
          <w:szCs w:val="28"/>
        </w:rPr>
      </w:pPr>
      <w:r>
        <w:rPr>
          <w:rFonts w:hint="eastAsia"/>
          <w:sz w:val="28"/>
          <w:szCs w:val="28"/>
        </w:rPr>
        <w:t>3</w:t>
      </w:r>
      <w:r>
        <w:rPr>
          <w:rFonts w:hint="eastAsia"/>
          <w:sz w:val="28"/>
          <w:szCs w:val="28"/>
          <w:lang w:val="en-US" w:eastAsia="zh-CN"/>
        </w:rPr>
        <w:t>.</w:t>
      </w:r>
      <w:r>
        <w:rPr>
          <w:rFonts w:hint="eastAsia"/>
          <w:sz w:val="28"/>
          <w:szCs w:val="28"/>
        </w:rPr>
        <w:t>如矿山扩大开采规模、变更开采范围或者开采方式，需重新进行</w:t>
      </w:r>
      <w:r>
        <w:rPr>
          <w:rFonts w:hint="eastAsia"/>
          <w:sz w:val="28"/>
          <w:szCs w:val="28"/>
          <w:lang w:val="en-US" w:eastAsia="zh-CN"/>
        </w:rPr>
        <w:t>矿区生态修复</w:t>
      </w:r>
      <w:r>
        <w:rPr>
          <w:rFonts w:hint="eastAsia"/>
          <w:sz w:val="28"/>
          <w:szCs w:val="28"/>
        </w:rPr>
        <w:t>方案的编制工作。</w:t>
      </w:r>
    </w:p>
    <w:p>
      <w:pPr>
        <w:ind w:firstLine="560"/>
        <w:rPr>
          <w:rFonts w:hint="eastAsia"/>
          <w:sz w:val="28"/>
          <w:szCs w:val="28"/>
        </w:rPr>
      </w:pPr>
      <w:r>
        <w:rPr>
          <w:rFonts w:hint="eastAsia"/>
          <w:sz w:val="28"/>
          <w:szCs w:val="28"/>
        </w:rPr>
        <w:t>4.矿山开采是动态的，随着开采年限的增加，矿山地质环境问题日渐突出，因此，在矿山生产期间，随着地质环境条件的改变，矿山开发单位要分时段修编矿区生态修复方案。</w:t>
      </w:r>
    </w:p>
    <w:p>
      <w:pPr>
        <w:ind w:firstLine="560"/>
        <w:rPr>
          <w:sz w:val="28"/>
          <w:szCs w:val="28"/>
        </w:rPr>
      </w:pPr>
    </w:p>
    <w:sectPr>
      <w:pgSz w:w="11906" w:h="16838"/>
      <w:pgMar w:top="1440" w:right="1080" w:bottom="1440" w:left="1080" w:header="851" w:footer="102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rStyle w:val="20"/>
      </w:rPr>
    </w:pPr>
    <w:r>
      <w:pict>
        <v:shape id="_x0000_s1031" o:spid="_x0000_s1031"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EPZ0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DpxD2dGQIAACMEAAAOAAAA&#10;AAAAAAEAIAAAAB8BAABkcnMvZTJvRG9jLnhtbFBLBQYAAAAABgAGAFkBAACqBQAAAAA=&#10;">
          <v:path/>
          <v:fill on="f" focussize="0,0"/>
          <v:stroke on="f" weight="0.5pt" joinstyle="miter"/>
          <v:imagedata o:title=""/>
          <o:lock v:ext="edit"/>
          <v:textbox inset="0mm,0mm,0mm,0mm" style="mso-fit-shape-to-text:t;">
            <w:txbxContent>
              <w:p>
                <w:pPr>
                  <w:pStyle w:val="10"/>
                  <w:ind w:firstLine="360"/>
                </w:pPr>
                <w:r>
                  <w:fldChar w:fldCharType="begin"/>
                </w:r>
                <w:r>
                  <w:instrText xml:space="preserve"> PAGE  \* MERGEFORMAT </w:instrText>
                </w:r>
                <w:r>
                  <w:fldChar w:fldCharType="separate"/>
                </w:r>
                <w:r>
                  <w:t>9</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308" w:firstLine="360"/>
      <w:rPr>
        <w:rFonts w:eastAsia="Times New Roman"/>
        <w:sz w:val="18"/>
        <w:szCs w:val="18"/>
      </w:rPr>
    </w:pPr>
    <w:r>
      <w:rPr>
        <w:sz w:val="18"/>
      </w:rPr>
      <w:pict>
        <v:shape id="_x0000_s1030" o:spid="_x0000_s103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V7P0cAgAAIwQAAA4AAABkcnMvZTJvRG9jLnhtbK1Ty47TMBTdI/EP&#10;lvc0aWF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vXpDiWYKMzp9/3b68ev08yvBHwBqrZ/BbmNhGbq3psOgh3+Pz9h3&#10;VzkVb3REoAfUxwu8oguER6fpZDrNoeLQDQ/Ezx7drfPhnTCKRKGgDvNLsLLD2ofedDCJ2bRZNVKm&#10;GUpN2oJev77K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D81ez9HAIAACMEAAAO&#10;AAAAAAAAAAEAIAAAAB8BAABkcnMvZTJvRG9jLnhtbFBLBQYAAAAABgAGAFkBAACtBQAAAAA=&#10;">
          <v:path/>
          <v:fill on="f" focussize="0,0"/>
          <v:stroke on="f" weight="0.5pt" joinstyle="miter"/>
          <v:imagedata o:title=""/>
          <o:lock v:ext="edit"/>
          <v:textbox inset="0mm,0mm,0mm,0mm" style="mso-fit-shape-to-text:t;">
            <w:txbxContent>
              <w:p>
                <w:pPr>
                  <w:pStyle w:val="10"/>
                  <w:ind w:firstLine="360"/>
                </w:pPr>
                <w:r>
                  <w:fldChar w:fldCharType="begin"/>
                </w:r>
                <w:r>
                  <w:instrText xml:space="preserve"> PAGE  \* MERGEFORMAT </w:instrText>
                </w:r>
                <w:r>
                  <w:fldChar w:fldCharType="separate"/>
                </w:r>
                <w:r>
                  <w:t>17</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97"/>
        <w:tab w:val="left" w:pos="6555"/>
      </w:tabs>
      <w:ind w:right="360" w:firstLine="0" w:firstLineChars="0"/>
    </w:pPr>
    <w:r>
      <w:pict>
        <v:shape id="_x0000_s1029" o:spid="_x0000_s102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N1nprgbAgAAIwQAAA4A&#10;AAAAAAAAAQAgAAAAHwEAAGRycy9lMm9Eb2MueG1sUEsFBgAAAAAGAAYAWQEAAKwFAAAAAA==&#10;">
          <v:path/>
          <v:fill on="f" focussize="0,0"/>
          <v:stroke on="f" weight="0.5pt" joinstyle="miter"/>
          <v:imagedata o:title=""/>
          <o:lock v:ext="edit"/>
          <v:textbox inset="0mm,0mm,0mm,0mm" style="mso-fit-shape-to-text:t;">
            <w:txbxContent>
              <w:p>
                <w:pPr>
                  <w:pStyle w:val="10"/>
                  <w:ind w:firstLine="360"/>
                </w:pPr>
                <w:r>
                  <w:fldChar w:fldCharType="begin"/>
                </w:r>
                <w:r>
                  <w:instrText xml:space="preserve"> PAGE  \* MERGEFORMAT </w:instrText>
                </w:r>
                <w:r>
                  <w:fldChar w:fldCharType="separate"/>
                </w:r>
                <w:r>
                  <w:t>71</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0" w:leftChars="0" w:firstLine="0" w:firstLineChars="0"/>
      <w:rPr>
        <w:rFonts w:eastAsia="Times New Roman"/>
        <w:sz w:val="18"/>
        <w:szCs w:val="18"/>
      </w:rPr>
    </w:pPr>
    <w:r>
      <w:rPr>
        <w:sz w:val="18"/>
      </w:rPr>
      <w:pict>
        <v:shape id="_x0000_s1027" o:spid="_x0000_s1027"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DMzIcAgAAIwQAAA4AAABkcnMvZTJvRG9jLnhtbK1Ty47TMBTdI/EP&#10;lvc0adEM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vXpDiWYKMzp9/3b68ev08yvBHwBqrZ/BbmNhGbq3psOgh3+Pz9h3&#10;VzkVb3REoAfUxwu8oguER6fpZDrNoeLQDQ/Ezx7drfPhnTCKRKGgDvNLsLLD2ofedDCJ2bRZNVKm&#10;GUpN2oJev77K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CfAzMyHAIAACMEAAAO&#10;AAAAAAAAAAEAIAAAAB8BAABkcnMvZTJvRG9jLnhtbFBLBQYAAAAABgAGAFkBAACtBQAAAAA=&#10;">
          <v:path/>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131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0"/>
        <w:bottom w:val="none" w:color="auto" w:sz="0" w:space="1"/>
        <w:right w:val="none" w:color="auto" w:sz="0" w:space="0"/>
        <w:between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pPr>
    <w:r>
      <w:rPr>
        <w:rFonts w:hint="eastAsia"/>
        <w:lang w:val="en-US" w:eastAsia="zh-CN"/>
      </w:rPr>
      <w:t>桦川县马库力山采石场</w:t>
    </w:r>
    <w:r>
      <w:t>矿区生态修复方案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05"/>
  <w:drawingGridVerticalSpacing w:val="168"/>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Y2MzNlN2NlNDUxMWFlNmFjMDMwZjEzYTkzYjNiYmMifQ=="/>
    <w:docVar w:name="KSO_WPS_MARK_KEY" w:val="33f7fd09-5dda-4880-bbd4-d5bda648f371"/>
    <w:docVar w:name="OfficeWordTocPaginationV1" w:val="v5:4cfe27405682a6f76ec3d34ef672a16e87e9f26a1388d196f1446db167902b62:f789db145c4f267b4653bce43afdd15aab25327563c76a27e0b49f04f9ba007b:f93e4804e603e20d751c3e4ff2f5724b151b3a07748a94444b147ed8226843d9"/>
  </w:docVars>
  <w:rsids>
    <w:rsidRoot w:val="00172A27"/>
    <w:rsid w:val="00000D22"/>
    <w:rsid w:val="00000DB4"/>
    <w:rsid w:val="00002D3D"/>
    <w:rsid w:val="000051A1"/>
    <w:rsid w:val="0001221A"/>
    <w:rsid w:val="00013F48"/>
    <w:rsid w:val="0001435A"/>
    <w:rsid w:val="00014504"/>
    <w:rsid w:val="00014678"/>
    <w:rsid w:val="00017A21"/>
    <w:rsid w:val="00020881"/>
    <w:rsid w:val="00020B9D"/>
    <w:rsid w:val="0002117A"/>
    <w:rsid w:val="00021502"/>
    <w:rsid w:val="00024755"/>
    <w:rsid w:val="00024D21"/>
    <w:rsid w:val="0003013B"/>
    <w:rsid w:val="00030225"/>
    <w:rsid w:val="000302BD"/>
    <w:rsid w:val="000318DF"/>
    <w:rsid w:val="00033A21"/>
    <w:rsid w:val="00033D4F"/>
    <w:rsid w:val="00034E85"/>
    <w:rsid w:val="0003642B"/>
    <w:rsid w:val="000370F3"/>
    <w:rsid w:val="00040E09"/>
    <w:rsid w:val="00041FFA"/>
    <w:rsid w:val="00043E0A"/>
    <w:rsid w:val="00044629"/>
    <w:rsid w:val="00047D13"/>
    <w:rsid w:val="00047DB5"/>
    <w:rsid w:val="00050E7E"/>
    <w:rsid w:val="000546FD"/>
    <w:rsid w:val="00054799"/>
    <w:rsid w:val="00055E14"/>
    <w:rsid w:val="00057654"/>
    <w:rsid w:val="00060C6A"/>
    <w:rsid w:val="000619EB"/>
    <w:rsid w:val="00062CE6"/>
    <w:rsid w:val="00064405"/>
    <w:rsid w:val="000659B8"/>
    <w:rsid w:val="00065D13"/>
    <w:rsid w:val="0006607C"/>
    <w:rsid w:val="000665EF"/>
    <w:rsid w:val="00066C7C"/>
    <w:rsid w:val="0006718B"/>
    <w:rsid w:val="000711A0"/>
    <w:rsid w:val="000715A0"/>
    <w:rsid w:val="00072029"/>
    <w:rsid w:val="00072C34"/>
    <w:rsid w:val="00073534"/>
    <w:rsid w:val="00074461"/>
    <w:rsid w:val="00074ADD"/>
    <w:rsid w:val="000750AD"/>
    <w:rsid w:val="0007631A"/>
    <w:rsid w:val="000767F0"/>
    <w:rsid w:val="00084CB9"/>
    <w:rsid w:val="00086E8A"/>
    <w:rsid w:val="00087120"/>
    <w:rsid w:val="00087308"/>
    <w:rsid w:val="0008794A"/>
    <w:rsid w:val="00090651"/>
    <w:rsid w:val="00090FBC"/>
    <w:rsid w:val="00096DF5"/>
    <w:rsid w:val="0009752E"/>
    <w:rsid w:val="00097B98"/>
    <w:rsid w:val="000A139E"/>
    <w:rsid w:val="000A1B1D"/>
    <w:rsid w:val="000A3F74"/>
    <w:rsid w:val="000A3FE4"/>
    <w:rsid w:val="000A4583"/>
    <w:rsid w:val="000A747B"/>
    <w:rsid w:val="000B0DE6"/>
    <w:rsid w:val="000B123C"/>
    <w:rsid w:val="000B32BB"/>
    <w:rsid w:val="000B3397"/>
    <w:rsid w:val="000B39EF"/>
    <w:rsid w:val="000B3A62"/>
    <w:rsid w:val="000B44D3"/>
    <w:rsid w:val="000B453B"/>
    <w:rsid w:val="000B5575"/>
    <w:rsid w:val="000C15DE"/>
    <w:rsid w:val="000C1BD9"/>
    <w:rsid w:val="000C31BF"/>
    <w:rsid w:val="000C592B"/>
    <w:rsid w:val="000C6236"/>
    <w:rsid w:val="000C696C"/>
    <w:rsid w:val="000C7351"/>
    <w:rsid w:val="000C7FBB"/>
    <w:rsid w:val="000D266E"/>
    <w:rsid w:val="000D3C10"/>
    <w:rsid w:val="000D69EB"/>
    <w:rsid w:val="000D7CBE"/>
    <w:rsid w:val="000E1B3E"/>
    <w:rsid w:val="000E1D44"/>
    <w:rsid w:val="000E22E9"/>
    <w:rsid w:val="000E271C"/>
    <w:rsid w:val="000E3BF9"/>
    <w:rsid w:val="000E482C"/>
    <w:rsid w:val="000E4E83"/>
    <w:rsid w:val="000E5D71"/>
    <w:rsid w:val="000E703E"/>
    <w:rsid w:val="000E7AFB"/>
    <w:rsid w:val="000E7FF7"/>
    <w:rsid w:val="000F1C3D"/>
    <w:rsid w:val="000F1D85"/>
    <w:rsid w:val="000F2103"/>
    <w:rsid w:val="000F48D7"/>
    <w:rsid w:val="000F59BE"/>
    <w:rsid w:val="000F63DA"/>
    <w:rsid w:val="001018CC"/>
    <w:rsid w:val="00101BF9"/>
    <w:rsid w:val="0010262A"/>
    <w:rsid w:val="00102868"/>
    <w:rsid w:val="001051CD"/>
    <w:rsid w:val="00107DE6"/>
    <w:rsid w:val="00110307"/>
    <w:rsid w:val="001123FB"/>
    <w:rsid w:val="001153EC"/>
    <w:rsid w:val="00115DAC"/>
    <w:rsid w:val="0011713E"/>
    <w:rsid w:val="00120812"/>
    <w:rsid w:val="0012373A"/>
    <w:rsid w:val="00124BF5"/>
    <w:rsid w:val="00125904"/>
    <w:rsid w:val="0012620F"/>
    <w:rsid w:val="001274FA"/>
    <w:rsid w:val="00127957"/>
    <w:rsid w:val="0012799D"/>
    <w:rsid w:val="00127A2C"/>
    <w:rsid w:val="0013198C"/>
    <w:rsid w:val="001363C7"/>
    <w:rsid w:val="00137BAA"/>
    <w:rsid w:val="00137D8E"/>
    <w:rsid w:val="00146F7A"/>
    <w:rsid w:val="00150992"/>
    <w:rsid w:val="00150C69"/>
    <w:rsid w:val="00151DD4"/>
    <w:rsid w:val="0015308E"/>
    <w:rsid w:val="00153411"/>
    <w:rsid w:val="00154D99"/>
    <w:rsid w:val="0015559A"/>
    <w:rsid w:val="00160F0F"/>
    <w:rsid w:val="0016148F"/>
    <w:rsid w:val="00163609"/>
    <w:rsid w:val="00164A8A"/>
    <w:rsid w:val="001655C0"/>
    <w:rsid w:val="00166D5D"/>
    <w:rsid w:val="001673BE"/>
    <w:rsid w:val="0017088A"/>
    <w:rsid w:val="00171476"/>
    <w:rsid w:val="00172A27"/>
    <w:rsid w:val="001731FF"/>
    <w:rsid w:val="00173B6B"/>
    <w:rsid w:val="00174253"/>
    <w:rsid w:val="00177254"/>
    <w:rsid w:val="0017778F"/>
    <w:rsid w:val="00180CDB"/>
    <w:rsid w:val="00181B27"/>
    <w:rsid w:val="00181D41"/>
    <w:rsid w:val="0018260C"/>
    <w:rsid w:val="00182821"/>
    <w:rsid w:val="001829DA"/>
    <w:rsid w:val="00184DF0"/>
    <w:rsid w:val="00185439"/>
    <w:rsid w:val="001855CA"/>
    <w:rsid w:val="0018741B"/>
    <w:rsid w:val="0018795C"/>
    <w:rsid w:val="001923A9"/>
    <w:rsid w:val="00192451"/>
    <w:rsid w:val="00192AB8"/>
    <w:rsid w:val="001940A5"/>
    <w:rsid w:val="00196A92"/>
    <w:rsid w:val="00196C05"/>
    <w:rsid w:val="00197CA6"/>
    <w:rsid w:val="001A1B2B"/>
    <w:rsid w:val="001A2E03"/>
    <w:rsid w:val="001A2E22"/>
    <w:rsid w:val="001B3BAC"/>
    <w:rsid w:val="001B4C09"/>
    <w:rsid w:val="001B5890"/>
    <w:rsid w:val="001B5FCE"/>
    <w:rsid w:val="001B7929"/>
    <w:rsid w:val="001C15A6"/>
    <w:rsid w:val="001C17C8"/>
    <w:rsid w:val="001C3C9B"/>
    <w:rsid w:val="001C6E20"/>
    <w:rsid w:val="001D0406"/>
    <w:rsid w:val="001D1E75"/>
    <w:rsid w:val="001D1F2D"/>
    <w:rsid w:val="001D2698"/>
    <w:rsid w:val="001D3BCB"/>
    <w:rsid w:val="001D3FAA"/>
    <w:rsid w:val="001D4206"/>
    <w:rsid w:val="001D4EB5"/>
    <w:rsid w:val="001D545D"/>
    <w:rsid w:val="001D5A62"/>
    <w:rsid w:val="001D723F"/>
    <w:rsid w:val="001D7383"/>
    <w:rsid w:val="001E0D6A"/>
    <w:rsid w:val="001E28FA"/>
    <w:rsid w:val="001E321C"/>
    <w:rsid w:val="001E5191"/>
    <w:rsid w:val="001F3AF1"/>
    <w:rsid w:val="001F40FF"/>
    <w:rsid w:val="001F42C6"/>
    <w:rsid w:val="001F71EA"/>
    <w:rsid w:val="001F72FD"/>
    <w:rsid w:val="001F7BAE"/>
    <w:rsid w:val="001F7CE6"/>
    <w:rsid w:val="00200D7B"/>
    <w:rsid w:val="00205088"/>
    <w:rsid w:val="00207982"/>
    <w:rsid w:val="00207C03"/>
    <w:rsid w:val="002102F5"/>
    <w:rsid w:val="00213372"/>
    <w:rsid w:val="002139AD"/>
    <w:rsid w:val="00213CF6"/>
    <w:rsid w:val="00215BAD"/>
    <w:rsid w:val="00217003"/>
    <w:rsid w:val="00217584"/>
    <w:rsid w:val="00220B08"/>
    <w:rsid w:val="00224777"/>
    <w:rsid w:val="00226425"/>
    <w:rsid w:val="00230BFA"/>
    <w:rsid w:val="002312E1"/>
    <w:rsid w:val="00232E57"/>
    <w:rsid w:val="002341CA"/>
    <w:rsid w:val="00237A6E"/>
    <w:rsid w:val="00237B09"/>
    <w:rsid w:val="00237BF4"/>
    <w:rsid w:val="002401D3"/>
    <w:rsid w:val="00241510"/>
    <w:rsid w:val="002425BE"/>
    <w:rsid w:val="00242AC9"/>
    <w:rsid w:val="00243E65"/>
    <w:rsid w:val="002461E7"/>
    <w:rsid w:val="00246374"/>
    <w:rsid w:val="00246A4B"/>
    <w:rsid w:val="00247343"/>
    <w:rsid w:val="0025151F"/>
    <w:rsid w:val="002548AA"/>
    <w:rsid w:val="00261A80"/>
    <w:rsid w:val="00264491"/>
    <w:rsid w:val="002644C9"/>
    <w:rsid w:val="002648BC"/>
    <w:rsid w:val="00264C6F"/>
    <w:rsid w:val="00266DD0"/>
    <w:rsid w:val="002720BD"/>
    <w:rsid w:val="0027256A"/>
    <w:rsid w:val="00272B7B"/>
    <w:rsid w:val="00272F7F"/>
    <w:rsid w:val="002732CC"/>
    <w:rsid w:val="0027449D"/>
    <w:rsid w:val="00275FA2"/>
    <w:rsid w:val="00276B60"/>
    <w:rsid w:val="0027735E"/>
    <w:rsid w:val="00280066"/>
    <w:rsid w:val="00281918"/>
    <w:rsid w:val="00282BA8"/>
    <w:rsid w:val="00283D36"/>
    <w:rsid w:val="002846A6"/>
    <w:rsid w:val="0028658A"/>
    <w:rsid w:val="00286FA0"/>
    <w:rsid w:val="00287557"/>
    <w:rsid w:val="00291673"/>
    <w:rsid w:val="002928A7"/>
    <w:rsid w:val="00292B7E"/>
    <w:rsid w:val="00294901"/>
    <w:rsid w:val="002951B6"/>
    <w:rsid w:val="002953D2"/>
    <w:rsid w:val="00295CA6"/>
    <w:rsid w:val="00295F90"/>
    <w:rsid w:val="00296707"/>
    <w:rsid w:val="00297533"/>
    <w:rsid w:val="002A147B"/>
    <w:rsid w:val="002A1AB2"/>
    <w:rsid w:val="002A2035"/>
    <w:rsid w:val="002A2EBD"/>
    <w:rsid w:val="002A5451"/>
    <w:rsid w:val="002A58FB"/>
    <w:rsid w:val="002A5FA3"/>
    <w:rsid w:val="002A5FC5"/>
    <w:rsid w:val="002A6035"/>
    <w:rsid w:val="002B0039"/>
    <w:rsid w:val="002B2AAA"/>
    <w:rsid w:val="002B2DC6"/>
    <w:rsid w:val="002B3AB6"/>
    <w:rsid w:val="002B57DE"/>
    <w:rsid w:val="002C1E04"/>
    <w:rsid w:val="002C2305"/>
    <w:rsid w:val="002C32E2"/>
    <w:rsid w:val="002C3E25"/>
    <w:rsid w:val="002C4769"/>
    <w:rsid w:val="002C4856"/>
    <w:rsid w:val="002C4907"/>
    <w:rsid w:val="002C4B45"/>
    <w:rsid w:val="002C5E87"/>
    <w:rsid w:val="002D0E50"/>
    <w:rsid w:val="002D4322"/>
    <w:rsid w:val="002D60EE"/>
    <w:rsid w:val="002D6904"/>
    <w:rsid w:val="002D701B"/>
    <w:rsid w:val="002D7E40"/>
    <w:rsid w:val="002D7EBB"/>
    <w:rsid w:val="002E22C6"/>
    <w:rsid w:val="002E3BF5"/>
    <w:rsid w:val="002E3E08"/>
    <w:rsid w:val="002E6ABD"/>
    <w:rsid w:val="002E748B"/>
    <w:rsid w:val="002F0249"/>
    <w:rsid w:val="002F05C3"/>
    <w:rsid w:val="002F1368"/>
    <w:rsid w:val="002F50FD"/>
    <w:rsid w:val="002F5411"/>
    <w:rsid w:val="002F5F1B"/>
    <w:rsid w:val="002F7038"/>
    <w:rsid w:val="003007C4"/>
    <w:rsid w:val="00300F23"/>
    <w:rsid w:val="00303686"/>
    <w:rsid w:val="003042E0"/>
    <w:rsid w:val="00304F29"/>
    <w:rsid w:val="00305FD6"/>
    <w:rsid w:val="003075ED"/>
    <w:rsid w:val="003076D6"/>
    <w:rsid w:val="00310B07"/>
    <w:rsid w:val="003115C9"/>
    <w:rsid w:val="00311E04"/>
    <w:rsid w:val="00312E8A"/>
    <w:rsid w:val="00313799"/>
    <w:rsid w:val="00315939"/>
    <w:rsid w:val="00321751"/>
    <w:rsid w:val="00322CD7"/>
    <w:rsid w:val="00324002"/>
    <w:rsid w:val="00326383"/>
    <w:rsid w:val="003275BC"/>
    <w:rsid w:val="003323AD"/>
    <w:rsid w:val="00334D54"/>
    <w:rsid w:val="00335986"/>
    <w:rsid w:val="00335988"/>
    <w:rsid w:val="0033603D"/>
    <w:rsid w:val="0033627D"/>
    <w:rsid w:val="00336497"/>
    <w:rsid w:val="00336716"/>
    <w:rsid w:val="00336D08"/>
    <w:rsid w:val="00337425"/>
    <w:rsid w:val="00337C08"/>
    <w:rsid w:val="00337F9A"/>
    <w:rsid w:val="0034455A"/>
    <w:rsid w:val="00347838"/>
    <w:rsid w:val="00350A82"/>
    <w:rsid w:val="00351BB1"/>
    <w:rsid w:val="003530CC"/>
    <w:rsid w:val="0035474A"/>
    <w:rsid w:val="003567C6"/>
    <w:rsid w:val="00356CF7"/>
    <w:rsid w:val="00356F4A"/>
    <w:rsid w:val="0036424C"/>
    <w:rsid w:val="00366E60"/>
    <w:rsid w:val="00367F66"/>
    <w:rsid w:val="00370E18"/>
    <w:rsid w:val="0037269C"/>
    <w:rsid w:val="0037389E"/>
    <w:rsid w:val="00373B0E"/>
    <w:rsid w:val="003746FA"/>
    <w:rsid w:val="00375AFC"/>
    <w:rsid w:val="00377076"/>
    <w:rsid w:val="003779A5"/>
    <w:rsid w:val="00382C44"/>
    <w:rsid w:val="00382E92"/>
    <w:rsid w:val="00383E01"/>
    <w:rsid w:val="003840C3"/>
    <w:rsid w:val="00384495"/>
    <w:rsid w:val="00384630"/>
    <w:rsid w:val="00384E96"/>
    <w:rsid w:val="00385B17"/>
    <w:rsid w:val="00387125"/>
    <w:rsid w:val="00387234"/>
    <w:rsid w:val="00387280"/>
    <w:rsid w:val="00390801"/>
    <w:rsid w:val="00390DA8"/>
    <w:rsid w:val="003918BC"/>
    <w:rsid w:val="003918E2"/>
    <w:rsid w:val="00394C15"/>
    <w:rsid w:val="00396350"/>
    <w:rsid w:val="003A19F8"/>
    <w:rsid w:val="003A32C5"/>
    <w:rsid w:val="003A3A7D"/>
    <w:rsid w:val="003A3B12"/>
    <w:rsid w:val="003A3ED5"/>
    <w:rsid w:val="003A5295"/>
    <w:rsid w:val="003A5DD8"/>
    <w:rsid w:val="003A79AF"/>
    <w:rsid w:val="003B2738"/>
    <w:rsid w:val="003B2A4D"/>
    <w:rsid w:val="003B4814"/>
    <w:rsid w:val="003B5439"/>
    <w:rsid w:val="003B643A"/>
    <w:rsid w:val="003B7C8A"/>
    <w:rsid w:val="003C0CB5"/>
    <w:rsid w:val="003C3964"/>
    <w:rsid w:val="003C3FA3"/>
    <w:rsid w:val="003C468C"/>
    <w:rsid w:val="003C5930"/>
    <w:rsid w:val="003C6BF6"/>
    <w:rsid w:val="003C6FB5"/>
    <w:rsid w:val="003D1380"/>
    <w:rsid w:val="003D3B17"/>
    <w:rsid w:val="003D53D5"/>
    <w:rsid w:val="003D5445"/>
    <w:rsid w:val="003D6848"/>
    <w:rsid w:val="003E1D88"/>
    <w:rsid w:val="003E2FB6"/>
    <w:rsid w:val="003E40AF"/>
    <w:rsid w:val="003E6B17"/>
    <w:rsid w:val="003E7021"/>
    <w:rsid w:val="003E78CD"/>
    <w:rsid w:val="003F0B62"/>
    <w:rsid w:val="003F4352"/>
    <w:rsid w:val="003F4653"/>
    <w:rsid w:val="003F5DAA"/>
    <w:rsid w:val="003F7CA3"/>
    <w:rsid w:val="00401E25"/>
    <w:rsid w:val="00404081"/>
    <w:rsid w:val="004060D3"/>
    <w:rsid w:val="00406469"/>
    <w:rsid w:val="00406D96"/>
    <w:rsid w:val="00407C3E"/>
    <w:rsid w:val="0041126C"/>
    <w:rsid w:val="004113D3"/>
    <w:rsid w:val="004136A0"/>
    <w:rsid w:val="00413D41"/>
    <w:rsid w:val="00416877"/>
    <w:rsid w:val="00417B36"/>
    <w:rsid w:val="00422D3C"/>
    <w:rsid w:val="00423ACD"/>
    <w:rsid w:val="004240F0"/>
    <w:rsid w:val="004243BA"/>
    <w:rsid w:val="004256B7"/>
    <w:rsid w:val="00425B39"/>
    <w:rsid w:val="00426A16"/>
    <w:rsid w:val="004274E1"/>
    <w:rsid w:val="00427F9F"/>
    <w:rsid w:val="00430EA8"/>
    <w:rsid w:val="004311C5"/>
    <w:rsid w:val="00431B34"/>
    <w:rsid w:val="004354FF"/>
    <w:rsid w:val="00435AFE"/>
    <w:rsid w:val="00437C82"/>
    <w:rsid w:val="0044276F"/>
    <w:rsid w:val="004427BD"/>
    <w:rsid w:val="00442D24"/>
    <w:rsid w:val="00444D10"/>
    <w:rsid w:val="004455E1"/>
    <w:rsid w:val="00446423"/>
    <w:rsid w:val="00447923"/>
    <w:rsid w:val="00447C59"/>
    <w:rsid w:val="004505C2"/>
    <w:rsid w:val="00450BE3"/>
    <w:rsid w:val="004525F9"/>
    <w:rsid w:val="00453688"/>
    <w:rsid w:val="00453EA8"/>
    <w:rsid w:val="004553FC"/>
    <w:rsid w:val="00456E9B"/>
    <w:rsid w:val="004617CC"/>
    <w:rsid w:val="00462828"/>
    <w:rsid w:val="00463289"/>
    <w:rsid w:val="0046375D"/>
    <w:rsid w:val="00464FD0"/>
    <w:rsid w:val="00465ACC"/>
    <w:rsid w:val="004660BF"/>
    <w:rsid w:val="00467638"/>
    <w:rsid w:val="00476DBD"/>
    <w:rsid w:val="00476FD8"/>
    <w:rsid w:val="00477365"/>
    <w:rsid w:val="00481283"/>
    <w:rsid w:val="00483260"/>
    <w:rsid w:val="00483A26"/>
    <w:rsid w:val="00484651"/>
    <w:rsid w:val="00485310"/>
    <w:rsid w:val="00486AE7"/>
    <w:rsid w:val="00490FF6"/>
    <w:rsid w:val="004910AC"/>
    <w:rsid w:val="00491781"/>
    <w:rsid w:val="00491B5C"/>
    <w:rsid w:val="00491C8A"/>
    <w:rsid w:val="00493015"/>
    <w:rsid w:val="00493086"/>
    <w:rsid w:val="00494F7C"/>
    <w:rsid w:val="00496DA9"/>
    <w:rsid w:val="004A188E"/>
    <w:rsid w:val="004A1AAA"/>
    <w:rsid w:val="004A44C4"/>
    <w:rsid w:val="004A587B"/>
    <w:rsid w:val="004A59BA"/>
    <w:rsid w:val="004A657C"/>
    <w:rsid w:val="004A6AF4"/>
    <w:rsid w:val="004A795C"/>
    <w:rsid w:val="004B0539"/>
    <w:rsid w:val="004B1565"/>
    <w:rsid w:val="004B2B21"/>
    <w:rsid w:val="004B2CD1"/>
    <w:rsid w:val="004B3265"/>
    <w:rsid w:val="004B39AE"/>
    <w:rsid w:val="004B3FD8"/>
    <w:rsid w:val="004B417F"/>
    <w:rsid w:val="004B48CF"/>
    <w:rsid w:val="004B5AFD"/>
    <w:rsid w:val="004B5D68"/>
    <w:rsid w:val="004B5DD4"/>
    <w:rsid w:val="004B752C"/>
    <w:rsid w:val="004C0A9D"/>
    <w:rsid w:val="004C1086"/>
    <w:rsid w:val="004C2C06"/>
    <w:rsid w:val="004C3482"/>
    <w:rsid w:val="004C3874"/>
    <w:rsid w:val="004C3EEE"/>
    <w:rsid w:val="004C5B3F"/>
    <w:rsid w:val="004C67CE"/>
    <w:rsid w:val="004C72F3"/>
    <w:rsid w:val="004D05A4"/>
    <w:rsid w:val="004D563B"/>
    <w:rsid w:val="004D60A2"/>
    <w:rsid w:val="004D7260"/>
    <w:rsid w:val="004D7BA6"/>
    <w:rsid w:val="004E053D"/>
    <w:rsid w:val="004E1676"/>
    <w:rsid w:val="004E29EC"/>
    <w:rsid w:val="004E37BC"/>
    <w:rsid w:val="004E3C24"/>
    <w:rsid w:val="004E5344"/>
    <w:rsid w:val="004E596A"/>
    <w:rsid w:val="004E616D"/>
    <w:rsid w:val="004E6777"/>
    <w:rsid w:val="004E7104"/>
    <w:rsid w:val="004F16AB"/>
    <w:rsid w:val="004F2F9E"/>
    <w:rsid w:val="004F39F6"/>
    <w:rsid w:val="004F4538"/>
    <w:rsid w:val="004F5667"/>
    <w:rsid w:val="004F6945"/>
    <w:rsid w:val="00500535"/>
    <w:rsid w:val="00501EA1"/>
    <w:rsid w:val="00502473"/>
    <w:rsid w:val="00502C2E"/>
    <w:rsid w:val="00502CCA"/>
    <w:rsid w:val="00504603"/>
    <w:rsid w:val="00506199"/>
    <w:rsid w:val="00506275"/>
    <w:rsid w:val="00512181"/>
    <w:rsid w:val="0051596C"/>
    <w:rsid w:val="00515D14"/>
    <w:rsid w:val="00516B4F"/>
    <w:rsid w:val="00516D5C"/>
    <w:rsid w:val="005232F6"/>
    <w:rsid w:val="005233D3"/>
    <w:rsid w:val="00523FDA"/>
    <w:rsid w:val="00525A01"/>
    <w:rsid w:val="0052640C"/>
    <w:rsid w:val="00527EAE"/>
    <w:rsid w:val="005323B2"/>
    <w:rsid w:val="0053586E"/>
    <w:rsid w:val="00537135"/>
    <w:rsid w:val="0054014C"/>
    <w:rsid w:val="00541365"/>
    <w:rsid w:val="005429A7"/>
    <w:rsid w:val="00542BAF"/>
    <w:rsid w:val="00543506"/>
    <w:rsid w:val="005438C6"/>
    <w:rsid w:val="00544A40"/>
    <w:rsid w:val="00547358"/>
    <w:rsid w:val="005507E0"/>
    <w:rsid w:val="00551463"/>
    <w:rsid w:val="00551AB0"/>
    <w:rsid w:val="00555704"/>
    <w:rsid w:val="0055709D"/>
    <w:rsid w:val="00560311"/>
    <w:rsid w:val="00560FA8"/>
    <w:rsid w:val="0056176A"/>
    <w:rsid w:val="005635A3"/>
    <w:rsid w:val="00564BCA"/>
    <w:rsid w:val="005653FD"/>
    <w:rsid w:val="00565435"/>
    <w:rsid w:val="00566352"/>
    <w:rsid w:val="005678D2"/>
    <w:rsid w:val="005704EC"/>
    <w:rsid w:val="005736D6"/>
    <w:rsid w:val="00574A25"/>
    <w:rsid w:val="0057512E"/>
    <w:rsid w:val="00575FB5"/>
    <w:rsid w:val="005771BB"/>
    <w:rsid w:val="0058043E"/>
    <w:rsid w:val="00580542"/>
    <w:rsid w:val="005809EF"/>
    <w:rsid w:val="0058143A"/>
    <w:rsid w:val="00581BE8"/>
    <w:rsid w:val="00583816"/>
    <w:rsid w:val="00583E3B"/>
    <w:rsid w:val="0058627B"/>
    <w:rsid w:val="00586A94"/>
    <w:rsid w:val="0058716F"/>
    <w:rsid w:val="0059045B"/>
    <w:rsid w:val="00590D0C"/>
    <w:rsid w:val="00591AE1"/>
    <w:rsid w:val="00593490"/>
    <w:rsid w:val="00594B3E"/>
    <w:rsid w:val="005958A3"/>
    <w:rsid w:val="00595BE3"/>
    <w:rsid w:val="00595D1F"/>
    <w:rsid w:val="00596BCB"/>
    <w:rsid w:val="00596DBD"/>
    <w:rsid w:val="00597CE2"/>
    <w:rsid w:val="005A1830"/>
    <w:rsid w:val="005A1C67"/>
    <w:rsid w:val="005A2025"/>
    <w:rsid w:val="005A3BCC"/>
    <w:rsid w:val="005A45CF"/>
    <w:rsid w:val="005A4A3E"/>
    <w:rsid w:val="005A77E2"/>
    <w:rsid w:val="005B0BDA"/>
    <w:rsid w:val="005B2046"/>
    <w:rsid w:val="005B2A63"/>
    <w:rsid w:val="005B4592"/>
    <w:rsid w:val="005B4B41"/>
    <w:rsid w:val="005B5D14"/>
    <w:rsid w:val="005B5D19"/>
    <w:rsid w:val="005B6935"/>
    <w:rsid w:val="005B6BD2"/>
    <w:rsid w:val="005B78F3"/>
    <w:rsid w:val="005C0B85"/>
    <w:rsid w:val="005C0F50"/>
    <w:rsid w:val="005C1657"/>
    <w:rsid w:val="005C1F16"/>
    <w:rsid w:val="005C2616"/>
    <w:rsid w:val="005C2DA9"/>
    <w:rsid w:val="005C2EC2"/>
    <w:rsid w:val="005C42D4"/>
    <w:rsid w:val="005C4A79"/>
    <w:rsid w:val="005C5173"/>
    <w:rsid w:val="005C67AE"/>
    <w:rsid w:val="005C790E"/>
    <w:rsid w:val="005D0475"/>
    <w:rsid w:val="005D2664"/>
    <w:rsid w:val="005D3505"/>
    <w:rsid w:val="005D3E09"/>
    <w:rsid w:val="005D40CF"/>
    <w:rsid w:val="005D48C6"/>
    <w:rsid w:val="005D54C7"/>
    <w:rsid w:val="005D62B3"/>
    <w:rsid w:val="005D7BB1"/>
    <w:rsid w:val="005D7F40"/>
    <w:rsid w:val="005E025E"/>
    <w:rsid w:val="005E178D"/>
    <w:rsid w:val="005E1C01"/>
    <w:rsid w:val="005E2EEC"/>
    <w:rsid w:val="005E5380"/>
    <w:rsid w:val="005F018E"/>
    <w:rsid w:val="005F0B27"/>
    <w:rsid w:val="005F16D8"/>
    <w:rsid w:val="005F1B58"/>
    <w:rsid w:val="005F1E60"/>
    <w:rsid w:val="005F205B"/>
    <w:rsid w:val="005F5412"/>
    <w:rsid w:val="005F58D3"/>
    <w:rsid w:val="005F70D4"/>
    <w:rsid w:val="00600BF9"/>
    <w:rsid w:val="00602749"/>
    <w:rsid w:val="00603B54"/>
    <w:rsid w:val="006053C2"/>
    <w:rsid w:val="006065D3"/>
    <w:rsid w:val="00607A10"/>
    <w:rsid w:val="0061035A"/>
    <w:rsid w:val="006111A3"/>
    <w:rsid w:val="0061329C"/>
    <w:rsid w:val="006133AF"/>
    <w:rsid w:val="00613C1C"/>
    <w:rsid w:val="00614B0A"/>
    <w:rsid w:val="00615128"/>
    <w:rsid w:val="0061659C"/>
    <w:rsid w:val="00617B2D"/>
    <w:rsid w:val="006206EC"/>
    <w:rsid w:val="00624CF0"/>
    <w:rsid w:val="00627CC1"/>
    <w:rsid w:val="00630866"/>
    <w:rsid w:val="006312F7"/>
    <w:rsid w:val="00631909"/>
    <w:rsid w:val="00631EF7"/>
    <w:rsid w:val="006327FF"/>
    <w:rsid w:val="00632932"/>
    <w:rsid w:val="00637BD3"/>
    <w:rsid w:val="0064364E"/>
    <w:rsid w:val="00645991"/>
    <w:rsid w:val="00645F50"/>
    <w:rsid w:val="00647307"/>
    <w:rsid w:val="00650311"/>
    <w:rsid w:val="00650787"/>
    <w:rsid w:val="00652783"/>
    <w:rsid w:val="00656C9C"/>
    <w:rsid w:val="00656D5A"/>
    <w:rsid w:val="00660061"/>
    <w:rsid w:val="00662918"/>
    <w:rsid w:val="006629B4"/>
    <w:rsid w:val="00662DC5"/>
    <w:rsid w:val="00662FCF"/>
    <w:rsid w:val="0066434C"/>
    <w:rsid w:val="006643D2"/>
    <w:rsid w:val="0066545E"/>
    <w:rsid w:val="006656E7"/>
    <w:rsid w:val="00665BAD"/>
    <w:rsid w:val="0066683C"/>
    <w:rsid w:val="00667453"/>
    <w:rsid w:val="0066787F"/>
    <w:rsid w:val="0066795B"/>
    <w:rsid w:val="00670D7D"/>
    <w:rsid w:val="00670E35"/>
    <w:rsid w:val="00676231"/>
    <w:rsid w:val="006763E4"/>
    <w:rsid w:val="00676741"/>
    <w:rsid w:val="006806C8"/>
    <w:rsid w:val="00681508"/>
    <w:rsid w:val="006816E0"/>
    <w:rsid w:val="006819F9"/>
    <w:rsid w:val="006824CF"/>
    <w:rsid w:val="00683440"/>
    <w:rsid w:val="00683BD0"/>
    <w:rsid w:val="00683C44"/>
    <w:rsid w:val="00683E19"/>
    <w:rsid w:val="006845B2"/>
    <w:rsid w:val="00684BDD"/>
    <w:rsid w:val="00685460"/>
    <w:rsid w:val="00687606"/>
    <w:rsid w:val="00687CD0"/>
    <w:rsid w:val="00690B6F"/>
    <w:rsid w:val="00693E84"/>
    <w:rsid w:val="00694990"/>
    <w:rsid w:val="00695848"/>
    <w:rsid w:val="006A14B9"/>
    <w:rsid w:val="006A2B66"/>
    <w:rsid w:val="006A2CF4"/>
    <w:rsid w:val="006A52FF"/>
    <w:rsid w:val="006A594B"/>
    <w:rsid w:val="006A6660"/>
    <w:rsid w:val="006B0CC4"/>
    <w:rsid w:val="006B1709"/>
    <w:rsid w:val="006B210C"/>
    <w:rsid w:val="006B3E46"/>
    <w:rsid w:val="006B63D9"/>
    <w:rsid w:val="006B75F3"/>
    <w:rsid w:val="006C0609"/>
    <w:rsid w:val="006C07DD"/>
    <w:rsid w:val="006C07E7"/>
    <w:rsid w:val="006C116B"/>
    <w:rsid w:val="006C184F"/>
    <w:rsid w:val="006C29C7"/>
    <w:rsid w:val="006C37AD"/>
    <w:rsid w:val="006C4833"/>
    <w:rsid w:val="006C4CF2"/>
    <w:rsid w:val="006C6538"/>
    <w:rsid w:val="006C6879"/>
    <w:rsid w:val="006D2A98"/>
    <w:rsid w:val="006D2F8F"/>
    <w:rsid w:val="006D5FCC"/>
    <w:rsid w:val="006D7CBC"/>
    <w:rsid w:val="006E07E6"/>
    <w:rsid w:val="006E2ECC"/>
    <w:rsid w:val="006E3F7E"/>
    <w:rsid w:val="006E5282"/>
    <w:rsid w:val="006E56F8"/>
    <w:rsid w:val="006E5D23"/>
    <w:rsid w:val="006E6810"/>
    <w:rsid w:val="006E7425"/>
    <w:rsid w:val="006F0690"/>
    <w:rsid w:val="006F08F0"/>
    <w:rsid w:val="006F3A0C"/>
    <w:rsid w:val="006F556F"/>
    <w:rsid w:val="006F6D12"/>
    <w:rsid w:val="007003CF"/>
    <w:rsid w:val="007010F2"/>
    <w:rsid w:val="0070181A"/>
    <w:rsid w:val="00702003"/>
    <w:rsid w:val="007020A5"/>
    <w:rsid w:val="007020A7"/>
    <w:rsid w:val="00702BEA"/>
    <w:rsid w:val="007046E4"/>
    <w:rsid w:val="00705108"/>
    <w:rsid w:val="00707B33"/>
    <w:rsid w:val="0071042C"/>
    <w:rsid w:val="007123AE"/>
    <w:rsid w:val="007126E5"/>
    <w:rsid w:val="0071294B"/>
    <w:rsid w:val="00714BC5"/>
    <w:rsid w:val="00716054"/>
    <w:rsid w:val="00716277"/>
    <w:rsid w:val="00717033"/>
    <w:rsid w:val="00724E70"/>
    <w:rsid w:val="0073049E"/>
    <w:rsid w:val="00730B86"/>
    <w:rsid w:val="007313CA"/>
    <w:rsid w:val="007319F7"/>
    <w:rsid w:val="007328B5"/>
    <w:rsid w:val="00735179"/>
    <w:rsid w:val="007359BD"/>
    <w:rsid w:val="00737207"/>
    <w:rsid w:val="00737315"/>
    <w:rsid w:val="00741844"/>
    <w:rsid w:val="007439F2"/>
    <w:rsid w:val="00744AB6"/>
    <w:rsid w:val="00744F94"/>
    <w:rsid w:val="0074702F"/>
    <w:rsid w:val="007511DD"/>
    <w:rsid w:val="00756142"/>
    <w:rsid w:val="0075649C"/>
    <w:rsid w:val="00756A39"/>
    <w:rsid w:val="00756EB7"/>
    <w:rsid w:val="00757B9E"/>
    <w:rsid w:val="00757DC7"/>
    <w:rsid w:val="0076206E"/>
    <w:rsid w:val="0076613F"/>
    <w:rsid w:val="00771CCE"/>
    <w:rsid w:val="00772058"/>
    <w:rsid w:val="00774327"/>
    <w:rsid w:val="00774E3E"/>
    <w:rsid w:val="00776DE8"/>
    <w:rsid w:val="007807F6"/>
    <w:rsid w:val="007816A7"/>
    <w:rsid w:val="007825A0"/>
    <w:rsid w:val="00782EF2"/>
    <w:rsid w:val="00782F4F"/>
    <w:rsid w:val="0078399C"/>
    <w:rsid w:val="00784A98"/>
    <w:rsid w:val="00784C64"/>
    <w:rsid w:val="00784C77"/>
    <w:rsid w:val="0078553E"/>
    <w:rsid w:val="00785B6C"/>
    <w:rsid w:val="0078634F"/>
    <w:rsid w:val="007865AB"/>
    <w:rsid w:val="0078677F"/>
    <w:rsid w:val="0079003C"/>
    <w:rsid w:val="00791B00"/>
    <w:rsid w:val="007920C6"/>
    <w:rsid w:val="0079215C"/>
    <w:rsid w:val="007946CC"/>
    <w:rsid w:val="00795AD3"/>
    <w:rsid w:val="00797463"/>
    <w:rsid w:val="007A0096"/>
    <w:rsid w:val="007A147E"/>
    <w:rsid w:val="007A52E3"/>
    <w:rsid w:val="007A56A4"/>
    <w:rsid w:val="007A6923"/>
    <w:rsid w:val="007A6CEF"/>
    <w:rsid w:val="007B198E"/>
    <w:rsid w:val="007B1AAF"/>
    <w:rsid w:val="007B2220"/>
    <w:rsid w:val="007B2350"/>
    <w:rsid w:val="007B2387"/>
    <w:rsid w:val="007B2640"/>
    <w:rsid w:val="007B354F"/>
    <w:rsid w:val="007B422E"/>
    <w:rsid w:val="007B4CA4"/>
    <w:rsid w:val="007B774B"/>
    <w:rsid w:val="007B7830"/>
    <w:rsid w:val="007B7836"/>
    <w:rsid w:val="007C01F4"/>
    <w:rsid w:val="007C38E2"/>
    <w:rsid w:val="007C3A22"/>
    <w:rsid w:val="007C3CEA"/>
    <w:rsid w:val="007C478A"/>
    <w:rsid w:val="007C717F"/>
    <w:rsid w:val="007D3ABE"/>
    <w:rsid w:val="007D6E6D"/>
    <w:rsid w:val="007D76F2"/>
    <w:rsid w:val="007E0EDD"/>
    <w:rsid w:val="007E2A64"/>
    <w:rsid w:val="007E4B75"/>
    <w:rsid w:val="007F20CF"/>
    <w:rsid w:val="007F290E"/>
    <w:rsid w:val="007F31E6"/>
    <w:rsid w:val="007F3626"/>
    <w:rsid w:val="007F3BC8"/>
    <w:rsid w:val="007F4ED2"/>
    <w:rsid w:val="007F5EC0"/>
    <w:rsid w:val="0080264F"/>
    <w:rsid w:val="008040D3"/>
    <w:rsid w:val="00804520"/>
    <w:rsid w:val="00806C30"/>
    <w:rsid w:val="0080738C"/>
    <w:rsid w:val="00810F29"/>
    <w:rsid w:val="0081193D"/>
    <w:rsid w:val="00814756"/>
    <w:rsid w:val="00816973"/>
    <w:rsid w:val="00816CB3"/>
    <w:rsid w:val="00817B13"/>
    <w:rsid w:val="00817E9D"/>
    <w:rsid w:val="0082058D"/>
    <w:rsid w:val="00820F0D"/>
    <w:rsid w:val="0082129D"/>
    <w:rsid w:val="0082176D"/>
    <w:rsid w:val="00823F2C"/>
    <w:rsid w:val="00825478"/>
    <w:rsid w:val="00826BA6"/>
    <w:rsid w:val="00826EF0"/>
    <w:rsid w:val="00831159"/>
    <w:rsid w:val="00833824"/>
    <w:rsid w:val="00834F8C"/>
    <w:rsid w:val="0083504C"/>
    <w:rsid w:val="008364C3"/>
    <w:rsid w:val="008376F9"/>
    <w:rsid w:val="008423AE"/>
    <w:rsid w:val="00843484"/>
    <w:rsid w:val="008436D9"/>
    <w:rsid w:val="008448F1"/>
    <w:rsid w:val="00846650"/>
    <w:rsid w:val="00846A63"/>
    <w:rsid w:val="008473EA"/>
    <w:rsid w:val="008522ED"/>
    <w:rsid w:val="008526C1"/>
    <w:rsid w:val="008529BC"/>
    <w:rsid w:val="0085332C"/>
    <w:rsid w:val="00853B07"/>
    <w:rsid w:val="00855217"/>
    <w:rsid w:val="00855760"/>
    <w:rsid w:val="00856179"/>
    <w:rsid w:val="00856A89"/>
    <w:rsid w:val="00857C4C"/>
    <w:rsid w:val="008607F1"/>
    <w:rsid w:val="00860E69"/>
    <w:rsid w:val="008623D7"/>
    <w:rsid w:val="00862B03"/>
    <w:rsid w:val="00863505"/>
    <w:rsid w:val="00867D42"/>
    <w:rsid w:val="00867EF7"/>
    <w:rsid w:val="00870254"/>
    <w:rsid w:val="0087078D"/>
    <w:rsid w:val="0087113C"/>
    <w:rsid w:val="00874F90"/>
    <w:rsid w:val="00875029"/>
    <w:rsid w:val="00875996"/>
    <w:rsid w:val="0088134B"/>
    <w:rsid w:val="00882627"/>
    <w:rsid w:val="00886758"/>
    <w:rsid w:val="00886BBD"/>
    <w:rsid w:val="00886ED7"/>
    <w:rsid w:val="008874F8"/>
    <w:rsid w:val="00887D93"/>
    <w:rsid w:val="008911B8"/>
    <w:rsid w:val="00891C49"/>
    <w:rsid w:val="0089226C"/>
    <w:rsid w:val="008926FC"/>
    <w:rsid w:val="008935A3"/>
    <w:rsid w:val="008939CB"/>
    <w:rsid w:val="008948C6"/>
    <w:rsid w:val="00896101"/>
    <w:rsid w:val="008963BB"/>
    <w:rsid w:val="008975F4"/>
    <w:rsid w:val="00897D7D"/>
    <w:rsid w:val="008A1DDD"/>
    <w:rsid w:val="008A3545"/>
    <w:rsid w:val="008A46F8"/>
    <w:rsid w:val="008A54AD"/>
    <w:rsid w:val="008A6275"/>
    <w:rsid w:val="008A65E7"/>
    <w:rsid w:val="008B0FD3"/>
    <w:rsid w:val="008B1669"/>
    <w:rsid w:val="008B24E5"/>
    <w:rsid w:val="008B28D3"/>
    <w:rsid w:val="008B37FD"/>
    <w:rsid w:val="008B53EA"/>
    <w:rsid w:val="008B5546"/>
    <w:rsid w:val="008B61E7"/>
    <w:rsid w:val="008B766D"/>
    <w:rsid w:val="008C03D6"/>
    <w:rsid w:val="008C12BC"/>
    <w:rsid w:val="008C1AFF"/>
    <w:rsid w:val="008C5234"/>
    <w:rsid w:val="008C6C96"/>
    <w:rsid w:val="008D1E0B"/>
    <w:rsid w:val="008D270C"/>
    <w:rsid w:val="008D3053"/>
    <w:rsid w:val="008D3358"/>
    <w:rsid w:val="008D6251"/>
    <w:rsid w:val="008D6513"/>
    <w:rsid w:val="008D7BEF"/>
    <w:rsid w:val="008D7F5B"/>
    <w:rsid w:val="008E038F"/>
    <w:rsid w:val="008E10EB"/>
    <w:rsid w:val="008E2A0E"/>
    <w:rsid w:val="008E3289"/>
    <w:rsid w:val="008E7AA8"/>
    <w:rsid w:val="008F1D93"/>
    <w:rsid w:val="008F28F5"/>
    <w:rsid w:val="008F583D"/>
    <w:rsid w:val="0090004C"/>
    <w:rsid w:val="009009CA"/>
    <w:rsid w:val="00901F8D"/>
    <w:rsid w:val="00901FBE"/>
    <w:rsid w:val="009023BA"/>
    <w:rsid w:val="00902C65"/>
    <w:rsid w:val="00904859"/>
    <w:rsid w:val="00905722"/>
    <w:rsid w:val="0091018C"/>
    <w:rsid w:val="009149A6"/>
    <w:rsid w:val="00914DDC"/>
    <w:rsid w:val="00916EEB"/>
    <w:rsid w:val="00920AB4"/>
    <w:rsid w:val="00920E18"/>
    <w:rsid w:val="00921428"/>
    <w:rsid w:val="00923EF0"/>
    <w:rsid w:val="00924CB9"/>
    <w:rsid w:val="00925433"/>
    <w:rsid w:val="00927E10"/>
    <w:rsid w:val="0093301C"/>
    <w:rsid w:val="00933B23"/>
    <w:rsid w:val="00934CC6"/>
    <w:rsid w:val="00935396"/>
    <w:rsid w:val="00935C81"/>
    <w:rsid w:val="00936FFA"/>
    <w:rsid w:val="009378D1"/>
    <w:rsid w:val="00937BFD"/>
    <w:rsid w:val="00942A85"/>
    <w:rsid w:val="009449DF"/>
    <w:rsid w:val="00950F1B"/>
    <w:rsid w:val="009530FE"/>
    <w:rsid w:val="009612F3"/>
    <w:rsid w:val="009624DF"/>
    <w:rsid w:val="00966928"/>
    <w:rsid w:val="00967EF3"/>
    <w:rsid w:val="00972070"/>
    <w:rsid w:val="0097281B"/>
    <w:rsid w:val="00973C0A"/>
    <w:rsid w:val="0097422A"/>
    <w:rsid w:val="00975BA4"/>
    <w:rsid w:val="00977A7B"/>
    <w:rsid w:val="00977ABB"/>
    <w:rsid w:val="00980D7C"/>
    <w:rsid w:val="00980DC8"/>
    <w:rsid w:val="0098238C"/>
    <w:rsid w:val="009831E8"/>
    <w:rsid w:val="0098388D"/>
    <w:rsid w:val="009848EE"/>
    <w:rsid w:val="0098642B"/>
    <w:rsid w:val="00986DB1"/>
    <w:rsid w:val="009901A6"/>
    <w:rsid w:val="009918C4"/>
    <w:rsid w:val="00991B08"/>
    <w:rsid w:val="0099254E"/>
    <w:rsid w:val="00994C8E"/>
    <w:rsid w:val="00994F79"/>
    <w:rsid w:val="00995671"/>
    <w:rsid w:val="00995779"/>
    <w:rsid w:val="00997D30"/>
    <w:rsid w:val="009A03CF"/>
    <w:rsid w:val="009A092A"/>
    <w:rsid w:val="009A0935"/>
    <w:rsid w:val="009A1B0B"/>
    <w:rsid w:val="009A2A66"/>
    <w:rsid w:val="009A2B45"/>
    <w:rsid w:val="009A2B9D"/>
    <w:rsid w:val="009A53C9"/>
    <w:rsid w:val="009A5B90"/>
    <w:rsid w:val="009A6D0E"/>
    <w:rsid w:val="009A764D"/>
    <w:rsid w:val="009B10C9"/>
    <w:rsid w:val="009B57E6"/>
    <w:rsid w:val="009B64A3"/>
    <w:rsid w:val="009B68F0"/>
    <w:rsid w:val="009B6906"/>
    <w:rsid w:val="009B6C38"/>
    <w:rsid w:val="009C0DA5"/>
    <w:rsid w:val="009C3543"/>
    <w:rsid w:val="009D02D0"/>
    <w:rsid w:val="009D0F9A"/>
    <w:rsid w:val="009D10D0"/>
    <w:rsid w:val="009D2730"/>
    <w:rsid w:val="009D3E19"/>
    <w:rsid w:val="009D6661"/>
    <w:rsid w:val="009E161C"/>
    <w:rsid w:val="009E1BCF"/>
    <w:rsid w:val="009E236C"/>
    <w:rsid w:val="009E31F6"/>
    <w:rsid w:val="009E40BE"/>
    <w:rsid w:val="009E754D"/>
    <w:rsid w:val="009F1290"/>
    <w:rsid w:val="009F1453"/>
    <w:rsid w:val="009F2388"/>
    <w:rsid w:val="009F491D"/>
    <w:rsid w:val="009F7CA0"/>
    <w:rsid w:val="00A00A8E"/>
    <w:rsid w:val="00A00AC0"/>
    <w:rsid w:val="00A035CB"/>
    <w:rsid w:val="00A06122"/>
    <w:rsid w:val="00A073B8"/>
    <w:rsid w:val="00A07FB3"/>
    <w:rsid w:val="00A11C1E"/>
    <w:rsid w:val="00A12111"/>
    <w:rsid w:val="00A12F8D"/>
    <w:rsid w:val="00A14A1C"/>
    <w:rsid w:val="00A14E4C"/>
    <w:rsid w:val="00A158BF"/>
    <w:rsid w:val="00A1630B"/>
    <w:rsid w:val="00A163CA"/>
    <w:rsid w:val="00A16BE5"/>
    <w:rsid w:val="00A17333"/>
    <w:rsid w:val="00A1736E"/>
    <w:rsid w:val="00A17B9B"/>
    <w:rsid w:val="00A2471F"/>
    <w:rsid w:val="00A24931"/>
    <w:rsid w:val="00A25FEB"/>
    <w:rsid w:val="00A26068"/>
    <w:rsid w:val="00A343E3"/>
    <w:rsid w:val="00A35CC4"/>
    <w:rsid w:val="00A37AE3"/>
    <w:rsid w:val="00A40291"/>
    <w:rsid w:val="00A40973"/>
    <w:rsid w:val="00A43820"/>
    <w:rsid w:val="00A43BBE"/>
    <w:rsid w:val="00A45045"/>
    <w:rsid w:val="00A46439"/>
    <w:rsid w:val="00A465F5"/>
    <w:rsid w:val="00A46EDA"/>
    <w:rsid w:val="00A47CFF"/>
    <w:rsid w:val="00A51256"/>
    <w:rsid w:val="00A52BB8"/>
    <w:rsid w:val="00A52C57"/>
    <w:rsid w:val="00A52D3B"/>
    <w:rsid w:val="00A54223"/>
    <w:rsid w:val="00A5432D"/>
    <w:rsid w:val="00A55348"/>
    <w:rsid w:val="00A56CFF"/>
    <w:rsid w:val="00A573ED"/>
    <w:rsid w:val="00A57A26"/>
    <w:rsid w:val="00A60EF0"/>
    <w:rsid w:val="00A62A55"/>
    <w:rsid w:val="00A650AD"/>
    <w:rsid w:val="00A663FE"/>
    <w:rsid w:val="00A670E0"/>
    <w:rsid w:val="00A70E38"/>
    <w:rsid w:val="00A74187"/>
    <w:rsid w:val="00A756AC"/>
    <w:rsid w:val="00A768A6"/>
    <w:rsid w:val="00A76F69"/>
    <w:rsid w:val="00A7756E"/>
    <w:rsid w:val="00A809D8"/>
    <w:rsid w:val="00A8145F"/>
    <w:rsid w:val="00A81B36"/>
    <w:rsid w:val="00A82AD1"/>
    <w:rsid w:val="00A82EF2"/>
    <w:rsid w:val="00A84C65"/>
    <w:rsid w:val="00A84C80"/>
    <w:rsid w:val="00A84D3B"/>
    <w:rsid w:val="00A84E62"/>
    <w:rsid w:val="00A91844"/>
    <w:rsid w:val="00A92279"/>
    <w:rsid w:val="00A92FCF"/>
    <w:rsid w:val="00A95718"/>
    <w:rsid w:val="00A972B1"/>
    <w:rsid w:val="00AA042C"/>
    <w:rsid w:val="00AA1ED4"/>
    <w:rsid w:val="00AA2D5C"/>
    <w:rsid w:val="00AA3BDC"/>
    <w:rsid w:val="00AA41FE"/>
    <w:rsid w:val="00AA4C8A"/>
    <w:rsid w:val="00AA5478"/>
    <w:rsid w:val="00AA6D48"/>
    <w:rsid w:val="00AA75AF"/>
    <w:rsid w:val="00AB0930"/>
    <w:rsid w:val="00AB0A5C"/>
    <w:rsid w:val="00AB0A7F"/>
    <w:rsid w:val="00AB1570"/>
    <w:rsid w:val="00AB1B72"/>
    <w:rsid w:val="00AB213D"/>
    <w:rsid w:val="00AB2DC6"/>
    <w:rsid w:val="00AB3581"/>
    <w:rsid w:val="00AB3B21"/>
    <w:rsid w:val="00AB6CB8"/>
    <w:rsid w:val="00AB7A9E"/>
    <w:rsid w:val="00AC08AB"/>
    <w:rsid w:val="00AC2569"/>
    <w:rsid w:val="00AC2E7D"/>
    <w:rsid w:val="00AC68B4"/>
    <w:rsid w:val="00AD0656"/>
    <w:rsid w:val="00AD2831"/>
    <w:rsid w:val="00AD2ED2"/>
    <w:rsid w:val="00AD4310"/>
    <w:rsid w:val="00AD79E5"/>
    <w:rsid w:val="00AE2766"/>
    <w:rsid w:val="00AE45C2"/>
    <w:rsid w:val="00AE56EB"/>
    <w:rsid w:val="00AE722F"/>
    <w:rsid w:val="00AE757A"/>
    <w:rsid w:val="00AF25A1"/>
    <w:rsid w:val="00AF28EB"/>
    <w:rsid w:val="00AF3579"/>
    <w:rsid w:val="00AF3A34"/>
    <w:rsid w:val="00AF3BE5"/>
    <w:rsid w:val="00AF3DA4"/>
    <w:rsid w:val="00AF4D73"/>
    <w:rsid w:val="00B01957"/>
    <w:rsid w:val="00B02208"/>
    <w:rsid w:val="00B04344"/>
    <w:rsid w:val="00B107B5"/>
    <w:rsid w:val="00B12412"/>
    <w:rsid w:val="00B132B3"/>
    <w:rsid w:val="00B14383"/>
    <w:rsid w:val="00B14627"/>
    <w:rsid w:val="00B14AF6"/>
    <w:rsid w:val="00B1774D"/>
    <w:rsid w:val="00B2074B"/>
    <w:rsid w:val="00B23BB1"/>
    <w:rsid w:val="00B23D40"/>
    <w:rsid w:val="00B24028"/>
    <w:rsid w:val="00B26005"/>
    <w:rsid w:val="00B2791D"/>
    <w:rsid w:val="00B30AAD"/>
    <w:rsid w:val="00B314BE"/>
    <w:rsid w:val="00B33D11"/>
    <w:rsid w:val="00B34C2F"/>
    <w:rsid w:val="00B35ADC"/>
    <w:rsid w:val="00B40299"/>
    <w:rsid w:val="00B402A9"/>
    <w:rsid w:val="00B41874"/>
    <w:rsid w:val="00B45D4A"/>
    <w:rsid w:val="00B50065"/>
    <w:rsid w:val="00B52690"/>
    <w:rsid w:val="00B53411"/>
    <w:rsid w:val="00B5454D"/>
    <w:rsid w:val="00B54CF8"/>
    <w:rsid w:val="00B55E98"/>
    <w:rsid w:val="00B566E3"/>
    <w:rsid w:val="00B574EB"/>
    <w:rsid w:val="00B61FD2"/>
    <w:rsid w:val="00B64ABF"/>
    <w:rsid w:val="00B65D6B"/>
    <w:rsid w:val="00B67207"/>
    <w:rsid w:val="00B71AF7"/>
    <w:rsid w:val="00B75882"/>
    <w:rsid w:val="00B75E04"/>
    <w:rsid w:val="00B772CC"/>
    <w:rsid w:val="00B801AE"/>
    <w:rsid w:val="00B80586"/>
    <w:rsid w:val="00B809FD"/>
    <w:rsid w:val="00B81B50"/>
    <w:rsid w:val="00B828EB"/>
    <w:rsid w:val="00B85FD6"/>
    <w:rsid w:val="00B91F5C"/>
    <w:rsid w:val="00B923E6"/>
    <w:rsid w:val="00B92D76"/>
    <w:rsid w:val="00B95FD6"/>
    <w:rsid w:val="00B9677B"/>
    <w:rsid w:val="00BA10E0"/>
    <w:rsid w:val="00BA1CC2"/>
    <w:rsid w:val="00BA3783"/>
    <w:rsid w:val="00BA4227"/>
    <w:rsid w:val="00BA43E8"/>
    <w:rsid w:val="00BA4886"/>
    <w:rsid w:val="00BA4A5A"/>
    <w:rsid w:val="00BA52D7"/>
    <w:rsid w:val="00BA63A2"/>
    <w:rsid w:val="00BA766A"/>
    <w:rsid w:val="00BB231F"/>
    <w:rsid w:val="00BB286A"/>
    <w:rsid w:val="00BB3685"/>
    <w:rsid w:val="00BB3E2F"/>
    <w:rsid w:val="00BB6FE4"/>
    <w:rsid w:val="00BC18EA"/>
    <w:rsid w:val="00BC2BD1"/>
    <w:rsid w:val="00BC6310"/>
    <w:rsid w:val="00BC6A83"/>
    <w:rsid w:val="00BD0338"/>
    <w:rsid w:val="00BD0D67"/>
    <w:rsid w:val="00BD110C"/>
    <w:rsid w:val="00BD324E"/>
    <w:rsid w:val="00BD3CF5"/>
    <w:rsid w:val="00BD3D17"/>
    <w:rsid w:val="00BD4EBD"/>
    <w:rsid w:val="00BD6280"/>
    <w:rsid w:val="00BE14B0"/>
    <w:rsid w:val="00BE3BC3"/>
    <w:rsid w:val="00BE510E"/>
    <w:rsid w:val="00BE55A4"/>
    <w:rsid w:val="00BE595B"/>
    <w:rsid w:val="00BE68A1"/>
    <w:rsid w:val="00BE7CF3"/>
    <w:rsid w:val="00BF0E19"/>
    <w:rsid w:val="00BF352D"/>
    <w:rsid w:val="00BF367F"/>
    <w:rsid w:val="00BF400E"/>
    <w:rsid w:val="00BF493A"/>
    <w:rsid w:val="00BF5FF3"/>
    <w:rsid w:val="00C00C53"/>
    <w:rsid w:val="00C01E25"/>
    <w:rsid w:val="00C03674"/>
    <w:rsid w:val="00C0747F"/>
    <w:rsid w:val="00C1153A"/>
    <w:rsid w:val="00C11B41"/>
    <w:rsid w:val="00C14C64"/>
    <w:rsid w:val="00C153C6"/>
    <w:rsid w:val="00C15AE4"/>
    <w:rsid w:val="00C160BE"/>
    <w:rsid w:val="00C17D00"/>
    <w:rsid w:val="00C23E24"/>
    <w:rsid w:val="00C24231"/>
    <w:rsid w:val="00C2495C"/>
    <w:rsid w:val="00C250EA"/>
    <w:rsid w:val="00C2534D"/>
    <w:rsid w:val="00C25B02"/>
    <w:rsid w:val="00C3032E"/>
    <w:rsid w:val="00C30854"/>
    <w:rsid w:val="00C308CB"/>
    <w:rsid w:val="00C33F4D"/>
    <w:rsid w:val="00C355A0"/>
    <w:rsid w:val="00C36527"/>
    <w:rsid w:val="00C36AB0"/>
    <w:rsid w:val="00C36B1F"/>
    <w:rsid w:val="00C375E5"/>
    <w:rsid w:val="00C40CA5"/>
    <w:rsid w:val="00C426D3"/>
    <w:rsid w:val="00C445E2"/>
    <w:rsid w:val="00C447A4"/>
    <w:rsid w:val="00C51145"/>
    <w:rsid w:val="00C517A7"/>
    <w:rsid w:val="00C53B7A"/>
    <w:rsid w:val="00C53F2C"/>
    <w:rsid w:val="00C5778C"/>
    <w:rsid w:val="00C62B2E"/>
    <w:rsid w:val="00C639BF"/>
    <w:rsid w:val="00C644AF"/>
    <w:rsid w:val="00C651A3"/>
    <w:rsid w:val="00C65649"/>
    <w:rsid w:val="00C66B90"/>
    <w:rsid w:val="00C66EAA"/>
    <w:rsid w:val="00C70A3F"/>
    <w:rsid w:val="00C71C62"/>
    <w:rsid w:val="00C764B3"/>
    <w:rsid w:val="00C77744"/>
    <w:rsid w:val="00C80D27"/>
    <w:rsid w:val="00C84625"/>
    <w:rsid w:val="00C85C68"/>
    <w:rsid w:val="00C860DA"/>
    <w:rsid w:val="00C877DC"/>
    <w:rsid w:val="00C87CA4"/>
    <w:rsid w:val="00C9115A"/>
    <w:rsid w:val="00C92365"/>
    <w:rsid w:val="00C927A4"/>
    <w:rsid w:val="00C937EA"/>
    <w:rsid w:val="00C96B21"/>
    <w:rsid w:val="00C96E01"/>
    <w:rsid w:val="00C973C6"/>
    <w:rsid w:val="00C97CCC"/>
    <w:rsid w:val="00C97E1F"/>
    <w:rsid w:val="00CA00AB"/>
    <w:rsid w:val="00CA017A"/>
    <w:rsid w:val="00CA061B"/>
    <w:rsid w:val="00CA1712"/>
    <w:rsid w:val="00CA178D"/>
    <w:rsid w:val="00CA1873"/>
    <w:rsid w:val="00CA205C"/>
    <w:rsid w:val="00CA2303"/>
    <w:rsid w:val="00CA559B"/>
    <w:rsid w:val="00CA7B37"/>
    <w:rsid w:val="00CB0175"/>
    <w:rsid w:val="00CB0182"/>
    <w:rsid w:val="00CB0805"/>
    <w:rsid w:val="00CB26AB"/>
    <w:rsid w:val="00CB4423"/>
    <w:rsid w:val="00CB7208"/>
    <w:rsid w:val="00CB77BE"/>
    <w:rsid w:val="00CC0530"/>
    <w:rsid w:val="00CC3E91"/>
    <w:rsid w:val="00CC664D"/>
    <w:rsid w:val="00CD1234"/>
    <w:rsid w:val="00CD12DD"/>
    <w:rsid w:val="00CD1520"/>
    <w:rsid w:val="00CD3A21"/>
    <w:rsid w:val="00CD4782"/>
    <w:rsid w:val="00CD7151"/>
    <w:rsid w:val="00CD791F"/>
    <w:rsid w:val="00CE0CD6"/>
    <w:rsid w:val="00CE1E46"/>
    <w:rsid w:val="00CE3E05"/>
    <w:rsid w:val="00CE3F5C"/>
    <w:rsid w:val="00CE57F1"/>
    <w:rsid w:val="00CE5DDF"/>
    <w:rsid w:val="00CE79F0"/>
    <w:rsid w:val="00CF05C5"/>
    <w:rsid w:val="00CF1343"/>
    <w:rsid w:val="00CF1866"/>
    <w:rsid w:val="00CF4304"/>
    <w:rsid w:val="00CF53D7"/>
    <w:rsid w:val="00CF786C"/>
    <w:rsid w:val="00D01747"/>
    <w:rsid w:val="00D05C33"/>
    <w:rsid w:val="00D06E7D"/>
    <w:rsid w:val="00D072D1"/>
    <w:rsid w:val="00D07594"/>
    <w:rsid w:val="00D1049C"/>
    <w:rsid w:val="00D11B59"/>
    <w:rsid w:val="00D12909"/>
    <w:rsid w:val="00D15509"/>
    <w:rsid w:val="00D164B7"/>
    <w:rsid w:val="00D166DB"/>
    <w:rsid w:val="00D175E6"/>
    <w:rsid w:val="00D203F4"/>
    <w:rsid w:val="00D20F29"/>
    <w:rsid w:val="00D213EB"/>
    <w:rsid w:val="00D21B69"/>
    <w:rsid w:val="00D21E59"/>
    <w:rsid w:val="00D2219C"/>
    <w:rsid w:val="00D24F16"/>
    <w:rsid w:val="00D24F58"/>
    <w:rsid w:val="00D250A2"/>
    <w:rsid w:val="00D255F2"/>
    <w:rsid w:val="00D260C2"/>
    <w:rsid w:val="00D26D2A"/>
    <w:rsid w:val="00D26D2D"/>
    <w:rsid w:val="00D26D4D"/>
    <w:rsid w:val="00D27748"/>
    <w:rsid w:val="00D36583"/>
    <w:rsid w:val="00D365F5"/>
    <w:rsid w:val="00D36DD1"/>
    <w:rsid w:val="00D37D81"/>
    <w:rsid w:val="00D42B12"/>
    <w:rsid w:val="00D44AB9"/>
    <w:rsid w:val="00D44B75"/>
    <w:rsid w:val="00D44E71"/>
    <w:rsid w:val="00D4678A"/>
    <w:rsid w:val="00D47A1B"/>
    <w:rsid w:val="00D52369"/>
    <w:rsid w:val="00D5267F"/>
    <w:rsid w:val="00D539B1"/>
    <w:rsid w:val="00D54E7C"/>
    <w:rsid w:val="00D551E9"/>
    <w:rsid w:val="00D55DAB"/>
    <w:rsid w:val="00D5680A"/>
    <w:rsid w:val="00D56D00"/>
    <w:rsid w:val="00D56EDF"/>
    <w:rsid w:val="00D6018D"/>
    <w:rsid w:val="00D60525"/>
    <w:rsid w:val="00D60B2A"/>
    <w:rsid w:val="00D613B9"/>
    <w:rsid w:val="00D63AB7"/>
    <w:rsid w:val="00D66451"/>
    <w:rsid w:val="00D723CE"/>
    <w:rsid w:val="00D73964"/>
    <w:rsid w:val="00D743B5"/>
    <w:rsid w:val="00D75956"/>
    <w:rsid w:val="00D77BDA"/>
    <w:rsid w:val="00D80314"/>
    <w:rsid w:val="00D81451"/>
    <w:rsid w:val="00D8177D"/>
    <w:rsid w:val="00D85DE9"/>
    <w:rsid w:val="00D87CA6"/>
    <w:rsid w:val="00D9122C"/>
    <w:rsid w:val="00D924F1"/>
    <w:rsid w:val="00D9332F"/>
    <w:rsid w:val="00D93EE2"/>
    <w:rsid w:val="00D9637F"/>
    <w:rsid w:val="00DA413C"/>
    <w:rsid w:val="00DA4D19"/>
    <w:rsid w:val="00DA5CCA"/>
    <w:rsid w:val="00DA6826"/>
    <w:rsid w:val="00DA70C8"/>
    <w:rsid w:val="00DB0365"/>
    <w:rsid w:val="00DB1B2E"/>
    <w:rsid w:val="00DB1D10"/>
    <w:rsid w:val="00DB1D99"/>
    <w:rsid w:val="00DB22F1"/>
    <w:rsid w:val="00DB3687"/>
    <w:rsid w:val="00DB4DA5"/>
    <w:rsid w:val="00DB6BAD"/>
    <w:rsid w:val="00DB6EC1"/>
    <w:rsid w:val="00DB6FE8"/>
    <w:rsid w:val="00DB707E"/>
    <w:rsid w:val="00DB776A"/>
    <w:rsid w:val="00DB7CE2"/>
    <w:rsid w:val="00DC0FE7"/>
    <w:rsid w:val="00DC19CB"/>
    <w:rsid w:val="00DC3954"/>
    <w:rsid w:val="00DC4D9C"/>
    <w:rsid w:val="00DC5A3F"/>
    <w:rsid w:val="00DC670A"/>
    <w:rsid w:val="00DD080C"/>
    <w:rsid w:val="00DD08B3"/>
    <w:rsid w:val="00DD2853"/>
    <w:rsid w:val="00DD2C01"/>
    <w:rsid w:val="00DD2E17"/>
    <w:rsid w:val="00DD3305"/>
    <w:rsid w:val="00DD3E16"/>
    <w:rsid w:val="00DD733E"/>
    <w:rsid w:val="00DE11C3"/>
    <w:rsid w:val="00DE275D"/>
    <w:rsid w:val="00DE27B0"/>
    <w:rsid w:val="00DE2ECB"/>
    <w:rsid w:val="00DE5625"/>
    <w:rsid w:val="00DE7613"/>
    <w:rsid w:val="00DE77C8"/>
    <w:rsid w:val="00DF3D85"/>
    <w:rsid w:val="00DF5CB9"/>
    <w:rsid w:val="00DF6EAA"/>
    <w:rsid w:val="00E02C34"/>
    <w:rsid w:val="00E02FC0"/>
    <w:rsid w:val="00E03411"/>
    <w:rsid w:val="00E1032E"/>
    <w:rsid w:val="00E1098E"/>
    <w:rsid w:val="00E1100E"/>
    <w:rsid w:val="00E111D3"/>
    <w:rsid w:val="00E1281D"/>
    <w:rsid w:val="00E142BE"/>
    <w:rsid w:val="00E152AF"/>
    <w:rsid w:val="00E220E9"/>
    <w:rsid w:val="00E24FBC"/>
    <w:rsid w:val="00E26684"/>
    <w:rsid w:val="00E376EB"/>
    <w:rsid w:val="00E3781B"/>
    <w:rsid w:val="00E37F08"/>
    <w:rsid w:val="00E4221F"/>
    <w:rsid w:val="00E438BC"/>
    <w:rsid w:val="00E44324"/>
    <w:rsid w:val="00E4476C"/>
    <w:rsid w:val="00E459BA"/>
    <w:rsid w:val="00E45A9A"/>
    <w:rsid w:val="00E4740A"/>
    <w:rsid w:val="00E4759B"/>
    <w:rsid w:val="00E5113E"/>
    <w:rsid w:val="00E514F8"/>
    <w:rsid w:val="00E52CCB"/>
    <w:rsid w:val="00E53084"/>
    <w:rsid w:val="00E544E6"/>
    <w:rsid w:val="00E56702"/>
    <w:rsid w:val="00E56C5D"/>
    <w:rsid w:val="00E57856"/>
    <w:rsid w:val="00E57E4D"/>
    <w:rsid w:val="00E6132B"/>
    <w:rsid w:val="00E61C8D"/>
    <w:rsid w:val="00E67D8A"/>
    <w:rsid w:val="00E7058D"/>
    <w:rsid w:val="00E73A8B"/>
    <w:rsid w:val="00E73BCA"/>
    <w:rsid w:val="00E74322"/>
    <w:rsid w:val="00E748D9"/>
    <w:rsid w:val="00E75C3A"/>
    <w:rsid w:val="00E77029"/>
    <w:rsid w:val="00E77981"/>
    <w:rsid w:val="00E840E7"/>
    <w:rsid w:val="00E84284"/>
    <w:rsid w:val="00E8480E"/>
    <w:rsid w:val="00E84CFF"/>
    <w:rsid w:val="00E85AB1"/>
    <w:rsid w:val="00E86498"/>
    <w:rsid w:val="00E86EC8"/>
    <w:rsid w:val="00E86F3C"/>
    <w:rsid w:val="00E87B3C"/>
    <w:rsid w:val="00E91962"/>
    <w:rsid w:val="00E91DB9"/>
    <w:rsid w:val="00E91F15"/>
    <w:rsid w:val="00E92E94"/>
    <w:rsid w:val="00EA1CB9"/>
    <w:rsid w:val="00EA233A"/>
    <w:rsid w:val="00EA4A64"/>
    <w:rsid w:val="00EA59DD"/>
    <w:rsid w:val="00EA7619"/>
    <w:rsid w:val="00EB53E3"/>
    <w:rsid w:val="00EB574F"/>
    <w:rsid w:val="00EB60B2"/>
    <w:rsid w:val="00EB6BCB"/>
    <w:rsid w:val="00EB764E"/>
    <w:rsid w:val="00EB7A54"/>
    <w:rsid w:val="00EC0290"/>
    <w:rsid w:val="00EC0313"/>
    <w:rsid w:val="00EC3AED"/>
    <w:rsid w:val="00EC6543"/>
    <w:rsid w:val="00ED193D"/>
    <w:rsid w:val="00ED1C5C"/>
    <w:rsid w:val="00ED31F1"/>
    <w:rsid w:val="00ED32F3"/>
    <w:rsid w:val="00ED5BC4"/>
    <w:rsid w:val="00ED5E82"/>
    <w:rsid w:val="00ED5EA8"/>
    <w:rsid w:val="00EE1BFE"/>
    <w:rsid w:val="00EE1D58"/>
    <w:rsid w:val="00EE25AF"/>
    <w:rsid w:val="00EE2FE1"/>
    <w:rsid w:val="00EE3DCA"/>
    <w:rsid w:val="00EE4E57"/>
    <w:rsid w:val="00EE5906"/>
    <w:rsid w:val="00EE7703"/>
    <w:rsid w:val="00EE7F3E"/>
    <w:rsid w:val="00EF17FE"/>
    <w:rsid w:val="00EF2957"/>
    <w:rsid w:val="00EF3429"/>
    <w:rsid w:val="00EF3A53"/>
    <w:rsid w:val="00EF44D8"/>
    <w:rsid w:val="00EF482B"/>
    <w:rsid w:val="00EF6129"/>
    <w:rsid w:val="00EF6635"/>
    <w:rsid w:val="00EF6D28"/>
    <w:rsid w:val="00EF6E80"/>
    <w:rsid w:val="00EF7860"/>
    <w:rsid w:val="00F01581"/>
    <w:rsid w:val="00F02384"/>
    <w:rsid w:val="00F028DA"/>
    <w:rsid w:val="00F032BA"/>
    <w:rsid w:val="00F03A8F"/>
    <w:rsid w:val="00F06204"/>
    <w:rsid w:val="00F07271"/>
    <w:rsid w:val="00F1084F"/>
    <w:rsid w:val="00F1169D"/>
    <w:rsid w:val="00F1173C"/>
    <w:rsid w:val="00F12724"/>
    <w:rsid w:val="00F1618C"/>
    <w:rsid w:val="00F16248"/>
    <w:rsid w:val="00F16358"/>
    <w:rsid w:val="00F211EF"/>
    <w:rsid w:val="00F22A48"/>
    <w:rsid w:val="00F239E6"/>
    <w:rsid w:val="00F23CB8"/>
    <w:rsid w:val="00F2460F"/>
    <w:rsid w:val="00F25DBF"/>
    <w:rsid w:val="00F25F69"/>
    <w:rsid w:val="00F2624B"/>
    <w:rsid w:val="00F30098"/>
    <w:rsid w:val="00F307C8"/>
    <w:rsid w:val="00F3136A"/>
    <w:rsid w:val="00F31E2A"/>
    <w:rsid w:val="00F31E90"/>
    <w:rsid w:val="00F31EA4"/>
    <w:rsid w:val="00F327B1"/>
    <w:rsid w:val="00F33CE7"/>
    <w:rsid w:val="00F3525A"/>
    <w:rsid w:val="00F36934"/>
    <w:rsid w:val="00F37535"/>
    <w:rsid w:val="00F37D78"/>
    <w:rsid w:val="00F4042F"/>
    <w:rsid w:val="00F417CD"/>
    <w:rsid w:val="00F4376C"/>
    <w:rsid w:val="00F44247"/>
    <w:rsid w:val="00F45188"/>
    <w:rsid w:val="00F451D7"/>
    <w:rsid w:val="00F46869"/>
    <w:rsid w:val="00F47A17"/>
    <w:rsid w:val="00F524FA"/>
    <w:rsid w:val="00F53880"/>
    <w:rsid w:val="00F562F3"/>
    <w:rsid w:val="00F61C2A"/>
    <w:rsid w:val="00F64C41"/>
    <w:rsid w:val="00F64F3E"/>
    <w:rsid w:val="00F66BFD"/>
    <w:rsid w:val="00F716D0"/>
    <w:rsid w:val="00F73377"/>
    <w:rsid w:val="00F735AC"/>
    <w:rsid w:val="00F737C1"/>
    <w:rsid w:val="00F73997"/>
    <w:rsid w:val="00F73C42"/>
    <w:rsid w:val="00F74D85"/>
    <w:rsid w:val="00F753B9"/>
    <w:rsid w:val="00F76413"/>
    <w:rsid w:val="00F76805"/>
    <w:rsid w:val="00F7780D"/>
    <w:rsid w:val="00F80F14"/>
    <w:rsid w:val="00F82DA2"/>
    <w:rsid w:val="00F845EE"/>
    <w:rsid w:val="00F846FA"/>
    <w:rsid w:val="00F86DF0"/>
    <w:rsid w:val="00F871FB"/>
    <w:rsid w:val="00F910FD"/>
    <w:rsid w:val="00F9124D"/>
    <w:rsid w:val="00F91B60"/>
    <w:rsid w:val="00F91DB6"/>
    <w:rsid w:val="00F947EC"/>
    <w:rsid w:val="00F94C62"/>
    <w:rsid w:val="00F94C93"/>
    <w:rsid w:val="00F95D78"/>
    <w:rsid w:val="00F96DAA"/>
    <w:rsid w:val="00F97646"/>
    <w:rsid w:val="00FA0F20"/>
    <w:rsid w:val="00FA16ED"/>
    <w:rsid w:val="00FA2AFD"/>
    <w:rsid w:val="00FA2C6C"/>
    <w:rsid w:val="00FA3242"/>
    <w:rsid w:val="00FA3D93"/>
    <w:rsid w:val="00FA6BEB"/>
    <w:rsid w:val="00FA71D5"/>
    <w:rsid w:val="00FB0720"/>
    <w:rsid w:val="00FB09B6"/>
    <w:rsid w:val="00FB3B49"/>
    <w:rsid w:val="00FB4F9C"/>
    <w:rsid w:val="00FB692E"/>
    <w:rsid w:val="00FC0299"/>
    <w:rsid w:val="00FC1D93"/>
    <w:rsid w:val="00FC6C8B"/>
    <w:rsid w:val="00FC6D59"/>
    <w:rsid w:val="00FD1626"/>
    <w:rsid w:val="00FD230D"/>
    <w:rsid w:val="00FD250A"/>
    <w:rsid w:val="00FD2682"/>
    <w:rsid w:val="00FD4351"/>
    <w:rsid w:val="00FD6172"/>
    <w:rsid w:val="00FE13F4"/>
    <w:rsid w:val="00FE2706"/>
    <w:rsid w:val="00FE271D"/>
    <w:rsid w:val="00FE41B5"/>
    <w:rsid w:val="00FE4958"/>
    <w:rsid w:val="00FF01A9"/>
    <w:rsid w:val="00FF0808"/>
    <w:rsid w:val="00FF14DB"/>
    <w:rsid w:val="00FF1B02"/>
    <w:rsid w:val="00FF4D44"/>
    <w:rsid w:val="00FF634A"/>
    <w:rsid w:val="00FF6B61"/>
    <w:rsid w:val="00FF7F78"/>
    <w:rsid w:val="010333FC"/>
    <w:rsid w:val="0105515E"/>
    <w:rsid w:val="0105588E"/>
    <w:rsid w:val="0107173C"/>
    <w:rsid w:val="01080A12"/>
    <w:rsid w:val="01091FB1"/>
    <w:rsid w:val="010A1042"/>
    <w:rsid w:val="010E4E3F"/>
    <w:rsid w:val="010F3B4F"/>
    <w:rsid w:val="01101E68"/>
    <w:rsid w:val="0112363F"/>
    <w:rsid w:val="01161381"/>
    <w:rsid w:val="0116312F"/>
    <w:rsid w:val="011708FE"/>
    <w:rsid w:val="0117708F"/>
    <w:rsid w:val="01197D1A"/>
    <w:rsid w:val="0120468C"/>
    <w:rsid w:val="01204AA1"/>
    <w:rsid w:val="012E542A"/>
    <w:rsid w:val="012F6817"/>
    <w:rsid w:val="01337CCB"/>
    <w:rsid w:val="01340207"/>
    <w:rsid w:val="01395BF5"/>
    <w:rsid w:val="013B7CC1"/>
    <w:rsid w:val="013C690E"/>
    <w:rsid w:val="013E2686"/>
    <w:rsid w:val="01401326"/>
    <w:rsid w:val="01406FF2"/>
    <w:rsid w:val="0148671C"/>
    <w:rsid w:val="01493754"/>
    <w:rsid w:val="014A102B"/>
    <w:rsid w:val="01527EDF"/>
    <w:rsid w:val="01537400"/>
    <w:rsid w:val="015457FE"/>
    <w:rsid w:val="01545A05"/>
    <w:rsid w:val="01572697"/>
    <w:rsid w:val="0159301C"/>
    <w:rsid w:val="015B0E74"/>
    <w:rsid w:val="015B2302"/>
    <w:rsid w:val="015C2B0C"/>
    <w:rsid w:val="015D44A1"/>
    <w:rsid w:val="015E6884"/>
    <w:rsid w:val="015E6C75"/>
    <w:rsid w:val="0160084E"/>
    <w:rsid w:val="01601E43"/>
    <w:rsid w:val="01612479"/>
    <w:rsid w:val="016245C6"/>
    <w:rsid w:val="01633E9B"/>
    <w:rsid w:val="01635C49"/>
    <w:rsid w:val="016655A2"/>
    <w:rsid w:val="0167130E"/>
    <w:rsid w:val="01722330"/>
    <w:rsid w:val="01763BCE"/>
    <w:rsid w:val="01767E08"/>
    <w:rsid w:val="017716F4"/>
    <w:rsid w:val="017A064B"/>
    <w:rsid w:val="017A4C92"/>
    <w:rsid w:val="017C4C76"/>
    <w:rsid w:val="017C6D0A"/>
    <w:rsid w:val="017D4F5C"/>
    <w:rsid w:val="01804A4C"/>
    <w:rsid w:val="018171C2"/>
    <w:rsid w:val="018241CB"/>
    <w:rsid w:val="01824614"/>
    <w:rsid w:val="01826A17"/>
    <w:rsid w:val="01827DEE"/>
    <w:rsid w:val="0183453D"/>
    <w:rsid w:val="018760C8"/>
    <w:rsid w:val="018B22D7"/>
    <w:rsid w:val="018E02D9"/>
    <w:rsid w:val="018E19BE"/>
    <w:rsid w:val="018F287C"/>
    <w:rsid w:val="018F2EE2"/>
    <w:rsid w:val="019458FC"/>
    <w:rsid w:val="019527C1"/>
    <w:rsid w:val="019860E9"/>
    <w:rsid w:val="019A4749"/>
    <w:rsid w:val="019B1886"/>
    <w:rsid w:val="019B3634"/>
    <w:rsid w:val="019B53E2"/>
    <w:rsid w:val="019E3125"/>
    <w:rsid w:val="01A06E9D"/>
    <w:rsid w:val="01A10621"/>
    <w:rsid w:val="01A420ED"/>
    <w:rsid w:val="01A42C73"/>
    <w:rsid w:val="01A4698D"/>
    <w:rsid w:val="01A544B3"/>
    <w:rsid w:val="01A9233B"/>
    <w:rsid w:val="01AD320D"/>
    <w:rsid w:val="01B04174"/>
    <w:rsid w:val="01B20120"/>
    <w:rsid w:val="01B23FEC"/>
    <w:rsid w:val="01BF234F"/>
    <w:rsid w:val="01C0125C"/>
    <w:rsid w:val="01C41B77"/>
    <w:rsid w:val="01C42B8B"/>
    <w:rsid w:val="01C47D93"/>
    <w:rsid w:val="01C56903"/>
    <w:rsid w:val="01C67AAF"/>
    <w:rsid w:val="01D34903"/>
    <w:rsid w:val="01D376BD"/>
    <w:rsid w:val="01D37AA0"/>
    <w:rsid w:val="01D46B46"/>
    <w:rsid w:val="01D84B42"/>
    <w:rsid w:val="01E07299"/>
    <w:rsid w:val="01E343C4"/>
    <w:rsid w:val="01E4322D"/>
    <w:rsid w:val="01E5599D"/>
    <w:rsid w:val="01E6443F"/>
    <w:rsid w:val="01E66FA5"/>
    <w:rsid w:val="01E867E5"/>
    <w:rsid w:val="01EF2A5E"/>
    <w:rsid w:val="01F5695B"/>
    <w:rsid w:val="01F636AA"/>
    <w:rsid w:val="01F86CD9"/>
    <w:rsid w:val="01FA47FF"/>
    <w:rsid w:val="01FB40D3"/>
    <w:rsid w:val="01FE6ECE"/>
    <w:rsid w:val="01FF3BC3"/>
    <w:rsid w:val="02056D00"/>
    <w:rsid w:val="02070CCA"/>
    <w:rsid w:val="020E11B2"/>
    <w:rsid w:val="02106ABC"/>
    <w:rsid w:val="02137F4C"/>
    <w:rsid w:val="021533E7"/>
    <w:rsid w:val="02181129"/>
    <w:rsid w:val="02194F26"/>
    <w:rsid w:val="021E10EF"/>
    <w:rsid w:val="02202FE1"/>
    <w:rsid w:val="02211096"/>
    <w:rsid w:val="02223D56"/>
    <w:rsid w:val="02294779"/>
    <w:rsid w:val="022950E4"/>
    <w:rsid w:val="02296E92"/>
    <w:rsid w:val="022A47E0"/>
    <w:rsid w:val="022A49B8"/>
    <w:rsid w:val="022C0730"/>
    <w:rsid w:val="022D385A"/>
    <w:rsid w:val="022E6257"/>
    <w:rsid w:val="022F2003"/>
    <w:rsid w:val="022F3A33"/>
    <w:rsid w:val="02323075"/>
    <w:rsid w:val="02351CA2"/>
    <w:rsid w:val="02353A89"/>
    <w:rsid w:val="02366A4A"/>
    <w:rsid w:val="02372EAB"/>
    <w:rsid w:val="023A3B7F"/>
    <w:rsid w:val="023B6BC5"/>
    <w:rsid w:val="02405027"/>
    <w:rsid w:val="02410C68"/>
    <w:rsid w:val="0241242E"/>
    <w:rsid w:val="024261A6"/>
    <w:rsid w:val="02427F54"/>
    <w:rsid w:val="024332FE"/>
    <w:rsid w:val="02443FEC"/>
    <w:rsid w:val="02462677"/>
    <w:rsid w:val="02483DA4"/>
    <w:rsid w:val="024A0BB7"/>
    <w:rsid w:val="024B32D2"/>
    <w:rsid w:val="024D7D13"/>
    <w:rsid w:val="024E72DB"/>
    <w:rsid w:val="02500DEE"/>
    <w:rsid w:val="025263E9"/>
    <w:rsid w:val="025435F0"/>
    <w:rsid w:val="02557805"/>
    <w:rsid w:val="02561554"/>
    <w:rsid w:val="02571F52"/>
    <w:rsid w:val="025832D3"/>
    <w:rsid w:val="025A529E"/>
    <w:rsid w:val="025D214D"/>
    <w:rsid w:val="025E3D95"/>
    <w:rsid w:val="025F28B4"/>
    <w:rsid w:val="025F52D8"/>
    <w:rsid w:val="02676D3B"/>
    <w:rsid w:val="02691984"/>
    <w:rsid w:val="026924CE"/>
    <w:rsid w:val="026963CB"/>
    <w:rsid w:val="026D41E6"/>
    <w:rsid w:val="027027CD"/>
    <w:rsid w:val="02727751"/>
    <w:rsid w:val="02743F39"/>
    <w:rsid w:val="0277431A"/>
    <w:rsid w:val="02791640"/>
    <w:rsid w:val="027951DA"/>
    <w:rsid w:val="027A1A10"/>
    <w:rsid w:val="027A76EE"/>
    <w:rsid w:val="027B66DF"/>
    <w:rsid w:val="027C5214"/>
    <w:rsid w:val="027C6214"/>
    <w:rsid w:val="02805954"/>
    <w:rsid w:val="028216F3"/>
    <w:rsid w:val="02840071"/>
    <w:rsid w:val="02877AA6"/>
    <w:rsid w:val="028A0FE3"/>
    <w:rsid w:val="02902A6D"/>
    <w:rsid w:val="02913205"/>
    <w:rsid w:val="0293255D"/>
    <w:rsid w:val="029567BC"/>
    <w:rsid w:val="029709FE"/>
    <w:rsid w:val="0298226D"/>
    <w:rsid w:val="02983F5C"/>
    <w:rsid w:val="029A5482"/>
    <w:rsid w:val="029C58B6"/>
    <w:rsid w:val="029E2E94"/>
    <w:rsid w:val="029F0F02"/>
    <w:rsid w:val="029F7056"/>
    <w:rsid w:val="02A1111E"/>
    <w:rsid w:val="02A33587"/>
    <w:rsid w:val="02A37765"/>
    <w:rsid w:val="02A66735"/>
    <w:rsid w:val="02A76009"/>
    <w:rsid w:val="02AF0A87"/>
    <w:rsid w:val="02B0310F"/>
    <w:rsid w:val="02B04C7B"/>
    <w:rsid w:val="02B10FBF"/>
    <w:rsid w:val="02B26E88"/>
    <w:rsid w:val="02B45C6A"/>
    <w:rsid w:val="02B747A4"/>
    <w:rsid w:val="02B75925"/>
    <w:rsid w:val="02B91B8A"/>
    <w:rsid w:val="02BC1AB4"/>
    <w:rsid w:val="02BC5324"/>
    <w:rsid w:val="02BE3A7E"/>
    <w:rsid w:val="02BE582C"/>
    <w:rsid w:val="02BF3353"/>
    <w:rsid w:val="02C03F6E"/>
    <w:rsid w:val="02C279B9"/>
    <w:rsid w:val="02C4318A"/>
    <w:rsid w:val="02C439E2"/>
    <w:rsid w:val="02C62933"/>
    <w:rsid w:val="02C646E1"/>
    <w:rsid w:val="02CA5C9C"/>
    <w:rsid w:val="02CB5C1E"/>
    <w:rsid w:val="02CE3596"/>
    <w:rsid w:val="02D16C6C"/>
    <w:rsid w:val="02D43BB3"/>
    <w:rsid w:val="02D74B40"/>
    <w:rsid w:val="02D8781A"/>
    <w:rsid w:val="02DB2E36"/>
    <w:rsid w:val="02DB6087"/>
    <w:rsid w:val="02DD1A2B"/>
    <w:rsid w:val="02DE532E"/>
    <w:rsid w:val="02E67851"/>
    <w:rsid w:val="02E76B51"/>
    <w:rsid w:val="02E9451B"/>
    <w:rsid w:val="02E95F13"/>
    <w:rsid w:val="02F0175E"/>
    <w:rsid w:val="02F02D11"/>
    <w:rsid w:val="02F03828"/>
    <w:rsid w:val="02F11294"/>
    <w:rsid w:val="02F2197A"/>
    <w:rsid w:val="02F4124E"/>
    <w:rsid w:val="02F56D74"/>
    <w:rsid w:val="02F7364A"/>
    <w:rsid w:val="02FB2816"/>
    <w:rsid w:val="02FE5FA0"/>
    <w:rsid w:val="0301396B"/>
    <w:rsid w:val="03044E5C"/>
    <w:rsid w:val="03046083"/>
    <w:rsid w:val="03051701"/>
    <w:rsid w:val="030714B9"/>
    <w:rsid w:val="03075F8C"/>
    <w:rsid w:val="030A0A85"/>
    <w:rsid w:val="030B2A3C"/>
    <w:rsid w:val="030C1DEF"/>
    <w:rsid w:val="030C33A5"/>
    <w:rsid w:val="030D40BE"/>
    <w:rsid w:val="0312037F"/>
    <w:rsid w:val="03123F09"/>
    <w:rsid w:val="03127926"/>
    <w:rsid w:val="031350B4"/>
    <w:rsid w:val="03157416"/>
    <w:rsid w:val="031762EC"/>
    <w:rsid w:val="03191F32"/>
    <w:rsid w:val="031A14FC"/>
    <w:rsid w:val="031A59A9"/>
    <w:rsid w:val="031A6EC7"/>
    <w:rsid w:val="031B02E3"/>
    <w:rsid w:val="031D5683"/>
    <w:rsid w:val="032338E1"/>
    <w:rsid w:val="03236BFE"/>
    <w:rsid w:val="03237D85"/>
    <w:rsid w:val="032523F6"/>
    <w:rsid w:val="03290C67"/>
    <w:rsid w:val="032E45F7"/>
    <w:rsid w:val="03314869"/>
    <w:rsid w:val="03322330"/>
    <w:rsid w:val="033755DF"/>
    <w:rsid w:val="03386FD9"/>
    <w:rsid w:val="03391357"/>
    <w:rsid w:val="03394EB3"/>
    <w:rsid w:val="033B0AE2"/>
    <w:rsid w:val="033F6241"/>
    <w:rsid w:val="03415FA4"/>
    <w:rsid w:val="03443858"/>
    <w:rsid w:val="03465C43"/>
    <w:rsid w:val="034877EC"/>
    <w:rsid w:val="034A593C"/>
    <w:rsid w:val="034D660C"/>
    <w:rsid w:val="034E4899"/>
    <w:rsid w:val="034F0B7A"/>
    <w:rsid w:val="034F570A"/>
    <w:rsid w:val="035166A0"/>
    <w:rsid w:val="035511BA"/>
    <w:rsid w:val="03580226"/>
    <w:rsid w:val="03597303"/>
    <w:rsid w:val="035C774A"/>
    <w:rsid w:val="035E2B6B"/>
    <w:rsid w:val="035F68A1"/>
    <w:rsid w:val="0360013E"/>
    <w:rsid w:val="0360556D"/>
    <w:rsid w:val="03634626"/>
    <w:rsid w:val="03664DF0"/>
    <w:rsid w:val="03685798"/>
    <w:rsid w:val="03687101"/>
    <w:rsid w:val="036939F1"/>
    <w:rsid w:val="036963C2"/>
    <w:rsid w:val="036B54EE"/>
    <w:rsid w:val="036D187B"/>
    <w:rsid w:val="036D498E"/>
    <w:rsid w:val="036E065F"/>
    <w:rsid w:val="037151E1"/>
    <w:rsid w:val="03726617"/>
    <w:rsid w:val="03754247"/>
    <w:rsid w:val="0377104C"/>
    <w:rsid w:val="037B371D"/>
    <w:rsid w:val="037C4EA4"/>
    <w:rsid w:val="037F0C65"/>
    <w:rsid w:val="03807C96"/>
    <w:rsid w:val="0381685A"/>
    <w:rsid w:val="038172C3"/>
    <w:rsid w:val="03835F7C"/>
    <w:rsid w:val="03887BE8"/>
    <w:rsid w:val="03894187"/>
    <w:rsid w:val="038A7E1F"/>
    <w:rsid w:val="038D3834"/>
    <w:rsid w:val="038F541B"/>
    <w:rsid w:val="03911F91"/>
    <w:rsid w:val="03913FFC"/>
    <w:rsid w:val="03947474"/>
    <w:rsid w:val="039823BA"/>
    <w:rsid w:val="039A36A3"/>
    <w:rsid w:val="039C5442"/>
    <w:rsid w:val="039D18E6"/>
    <w:rsid w:val="039E740C"/>
    <w:rsid w:val="03A041C4"/>
    <w:rsid w:val="03A04725"/>
    <w:rsid w:val="03A53B02"/>
    <w:rsid w:val="03A763E2"/>
    <w:rsid w:val="03AB0F93"/>
    <w:rsid w:val="03AC7D7B"/>
    <w:rsid w:val="03AD6210"/>
    <w:rsid w:val="03AE6494"/>
    <w:rsid w:val="03AF33C7"/>
    <w:rsid w:val="03B13237"/>
    <w:rsid w:val="03B23C23"/>
    <w:rsid w:val="03B35EB3"/>
    <w:rsid w:val="03B409DD"/>
    <w:rsid w:val="03B65C37"/>
    <w:rsid w:val="03B810A8"/>
    <w:rsid w:val="03B86D3B"/>
    <w:rsid w:val="03B92498"/>
    <w:rsid w:val="03B94246"/>
    <w:rsid w:val="03BA2D0A"/>
    <w:rsid w:val="03BE7AAE"/>
    <w:rsid w:val="03C33A72"/>
    <w:rsid w:val="03C35CD1"/>
    <w:rsid w:val="03C36E72"/>
    <w:rsid w:val="03C433CE"/>
    <w:rsid w:val="03C445CD"/>
    <w:rsid w:val="03C50E3C"/>
    <w:rsid w:val="03C70711"/>
    <w:rsid w:val="03C74658"/>
    <w:rsid w:val="03C926DB"/>
    <w:rsid w:val="03CC7D9D"/>
    <w:rsid w:val="03CE2948"/>
    <w:rsid w:val="03CE2C92"/>
    <w:rsid w:val="03CE5F43"/>
    <w:rsid w:val="03D11C50"/>
    <w:rsid w:val="03D304C7"/>
    <w:rsid w:val="03D4075A"/>
    <w:rsid w:val="03D42711"/>
    <w:rsid w:val="03D625F8"/>
    <w:rsid w:val="03D70B20"/>
    <w:rsid w:val="03D93AFE"/>
    <w:rsid w:val="03D94328"/>
    <w:rsid w:val="03DC18AC"/>
    <w:rsid w:val="03E017D2"/>
    <w:rsid w:val="03E17B9A"/>
    <w:rsid w:val="03E200F4"/>
    <w:rsid w:val="03E254DD"/>
    <w:rsid w:val="03E43E4E"/>
    <w:rsid w:val="03E51B0A"/>
    <w:rsid w:val="03E605DC"/>
    <w:rsid w:val="03E84FE9"/>
    <w:rsid w:val="03E92476"/>
    <w:rsid w:val="03E961D3"/>
    <w:rsid w:val="03EA08A3"/>
    <w:rsid w:val="03EB7A7C"/>
    <w:rsid w:val="03EC461B"/>
    <w:rsid w:val="03EE2544"/>
    <w:rsid w:val="03EE3EEF"/>
    <w:rsid w:val="03EE5DD1"/>
    <w:rsid w:val="03EF1CA2"/>
    <w:rsid w:val="03F42B75"/>
    <w:rsid w:val="03F5167A"/>
    <w:rsid w:val="03F5499C"/>
    <w:rsid w:val="03F67248"/>
    <w:rsid w:val="03F92894"/>
    <w:rsid w:val="03FA3682"/>
    <w:rsid w:val="03FA54CA"/>
    <w:rsid w:val="03FD05D6"/>
    <w:rsid w:val="03FF60FC"/>
    <w:rsid w:val="04004037"/>
    <w:rsid w:val="0402275D"/>
    <w:rsid w:val="040506A5"/>
    <w:rsid w:val="04070A5F"/>
    <w:rsid w:val="040C6EF6"/>
    <w:rsid w:val="040C7261"/>
    <w:rsid w:val="040D00EE"/>
    <w:rsid w:val="040E6340"/>
    <w:rsid w:val="041360EA"/>
    <w:rsid w:val="041F585D"/>
    <w:rsid w:val="041F6E42"/>
    <w:rsid w:val="04200EA5"/>
    <w:rsid w:val="04243FF5"/>
    <w:rsid w:val="042463C9"/>
    <w:rsid w:val="0425771E"/>
    <w:rsid w:val="042711AF"/>
    <w:rsid w:val="04277401"/>
    <w:rsid w:val="04290C7D"/>
    <w:rsid w:val="042B1FFA"/>
    <w:rsid w:val="042B4352"/>
    <w:rsid w:val="042E69E2"/>
    <w:rsid w:val="042F12D9"/>
    <w:rsid w:val="04313150"/>
    <w:rsid w:val="043249F7"/>
    <w:rsid w:val="0435689D"/>
    <w:rsid w:val="043645A3"/>
    <w:rsid w:val="043E3628"/>
    <w:rsid w:val="043F474B"/>
    <w:rsid w:val="044004C3"/>
    <w:rsid w:val="04441D61"/>
    <w:rsid w:val="04446205"/>
    <w:rsid w:val="04447FB3"/>
    <w:rsid w:val="044917EB"/>
    <w:rsid w:val="044C7700"/>
    <w:rsid w:val="044D5272"/>
    <w:rsid w:val="044E0E32"/>
    <w:rsid w:val="044E2BE0"/>
    <w:rsid w:val="044E498E"/>
    <w:rsid w:val="044F4059"/>
    <w:rsid w:val="045026B6"/>
    <w:rsid w:val="045126D0"/>
    <w:rsid w:val="04567CE7"/>
    <w:rsid w:val="04584026"/>
    <w:rsid w:val="04592275"/>
    <w:rsid w:val="045A29B7"/>
    <w:rsid w:val="045A3409"/>
    <w:rsid w:val="045B1871"/>
    <w:rsid w:val="045F4DF2"/>
    <w:rsid w:val="045F6B9B"/>
    <w:rsid w:val="046027B8"/>
    <w:rsid w:val="0461636B"/>
    <w:rsid w:val="04622410"/>
    <w:rsid w:val="046264FB"/>
    <w:rsid w:val="0462668B"/>
    <w:rsid w:val="046356D4"/>
    <w:rsid w:val="04642C0B"/>
    <w:rsid w:val="04657F2A"/>
    <w:rsid w:val="046A7017"/>
    <w:rsid w:val="046C7FA9"/>
    <w:rsid w:val="04700DA8"/>
    <w:rsid w:val="04710DA6"/>
    <w:rsid w:val="04722D72"/>
    <w:rsid w:val="0472779E"/>
    <w:rsid w:val="04737592"/>
    <w:rsid w:val="04745E8C"/>
    <w:rsid w:val="04753068"/>
    <w:rsid w:val="04772D59"/>
    <w:rsid w:val="04783610"/>
    <w:rsid w:val="047B1F91"/>
    <w:rsid w:val="047D34C5"/>
    <w:rsid w:val="0482288A"/>
    <w:rsid w:val="04832802"/>
    <w:rsid w:val="04842AA6"/>
    <w:rsid w:val="04864EB4"/>
    <w:rsid w:val="04894DE2"/>
    <w:rsid w:val="048B1C18"/>
    <w:rsid w:val="048B7990"/>
    <w:rsid w:val="048E2934"/>
    <w:rsid w:val="048E56D2"/>
    <w:rsid w:val="0492119E"/>
    <w:rsid w:val="0492337E"/>
    <w:rsid w:val="04950B0F"/>
    <w:rsid w:val="049525BD"/>
    <w:rsid w:val="049737C9"/>
    <w:rsid w:val="049820AD"/>
    <w:rsid w:val="049A4E51"/>
    <w:rsid w:val="049A6223"/>
    <w:rsid w:val="049D5915"/>
    <w:rsid w:val="049E5B69"/>
    <w:rsid w:val="04A21C68"/>
    <w:rsid w:val="04A703AC"/>
    <w:rsid w:val="04A70542"/>
    <w:rsid w:val="04AA3B6E"/>
    <w:rsid w:val="04AB1DE0"/>
    <w:rsid w:val="04AB6F20"/>
    <w:rsid w:val="04AC145E"/>
    <w:rsid w:val="04AC1C7A"/>
    <w:rsid w:val="04AD26B1"/>
    <w:rsid w:val="04AE36DF"/>
    <w:rsid w:val="04B30C95"/>
    <w:rsid w:val="04B36EE7"/>
    <w:rsid w:val="04B50EB1"/>
    <w:rsid w:val="04B951C5"/>
    <w:rsid w:val="04BB7424"/>
    <w:rsid w:val="04BC5D9C"/>
    <w:rsid w:val="04BC79BC"/>
    <w:rsid w:val="04C11604"/>
    <w:rsid w:val="04C16ACF"/>
    <w:rsid w:val="04C904B8"/>
    <w:rsid w:val="04CA223B"/>
    <w:rsid w:val="04CC1D57"/>
    <w:rsid w:val="04CE48FD"/>
    <w:rsid w:val="04CE5ACF"/>
    <w:rsid w:val="04CF214E"/>
    <w:rsid w:val="04D330E5"/>
    <w:rsid w:val="04D550AF"/>
    <w:rsid w:val="04D56E5D"/>
    <w:rsid w:val="04D70A40"/>
    <w:rsid w:val="04D728EB"/>
    <w:rsid w:val="04DD5D12"/>
    <w:rsid w:val="04DF7CDC"/>
    <w:rsid w:val="04E83035"/>
    <w:rsid w:val="04E83AB4"/>
    <w:rsid w:val="04EA148F"/>
    <w:rsid w:val="04F03C97"/>
    <w:rsid w:val="04F05A45"/>
    <w:rsid w:val="04F119D5"/>
    <w:rsid w:val="04F30983"/>
    <w:rsid w:val="04F419D9"/>
    <w:rsid w:val="04F60365"/>
    <w:rsid w:val="04F96461"/>
    <w:rsid w:val="04FA6175"/>
    <w:rsid w:val="0500675F"/>
    <w:rsid w:val="05015EA4"/>
    <w:rsid w:val="05024899"/>
    <w:rsid w:val="05025778"/>
    <w:rsid w:val="05026915"/>
    <w:rsid w:val="050532E4"/>
    <w:rsid w:val="050639DD"/>
    <w:rsid w:val="050657D4"/>
    <w:rsid w:val="05083493"/>
    <w:rsid w:val="05090794"/>
    <w:rsid w:val="05092FAB"/>
    <w:rsid w:val="05164FAF"/>
    <w:rsid w:val="051B7341"/>
    <w:rsid w:val="051C2CCB"/>
    <w:rsid w:val="051C2CDE"/>
    <w:rsid w:val="051C3A0F"/>
    <w:rsid w:val="051F10E1"/>
    <w:rsid w:val="051F632A"/>
    <w:rsid w:val="05237BC9"/>
    <w:rsid w:val="05242027"/>
    <w:rsid w:val="05243941"/>
    <w:rsid w:val="0527116F"/>
    <w:rsid w:val="05277AB9"/>
    <w:rsid w:val="052838F5"/>
    <w:rsid w:val="052A0F68"/>
    <w:rsid w:val="052F6738"/>
    <w:rsid w:val="0534627A"/>
    <w:rsid w:val="053528AD"/>
    <w:rsid w:val="053A3164"/>
    <w:rsid w:val="053C1486"/>
    <w:rsid w:val="053E02D9"/>
    <w:rsid w:val="053E2A66"/>
    <w:rsid w:val="05433E8D"/>
    <w:rsid w:val="05447B6A"/>
    <w:rsid w:val="0548762F"/>
    <w:rsid w:val="054B5371"/>
    <w:rsid w:val="054D10EA"/>
    <w:rsid w:val="05570641"/>
    <w:rsid w:val="055A55B4"/>
    <w:rsid w:val="055C30DB"/>
    <w:rsid w:val="055D5BA7"/>
    <w:rsid w:val="056326BB"/>
    <w:rsid w:val="0563739B"/>
    <w:rsid w:val="05644C43"/>
    <w:rsid w:val="05662134"/>
    <w:rsid w:val="056621AB"/>
    <w:rsid w:val="056703FD"/>
    <w:rsid w:val="056C3BFE"/>
    <w:rsid w:val="056D1B50"/>
    <w:rsid w:val="056F5540"/>
    <w:rsid w:val="05704DD8"/>
    <w:rsid w:val="0571113F"/>
    <w:rsid w:val="057179F6"/>
    <w:rsid w:val="05720B50"/>
    <w:rsid w:val="057448C8"/>
    <w:rsid w:val="05747EB4"/>
    <w:rsid w:val="057743B8"/>
    <w:rsid w:val="05777C66"/>
    <w:rsid w:val="057B6F35"/>
    <w:rsid w:val="057C552B"/>
    <w:rsid w:val="057E6063"/>
    <w:rsid w:val="057E74F5"/>
    <w:rsid w:val="05802131"/>
    <w:rsid w:val="05834B0B"/>
    <w:rsid w:val="05857BB8"/>
    <w:rsid w:val="05862F95"/>
    <w:rsid w:val="05864302"/>
    <w:rsid w:val="0587314F"/>
    <w:rsid w:val="0588243D"/>
    <w:rsid w:val="058A0375"/>
    <w:rsid w:val="058A12F3"/>
    <w:rsid w:val="058D7267"/>
    <w:rsid w:val="05915D26"/>
    <w:rsid w:val="05915E18"/>
    <w:rsid w:val="05936076"/>
    <w:rsid w:val="0594666F"/>
    <w:rsid w:val="05976809"/>
    <w:rsid w:val="05986704"/>
    <w:rsid w:val="059A29F4"/>
    <w:rsid w:val="059C5BCD"/>
    <w:rsid w:val="059D3E1F"/>
    <w:rsid w:val="059F180A"/>
    <w:rsid w:val="05A12470"/>
    <w:rsid w:val="05A21435"/>
    <w:rsid w:val="05A30D0A"/>
    <w:rsid w:val="05A60653"/>
    <w:rsid w:val="05A71ABA"/>
    <w:rsid w:val="05A75A44"/>
    <w:rsid w:val="05AA5354"/>
    <w:rsid w:val="05AA5A19"/>
    <w:rsid w:val="05AB5E10"/>
    <w:rsid w:val="05AD1B88"/>
    <w:rsid w:val="05AF0236"/>
    <w:rsid w:val="05AF7E68"/>
    <w:rsid w:val="05B13426"/>
    <w:rsid w:val="05B47256"/>
    <w:rsid w:val="05B86401"/>
    <w:rsid w:val="05B95263"/>
    <w:rsid w:val="05C247CA"/>
    <w:rsid w:val="05C433AD"/>
    <w:rsid w:val="05C46280"/>
    <w:rsid w:val="05C50C80"/>
    <w:rsid w:val="05CA3483"/>
    <w:rsid w:val="05CC64B2"/>
    <w:rsid w:val="05CD3ECE"/>
    <w:rsid w:val="05CD5D86"/>
    <w:rsid w:val="05CF7D50"/>
    <w:rsid w:val="05D3178A"/>
    <w:rsid w:val="05D409C4"/>
    <w:rsid w:val="05D45367"/>
    <w:rsid w:val="05D71A5B"/>
    <w:rsid w:val="05DB00F2"/>
    <w:rsid w:val="05DD246D"/>
    <w:rsid w:val="05DF5861"/>
    <w:rsid w:val="05E11832"/>
    <w:rsid w:val="05E15FB4"/>
    <w:rsid w:val="05E3283B"/>
    <w:rsid w:val="05E57ADF"/>
    <w:rsid w:val="05E800DB"/>
    <w:rsid w:val="05E812AF"/>
    <w:rsid w:val="05E932F4"/>
    <w:rsid w:val="05EA2DDC"/>
    <w:rsid w:val="05EA4B8A"/>
    <w:rsid w:val="05EA5B7B"/>
    <w:rsid w:val="05EB444B"/>
    <w:rsid w:val="05EC0902"/>
    <w:rsid w:val="05EE467B"/>
    <w:rsid w:val="05F15465"/>
    <w:rsid w:val="05F43199"/>
    <w:rsid w:val="05F6627E"/>
    <w:rsid w:val="05F93A8D"/>
    <w:rsid w:val="05FD48BE"/>
    <w:rsid w:val="05FE1D07"/>
    <w:rsid w:val="06004BF8"/>
    <w:rsid w:val="0602210F"/>
    <w:rsid w:val="06025D6E"/>
    <w:rsid w:val="06036A8E"/>
    <w:rsid w:val="0604718B"/>
    <w:rsid w:val="06064044"/>
    <w:rsid w:val="06080B3E"/>
    <w:rsid w:val="06085010"/>
    <w:rsid w:val="060A0D89"/>
    <w:rsid w:val="060D0017"/>
    <w:rsid w:val="060F45F1"/>
    <w:rsid w:val="0611212A"/>
    <w:rsid w:val="061439B5"/>
    <w:rsid w:val="06163BD1"/>
    <w:rsid w:val="06175254"/>
    <w:rsid w:val="0619594C"/>
    <w:rsid w:val="061B11E8"/>
    <w:rsid w:val="061B6030"/>
    <w:rsid w:val="061D0ABC"/>
    <w:rsid w:val="061D2D42"/>
    <w:rsid w:val="061D3EF7"/>
    <w:rsid w:val="061E0B8A"/>
    <w:rsid w:val="061E0F02"/>
    <w:rsid w:val="061E64BE"/>
    <w:rsid w:val="0620235A"/>
    <w:rsid w:val="06206819"/>
    <w:rsid w:val="06206C00"/>
    <w:rsid w:val="062175DB"/>
    <w:rsid w:val="06260C7F"/>
    <w:rsid w:val="062A142B"/>
    <w:rsid w:val="062B6229"/>
    <w:rsid w:val="063127B9"/>
    <w:rsid w:val="06313CDB"/>
    <w:rsid w:val="06320ABE"/>
    <w:rsid w:val="06321BD1"/>
    <w:rsid w:val="0633173B"/>
    <w:rsid w:val="063824B3"/>
    <w:rsid w:val="064029FC"/>
    <w:rsid w:val="0641423D"/>
    <w:rsid w:val="06442DE1"/>
    <w:rsid w:val="06446F34"/>
    <w:rsid w:val="0648365F"/>
    <w:rsid w:val="064852B6"/>
    <w:rsid w:val="06497B03"/>
    <w:rsid w:val="064C1252"/>
    <w:rsid w:val="064C314F"/>
    <w:rsid w:val="064C75F3"/>
    <w:rsid w:val="064E630F"/>
    <w:rsid w:val="06514C09"/>
    <w:rsid w:val="06532730"/>
    <w:rsid w:val="065601E0"/>
    <w:rsid w:val="065B5A88"/>
    <w:rsid w:val="065D35AE"/>
    <w:rsid w:val="065D535C"/>
    <w:rsid w:val="0660735B"/>
    <w:rsid w:val="06612770"/>
    <w:rsid w:val="06622973"/>
    <w:rsid w:val="0662309D"/>
    <w:rsid w:val="066252E8"/>
    <w:rsid w:val="0667442D"/>
    <w:rsid w:val="066D176D"/>
    <w:rsid w:val="067121E3"/>
    <w:rsid w:val="06732DD2"/>
    <w:rsid w:val="06744219"/>
    <w:rsid w:val="06764670"/>
    <w:rsid w:val="067803E8"/>
    <w:rsid w:val="067A4160"/>
    <w:rsid w:val="067D77AC"/>
    <w:rsid w:val="068154EF"/>
    <w:rsid w:val="0681594D"/>
    <w:rsid w:val="068368A8"/>
    <w:rsid w:val="068621C0"/>
    <w:rsid w:val="068A3C77"/>
    <w:rsid w:val="068B011B"/>
    <w:rsid w:val="068C3E93"/>
    <w:rsid w:val="0692095D"/>
    <w:rsid w:val="06955C0E"/>
    <w:rsid w:val="06972B2B"/>
    <w:rsid w:val="069D7E4F"/>
    <w:rsid w:val="06A319F9"/>
    <w:rsid w:val="06A411DD"/>
    <w:rsid w:val="06A5360A"/>
    <w:rsid w:val="06A64813"/>
    <w:rsid w:val="06A967F3"/>
    <w:rsid w:val="06AA62C2"/>
    <w:rsid w:val="06AC0092"/>
    <w:rsid w:val="06AD4AB5"/>
    <w:rsid w:val="06AD62E4"/>
    <w:rsid w:val="06B43C36"/>
    <w:rsid w:val="06B47844"/>
    <w:rsid w:val="06B77996"/>
    <w:rsid w:val="06B84175"/>
    <w:rsid w:val="06BD3EF3"/>
    <w:rsid w:val="06C4362D"/>
    <w:rsid w:val="06C54B78"/>
    <w:rsid w:val="06C62F02"/>
    <w:rsid w:val="06C74ECC"/>
    <w:rsid w:val="06C7697B"/>
    <w:rsid w:val="06C85E67"/>
    <w:rsid w:val="06C8722D"/>
    <w:rsid w:val="06C92F01"/>
    <w:rsid w:val="06C9323D"/>
    <w:rsid w:val="06CA277E"/>
    <w:rsid w:val="06CC4290"/>
    <w:rsid w:val="06D3382F"/>
    <w:rsid w:val="06D52578"/>
    <w:rsid w:val="06D624E1"/>
    <w:rsid w:val="06D80E87"/>
    <w:rsid w:val="06DA50A1"/>
    <w:rsid w:val="06DB3621"/>
    <w:rsid w:val="06DB5BE0"/>
    <w:rsid w:val="06DC2725"/>
    <w:rsid w:val="06DC6D17"/>
    <w:rsid w:val="06E320FF"/>
    <w:rsid w:val="06E42A44"/>
    <w:rsid w:val="06E44633"/>
    <w:rsid w:val="06E65352"/>
    <w:rsid w:val="06E727B9"/>
    <w:rsid w:val="06E829A8"/>
    <w:rsid w:val="06E93DA2"/>
    <w:rsid w:val="06EE5CF3"/>
    <w:rsid w:val="06F07F7E"/>
    <w:rsid w:val="06F20330"/>
    <w:rsid w:val="06F30062"/>
    <w:rsid w:val="06F32426"/>
    <w:rsid w:val="06FA0DFD"/>
    <w:rsid w:val="06FB04C5"/>
    <w:rsid w:val="06FC31AA"/>
    <w:rsid w:val="06FE7F2C"/>
    <w:rsid w:val="06FF6413"/>
    <w:rsid w:val="07012746"/>
    <w:rsid w:val="07035F04"/>
    <w:rsid w:val="07091040"/>
    <w:rsid w:val="070954E4"/>
    <w:rsid w:val="070A1BE7"/>
    <w:rsid w:val="070D464D"/>
    <w:rsid w:val="070E6657"/>
    <w:rsid w:val="070F12BE"/>
    <w:rsid w:val="070F6488"/>
    <w:rsid w:val="07117EF5"/>
    <w:rsid w:val="07133C6D"/>
    <w:rsid w:val="071512B2"/>
    <w:rsid w:val="071714BF"/>
    <w:rsid w:val="07197625"/>
    <w:rsid w:val="071A61E9"/>
    <w:rsid w:val="071B549B"/>
    <w:rsid w:val="071F445E"/>
    <w:rsid w:val="07201DC4"/>
    <w:rsid w:val="07237325"/>
    <w:rsid w:val="07240910"/>
    <w:rsid w:val="072440CC"/>
    <w:rsid w:val="072445B9"/>
    <w:rsid w:val="07261BF2"/>
    <w:rsid w:val="0728596A"/>
    <w:rsid w:val="072B0FB7"/>
    <w:rsid w:val="072B365E"/>
    <w:rsid w:val="072E5B63"/>
    <w:rsid w:val="073133BC"/>
    <w:rsid w:val="07344D31"/>
    <w:rsid w:val="073562D9"/>
    <w:rsid w:val="073F4A62"/>
    <w:rsid w:val="07414C7E"/>
    <w:rsid w:val="07421D53"/>
    <w:rsid w:val="07427001"/>
    <w:rsid w:val="074327A4"/>
    <w:rsid w:val="074B6498"/>
    <w:rsid w:val="074B717F"/>
    <w:rsid w:val="07500A1D"/>
    <w:rsid w:val="075077D4"/>
    <w:rsid w:val="07517066"/>
    <w:rsid w:val="0752156E"/>
    <w:rsid w:val="0754675F"/>
    <w:rsid w:val="07550D92"/>
    <w:rsid w:val="075524D7"/>
    <w:rsid w:val="075619C6"/>
    <w:rsid w:val="075B6A1A"/>
    <w:rsid w:val="07603356"/>
    <w:rsid w:val="076047E9"/>
    <w:rsid w:val="07612C2A"/>
    <w:rsid w:val="07630750"/>
    <w:rsid w:val="07634BF4"/>
    <w:rsid w:val="076B52C5"/>
    <w:rsid w:val="076E3237"/>
    <w:rsid w:val="07702E6D"/>
    <w:rsid w:val="07724E37"/>
    <w:rsid w:val="07726BE5"/>
    <w:rsid w:val="0773573F"/>
    <w:rsid w:val="07752464"/>
    <w:rsid w:val="077566D6"/>
    <w:rsid w:val="07763E57"/>
    <w:rsid w:val="07783040"/>
    <w:rsid w:val="07797F74"/>
    <w:rsid w:val="077B4440"/>
    <w:rsid w:val="077D7AD1"/>
    <w:rsid w:val="07816F78"/>
    <w:rsid w:val="078D1C71"/>
    <w:rsid w:val="079052BE"/>
    <w:rsid w:val="07912F53"/>
    <w:rsid w:val="07950AB7"/>
    <w:rsid w:val="079528D4"/>
    <w:rsid w:val="07955F08"/>
    <w:rsid w:val="079B438E"/>
    <w:rsid w:val="079C3C62"/>
    <w:rsid w:val="079C5E01"/>
    <w:rsid w:val="079E06FB"/>
    <w:rsid w:val="079E5C2C"/>
    <w:rsid w:val="07A0301B"/>
    <w:rsid w:val="07A1396F"/>
    <w:rsid w:val="07A20F56"/>
    <w:rsid w:val="07A30FBC"/>
    <w:rsid w:val="07A34FF1"/>
    <w:rsid w:val="07A5520D"/>
    <w:rsid w:val="07A61834"/>
    <w:rsid w:val="07A70F85"/>
    <w:rsid w:val="07AB186F"/>
    <w:rsid w:val="07AB4678"/>
    <w:rsid w:val="07B27217"/>
    <w:rsid w:val="07B2792A"/>
    <w:rsid w:val="07B354B4"/>
    <w:rsid w:val="07B471FE"/>
    <w:rsid w:val="07B47968"/>
    <w:rsid w:val="07B77E12"/>
    <w:rsid w:val="07BC4DD3"/>
    <w:rsid w:val="07BC60B3"/>
    <w:rsid w:val="07BD6B04"/>
    <w:rsid w:val="07BF427C"/>
    <w:rsid w:val="07C518D4"/>
    <w:rsid w:val="07C60674"/>
    <w:rsid w:val="07C84A57"/>
    <w:rsid w:val="07CC13D1"/>
    <w:rsid w:val="07CC279A"/>
    <w:rsid w:val="07CD206E"/>
    <w:rsid w:val="07CE4C6A"/>
    <w:rsid w:val="07CF4038"/>
    <w:rsid w:val="07CF5788"/>
    <w:rsid w:val="07CF72CB"/>
    <w:rsid w:val="07D1089D"/>
    <w:rsid w:val="07D21D7A"/>
    <w:rsid w:val="07D26CDD"/>
    <w:rsid w:val="07D41F0B"/>
    <w:rsid w:val="07D85083"/>
    <w:rsid w:val="07D853E1"/>
    <w:rsid w:val="07D931AC"/>
    <w:rsid w:val="07DA364E"/>
    <w:rsid w:val="07DB720D"/>
    <w:rsid w:val="07DE24CD"/>
    <w:rsid w:val="07DE427B"/>
    <w:rsid w:val="07E101E8"/>
    <w:rsid w:val="07E35D35"/>
    <w:rsid w:val="07EF2939"/>
    <w:rsid w:val="07EF50C2"/>
    <w:rsid w:val="07F1500B"/>
    <w:rsid w:val="07F257A8"/>
    <w:rsid w:val="07F2603A"/>
    <w:rsid w:val="07F74BC0"/>
    <w:rsid w:val="07F92E63"/>
    <w:rsid w:val="07FB6BDB"/>
    <w:rsid w:val="07FC2953"/>
    <w:rsid w:val="07FC39A0"/>
    <w:rsid w:val="07FE491D"/>
    <w:rsid w:val="08015458"/>
    <w:rsid w:val="08024FFB"/>
    <w:rsid w:val="08031F33"/>
    <w:rsid w:val="08037799"/>
    <w:rsid w:val="080663AF"/>
    <w:rsid w:val="080726D2"/>
    <w:rsid w:val="080737D2"/>
    <w:rsid w:val="08077B5C"/>
    <w:rsid w:val="08083BE2"/>
    <w:rsid w:val="0808754A"/>
    <w:rsid w:val="080C0DE8"/>
    <w:rsid w:val="080C2145"/>
    <w:rsid w:val="080D690E"/>
    <w:rsid w:val="080E48E0"/>
    <w:rsid w:val="080F6B2A"/>
    <w:rsid w:val="08114650"/>
    <w:rsid w:val="08116465"/>
    <w:rsid w:val="081B102B"/>
    <w:rsid w:val="081E0B1B"/>
    <w:rsid w:val="081E4FBF"/>
    <w:rsid w:val="081F5D77"/>
    <w:rsid w:val="08205941"/>
    <w:rsid w:val="0821009F"/>
    <w:rsid w:val="082209D1"/>
    <w:rsid w:val="08225927"/>
    <w:rsid w:val="0823665B"/>
    <w:rsid w:val="082425D6"/>
    <w:rsid w:val="082539F8"/>
    <w:rsid w:val="08275F8B"/>
    <w:rsid w:val="082A7556"/>
    <w:rsid w:val="082E2B16"/>
    <w:rsid w:val="082F49A4"/>
    <w:rsid w:val="08306E67"/>
    <w:rsid w:val="08310AE1"/>
    <w:rsid w:val="08311379"/>
    <w:rsid w:val="08316DDD"/>
    <w:rsid w:val="08363C9D"/>
    <w:rsid w:val="08373C6B"/>
    <w:rsid w:val="08395955"/>
    <w:rsid w:val="083E2F6B"/>
    <w:rsid w:val="08407581"/>
    <w:rsid w:val="08420103"/>
    <w:rsid w:val="08444A26"/>
    <w:rsid w:val="08497A06"/>
    <w:rsid w:val="084E684E"/>
    <w:rsid w:val="08536A17"/>
    <w:rsid w:val="08543965"/>
    <w:rsid w:val="08565DD1"/>
    <w:rsid w:val="085877FA"/>
    <w:rsid w:val="085D4452"/>
    <w:rsid w:val="085E3D2F"/>
    <w:rsid w:val="085E5D7F"/>
    <w:rsid w:val="08602EE2"/>
    <w:rsid w:val="086048B9"/>
    <w:rsid w:val="08607386"/>
    <w:rsid w:val="086104DE"/>
    <w:rsid w:val="08610AB6"/>
    <w:rsid w:val="086257F1"/>
    <w:rsid w:val="08666A74"/>
    <w:rsid w:val="086A22E8"/>
    <w:rsid w:val="086A3D60"/>
    <w:rsid w:val="086C1887"/>
    <w:rsid w:val="086C7875"/>
    <w:rsid w:val="086E2339"/>
    <w:rsid w:val="086E28BD"/>
    <w:rsid w:val="086F75C9"/>
    <w:rsid w:val="0871591C"/>
    <w:rsid w:val="0875108C"/>
    <w:rsid w:val="08754DA3"/>
    <w:rsid w:val="0878647D"/>
    <w:rsid w:val="08790B22"/>
    <w:rsid w:val="087B0910"/>
    <w:rsid w:val="087B12EE"/>
    <w:rsid w:val="087B38BF"/>
    <w:rsid w:val="087B7D1C"/>
    <w:rsid w:val="087D3493"/>
    <w:rsid w:val="08800364"/>
    <w:rsid w:val="088176B4"/>
    <w:rsid w:val="088210AA"/>
    <w:rsid w:val="08834CC4"/>
    <w:rsid w:val="0889727B"/>
    <w:rsid w:val="088A1CDA"/>
    <w:rsid w:val="088A7E7C"/>
    <w:rsid w:val="088C017B"/>
    <w:rsid w:val="088C429A"/>
    <w:rsid w:val="088D0955"/>
    <w:rsid w:val="088E5CA1"/>
    <w:rsid w:val="088F40F0"/>
    <w:rsid w:val="08901A19"/>
    <w:rsid w:val="08907C6B"/>
    <w:rsid w:val="089112ED"/>
    <w:rsid w:val="08911589"/>
    <w:rsid w:val="089278F1"/>
    <w:rsid w:val="089332B7"/>
    <w:rsid w:val="08955281"/>
    <w:rsid w:val="089A5310"/>
    <w:rsid w:val="089B49C0"/>
    <w:rsid w:val="08A543EB"/>
    <w:rsid w:val="08A6617B"/>
    <w:rsid w:val="08AC25CB"/>
    <w:rsid w:val="08AC4F95"/>
    <w:rsid w:val="08AF5C17"/>
    <w:rsid w:val="08AF79C5"/>
    <w:rsid w:val="08B22FC4"/>
    <w:rsid w:val="08B446D3"/>
    <w:rsid w:val="08B51480"/>
    <w:rsid w:val="08B66FA6"/>
    <w:rsid w:val="08B67622"/>
    <w:rsid w:val="08B80F70"/>
    <w:rsid w:val="08B9738C"/>
    <w:rsid w:val="08BB49AA"/>
    <w:rsid w:val="08BB636A"/>
    <w:rsid w:val="08BF22FE"/>
    <w:rsid w:val="08C1759F"/>
    <w:rsid w:val="08C30BCF"/>
    <w:rsid w:val="08C41E93"/>
    <w:rsid w:val="08C94F2B"/>
    <w:rsid w:val="08CA6B81"/>
    <w:rsid w:val="08CA7849"/>
    <w:rsid w:val="08CB37BE"/>
    <w:rsid w:val="08CB4F2E"/>
    <w:rsid w:val="08CB7ECA"/>
    <w:rsid w:val="08D47E6A"/>
    <w:rsid w:val="08D51B22"/>
    <w:rsid w:val="08D5567E"/>
    <w:rsid w:val="08D95EA5"/>
    <w:rsid w:val="08DD1A09"/>
    <w:rsid w:val="08DF5710"/>
    <w:rsid w:val="08E027E3"/>
    <w:rsid w:val="08E311FC"/>
    <w:rsid w:val="08E41D65"/>
    <w:rsid w:val="08E458C1"/>
    <w:rsid w:val="08E73603"/>
    <w:rsid w:val="08E753B1"/>
    <w:rsid w:val="08EB4EA1"/>
    <w:rsid w:val="08EB6057"/>
    <w:rsid w:val="08EC0C19"/>
    <w:rsid w:val="08EE26CD"/>
    <w:rsid w:val="08EE403A"/>
    <w:rsid w:val="08F20176"/>
    <w:rsid w:val="08F31FA8"/>
    <w:rsid w:val="08F33D56"/>
    <w:rsid w:val="08F5187C"/>
    <w:rsid w:val="08F55AC8"/>
    <w:rsid w:val="08F64EA8"/>
    <w:rsid w:val="08FE3C5D"/>
    <w:rsid w:val="090146C5"/>
    <w:rsid w:val="09016480"/>
    <w:rsid w:val="09061334"/>
    <w:rsid w:val="09075D29"/>
    <w:rsid w:val="090917CB"/>
    <w:rsid w:val="090A2CE8"/>
    <w:rsid w:val="090B10A0"/>
    <w:rsid w:val="090B4EFE"/>
    <w:rsid w:val="090C4E18"/>
    <w:rsid w:val="090C58D8"/>
    <w:rsid w:val="090E4A23"/>
    <w:rsid w:val="0910310F"/>
    <w:rsid w:val="09124697"/>
    <w:rsid w:val="09173EE8"/>
    <w:rsid w:val="09185B72"/>
    <w:rsid w:val="091943FA"/>
    <w:rsid w:val="0919780A"/>
    <w:rsid w:val="091B5818"/>
    <w:rsid w:val="091C0E44"/>
    <w:rsid w:val="091C14FF"/>
    <w:rsid w:val="091C4700"/>
    <w:rsid w:val="091D7025"/>
    <w:rsid w:val="091E5277"/>
    <w:rsid w:val="09202B8C"/>
    <w:rsid w:val="092108C3"/>
    <w:rsid w:val="09287EA3"/>
    <w:rsid w:val="092969F8"/>
    <w:rsid w:val="092B5AC2"/>
    <w:rsid w:val="092C0E55"/>
    <w:rsid w:val="092C7268"/>
    <w:rsid w:val="092F38E1"/>
    <w:rsid w:val="092F56DA"/>
    <w:rsid w:val="09311994"/>
    <w:rsid w:val="093377B7"/>
    <w:rsid w:val="0937003C"/>
    <w:rsid w:val="093700E7"/>
    <w:rsid w:val="093C0EF7"/>
    <w:rsid w:val="09410E23"/>
    <w:rsid w:val="09420839"/>
    <w:rsid w:val="0943045A"/>
    <w:rsid w:val="094535D3"/>
    <w:rsid w:val="094620D8"/>
    <w:rsid w:val="094769BC"/>
    <w:rsid w:val="094D1EDB"/>
    <w:rsid w:val="094D34D3"/>
    <w:rsid w:val="094E1D15"/>
    <w:rsid w:val="09504314"/>
    <w:rsid w:val="095073FA"/>
    <w:rsid w:val="09524F20"/>
    <w:rsid w:val="09540018"/>
    <w:rsid w:val="095867C9"/>
    <w:rsid w:val="09594501"/>
    <w:rsid w:val="095A5B83"/>
    <w:rsid w:val="095A6844"/>
    <w:rsid w:val="095C7B4D"/>
    <w:rsid w:val="095D2D10"/>
    <w:rsid w:val="09634965"/>
    <w:rsid w:val="09645AD7"/>
    <w:rsid w:val="0966277A"/>
    <w:rsid w:val="09680F25"/>
    <w:rsid w:val="096A1D99"/>
    <w:rsid w:val="096C1F3D"/>
    <w:rsid w:val="096D1D5A"/>
    <w:rsid w:val="09710A30"/>
    <w:rsid w:val="097114B0"/>
    <w:rsid w:val="09741BF2"/>
    <w:rsid w:val="097517FF"/>
    <w:rsid w:val="09774585"/>
    <w:rsid w:val="09777325"/>
    <w:rsid w:val="0977741B"/>
    <w:rsid w:val="097906FF"/>
    <w:rsid w:val="097C2DC7"/>
    <w:rsid w:val="097C4FDC"/>
    <w:rsid w:val="097C60B7"/>
    <w:rsid w:val="097E5D15"/>
    <w:rsid w:val="097F383C"/>
    <w:rsid w:val="09811DD5"/>
    <w:rsid w:val="09815580"/>
    <w:rsid w:val="09815AF3"/>
    <w:rsid w:val="09834021"/>
    <w:rsid w:val="098350DA"/>
    <w:rsid w:val="098447C8"/>
    <w:rsid w:val="09845259"/>
    <w:rsid w:val="098608AA"/>
    <w:rsid w:val="0987234B"/>
    <w:rsid w:val="09874494"/>
    <w:rsid w:val="098B55EB"/>
    <w:rsid w:val="098E20DC"/>
    <w:rsid w:val="098E4429"/>
    <w:rsid w:val="098E7095"/>
    <w:rsid w:val="098F0414"/>
    <w:rsid w:val="09906FB0"/>
    <w:rsid w:val="0992531D"/>
    <w:rsid w:val="09945539"/>
    <w:rsid w:val="0995305F"/>
    <w:rsid w:val="099542E4"/>
    <w:rsid w:val="09970B85"/>
    <w:rsid w:val="099A0675"/>
    <w:rsid w:val="099E1F11"/>
    <w:rsid w:val="099E1F14"/>
    <w:rsid w:val="09A137B2"/>
    <w:rsid w:val="09A552C3"/>
    <w:rsid w:val="09A6526C"/>
    <w:rsid w:val="09AB5D2C"/>
    <w:rsid w:val="09AC15B5"/>
    <w:rsid w:val="09AC1E04"/>
    <w:rsid w:val="09AC335B"/>
    <w:rsid w:val="09AF5ECF"/>
    <w:rsid w:val="09B05C89"/>
    <w:rsid w:val="09B12DC9"/>
    <w:rsid w:val="09B218EA"/>
    <w:rsid w:val="09B21F65"/>
    <w:rsid w:val="09B250AF"/>
    <w:rsid w:val="09B2776D"/>
    <w:rsid w:val="09B94F9F"/>
    <w:rsid w:val="09BB1D63"/>
    <w:rsid w:val="09BC05EC"/>
    <w:rsid w:val="09BC4A90"/>
    <w:rsid w:val="09C01DAC"/>
    <w:rsid w:val="09C53944"/>
    <w:rsid w:val="09C64E51"/>
    <w:rsid w:val="09C917B0"/>
    <w:rsid w:val="09C92F7C"/>
    <w:rsid w:val="09CE5FB9"/>
    <w:rsid w:val="09CF6571"/>
    <w:rsid w:val="09D04097"/>
    <w:rsid w:val="09D04526"/>
    <w:rsid w:val="09D31CD0"/>
    <w:rsid w:val="09D405A0"/>
    <w:rsid w:val="09D45935"/>
    <w:rsid w:val="09D703DA"/>
    <w:rsid w:val="09D96E10"/>
    <w:rsid w:val="09DB2D6D"/>
    <w:rsid w:val="09DE0562"/>
    <w:rsid w:val="09DF0161"/>
    <w:rsid w:val="09DF42DA"/>
    <w:rsid w:val="09E2289D"/>
    <w:rsid w:val="09E357DD"/>
    <w:rsid w:val="09E44461"/>
    <w:rsid w:val="09E77C46"/>
    <w:rsid w:val="09EA33AB"/>
    <w:rsid w:val="09F00295"/>
    <w:rsid w:val="09F4422A"/>
    <w:rsid w:val="09F47AFF"/>
    <w:rsid w:val="09F66897"/>
    <w:rsid w:val="09FF07AD"/>
    <w:rsid w:val="0A014251"/>
    <w:rsid w:val="0A027B58"/>
    <w:rsid w:val="0A03621B"/>
    <w:rsid w:val="0A0567D4"/>
    <w:rsid w:val="0A07571A"/>
    <w:rsid w:val="0A083831"/>
    <w:rsid w:val="0A087100"/>
    <w:rsid w:val="0A0B4415"/>
    <w:rsid w:val="0A0B4470"/>
    <w:rsid w:val="0A0F4BBF"/>
    <w:rsid w:val="0A132204"/>
    <w:rsid w:val="0A1641A0"/>
    <w:rsid w:val="0A193C90"/>
    <w:rsid w:val="0A1A2AD5"/>
    <w:rsid w:val="0A1C6979"/>
    <w:rsid w:val="0A2009B7"/>
    <w:rsid w:val="0A214440"/>
    <w:rsid w:val="0A244BCF"/>
    <w:rsid w:val="0A2C2FE8"/>
    <w:rsid w:val="0A2D14EA"/>
    <w:rsid w:val="0A2E7FAE"/>
    <w:rsid w:val="0A353EF1"/>
    <w:rsid w:val="0A364ECD"/>
    <w:rsid w:val="0A382368"/>
    <w:rsid w:val="0A3960E0"/>
    <w:rsid w:val="0A3A3A19"/>
    <w:rsid w:val="0A3D24AF"/>
    <w:rsid w:val="0A3D5C6E"/>
    <w:rsid w:val="0A3D797F"/>
    <w:rsid w:val="0A3E257A"/>
    <w:rsid w:val="0A3E2F9C"/>
    <w:rsid w:val="0A44195D"/>
    <w:rsid w:val="0A451CCC"/>
    <w:rsid w:val="0A4725AB"/>
    <w:rsid w:val="0A486323"/>
    <w:rsid w:val="0A494371"/>
    <w:rsid w:val="0A4D14AB"/>
    <w:rsid w:val="0A4D1E2D"/>
    <w:rsid w:val="0A4D5C46"/>
    <w:rsid w:val="0A557443"/>
    <w:rsid w:val="0A56047D"/>
    <w:rsid w:val="0A590531"/>
    <w:rsid w:val="0A59408D"/>
    <w:rsid w:val="0A5D2729"/>
    <w:rsid w:val="0A5F5B47"/>
    <w:rsid w:val="0A641334"/>
    <w:rsid w:val="0A6C0264"/>
    <w:rsid w:val="0A6C3DC0"/>
    <w:rsid w:val="0A6C6872"/>
    <w:rsid w:val="0A762E91"/>
    <w:rsid w:val="0A7809B7"/>
    <w:rsid w:val="0A7A6EC7"/>
    <w:rsid w:val="0A7D0A6F"/>
    <w:rsid w:val="0A7F3873"/>
    <w:rsid w:val="0A814736"/>
    <w:rsid w:val="0A8235E3"/>
    <w:rsid w:val="0A8529C3"/>
    <w:rsid w:val="0A86798A"/>
    <w:rsid w:val="0A872958"/>
    <w:rsid w:val="0A886868"/>
    <w:rsid w:val="0A8868ED"/>
    <w:rsid w:val="0A8A6734"/>
    <w:rsid w:val="0A8A693C"/>
    <w:rsid w:val="0A8D2745"/>
    <w:rsid w:val="0A8F5D00"/>
    <w:rsid w:val="0A937F01"/>
    <w:rsid w:val="0A944991"/>
    <w:rsid w:val="0A9635A0"/>
    <w:rsid w:val="0A984BB5"/>
    <w:rsid w:val="0A9A6B7F"/>
    <w:rsid w:val="0A9B386C"/>
    <w:rsid w:val="0A9E061F"/>
    <w:rsid w:val="0AA03A6A"/>
    <w:rsid w:val="0AA22D4C"/>
    <w:rsid w:val="0AA7129C"/>
    <w:rsid w:val="0AA84B1D"/>
    <w:rsid w:val="0AAC3732"/>
    <w:rsid w:val="0AB04806"/>
    <w:rsid w:val="0AB10546"/>
    <w:rsid w:val="0AB13FED"/>
    <w:rsid w:val="0AB539B9"/>
    <w:rsid w:val="0ABA1880"/>
    <w:rsid w:val="0ABB7DEB"/>
    <w:rsid w:val="0ABC39E0"/>
    <w:rsid w:val="0ABE0ED6"/>
    <w:rsid w:val="0ABE50BF"/>
    <w:rsid w:val="0AC21C32"/>
    <w:rsid w:val="0AC260D6"/>
    <w:rsid w:val="0AC27E84"/>
    <w:rsid w:val="0AC459AA"/>
    <w:rsid w:val="0AC82D48"/>
    <w:rsid w:val="0ACA6D38"/>
    <w:rsid w:val="0ACB3BD9"/>
    <w:rsid w:val="0ACB674E"/>
    <w:rsid w:val="0ACD78AC"/>
    <w:rsid w:val="0ACF64E3"/>
    <w:rsid w:val="0AD01057"/>
    <w:rsid w:val="0AD23C8F"/>
    <w:rsid w:val="0AD33E3F"/>
    <w:rsid w:val="0AD6392F"/>
    <w:rsid w:val="0AD653FA"/>
    <w:rsid w:val="0AD77199"/>
    <w:rsid w:val="0AD876A7"/>
    <w:rsid w:val="0ADC353A"/>
    <w:rsid w:val="0ADD2F10"/>
    <w:rsid w:val="0AE278DF"/>
    <w:rsid w:val="0AE303B3"/>
    <w:rsid w:val="0AE337EE"/>
    <w:rsid w:val="0AE506A5"/>
    <w:rsid w:val="0AE93662"/>
    <w:rsid w:val="0AE94910"/>
    <w:rsid w:val="0AEA2F37"/>
    <w:rsid w:val="0AEB7A22"/>
    <w:rsid w:val="0AF02C43"/>
    <w:rsid w:val="0AF0485B"/>
    <w:rsid w:val="0AF445EC"/>
    <w:rsid w:val="0AF44832"/>
    <w:rsid w:val="0AF65D7F"/>
    <w:rsid w:val="0AFA4C08"/>
    <w:rsid w:val="0B0040D2"/>
    <w:rsid w:val="0B0128D9"/>
    <w:rsid w:val="0B024724"/>
    <w:rsid w:val="0B0249AF"/>
    <w:rsid w:val="0B02541A"/>
    <w:rsid w:val="0B030FFF"/>
    <w:rsid w:val="0B035A6C"/>
    <w:rsid w:val="0B0417E9"/>
    <w:rsid w:val="0B09160F"/>
    <w:rsid w:val="0B094CA1"/>
    <w:rsid w:val="0B0A5387"/>
    <w:rsid w:val="0B0B6616"/>
    <w:rsid w:val="0B0C0582"/>
    <w:rsid w:val="0B0D436E"/>
    <w:rsid w:val="0B0D6B56"/>
    <w:rsid w:val="0B0E5F3C"/>
    <w:rsid w:val="0B0F299D"/>
    <w:rsid w:val="0B156206"/>
    <w:rsid w:val="0B187AA4"/>
    <w:rsid w:val="0B1A0145"/>
    <w:rsid w:val="0B1A1835"/>
    <w:rsid w:val="0B1A7667"/>
    <w:rsid w:val="0B1B1574"/>
    <w:rsid w:val="0B1D330C"/>
    <w:rsid w:val="0B1E3309"/>
    <w:rsid w:val="0B217AC2"/>
    <w:rsid w:val="0B224DC6"/>
    <w:rsid w:val="0B226B74"/>
    <w:rsid w:val="0B24469B"/>
    <w:rsid w:val="0B2508ED"/>
    <w:rsid w:val="0B254F57"/>
    <w:rsid w:val="0B283B08"/>
    <w:rsid w:val="0B293A5F"/>
    <w:rsid w:val="0B2A0661"/>
    <w:rsid w:val="0B2C354F"/>
    <w:rsid w:val="0B2F5AB5"/>
    <w:rsid w:val="0B363DBF"/>
    <w:rsid w:val="0B380146"/>
    <w:rsid w:val="0B3B3792"/>
    <w:rsid w:val="0B3B49A5"/>
    <w:rsid w:val="0B3C265F"/>
    <w:rsid w:val="0B41524D"/>
    <w:rsid w:val="0B423DC5"/>
    <w:rsid w:val="0B473384"/>
    <w:rsid w:val="0B47632E"/>
    <w:rsid w:val="0B4909EA"/>
    <w:rsid w:val="0B494101"/>
    <w:rsid w:val="0B495EAF"/>
    <w:rsid w:val="0B4C4C98"/>
    <w:rsid w:val="0B4F7789"/>
    <w:rsid w:val="0B5265AB"/>
    <w:rsid w:val="0B553A47"/>
    <w:rsid w:val="0B577CEE"/>
    <w:rsid w:val="0B5A3587"/>
    <w:rsid w:val="0B5B7E28"/>
    <w:rsid w:val="0B5D0806"/>
    <w:rsid w:val="0B5D195B"/>
    <w:rsid w:val="0B5D1B3B"/>
    <w:rsid w:val="0B5E3BEA"/>
    <w:rsid w:val="0B5F3EE1"/>
    <w:rsid w:val="0B613662"/>
    <w:rsid w:val="0B640E1B"/>
    <w:rsid w:val="0B660093"/>
    <w:rsid w:val="0B664268"/>
    <w:rsid w:val="0B672866"/>
    <w:rsid w:val="0B68011B"/>
    <w:rsid w:val="0B6A18D7"/>
    <w:rsid w:val="0B6E3B68"/>
    <w:rsid w:val="0B6E5916"/>
    <w:rsid w:val="0B6F3581"/>
    <w:rsid w:val="0B6F423D"/>
    <w:rsid w:val="0B725406"/>
    <w:rsid w:val="0B7643A1"/>
    <w:rsid w:val="0B775D78"/>
    <w:rsid w:val="0B7A250D"/>
    <w:rsid w:val="0B846A84"/>
    <w:rsid w:val="0B8954C5"/>
    <w:rsid w:val="0B8967F9"/>
    <w:rsid w:val="0B8A14FE"/>
    <w:rsid w:val="0B8F617F"/>
    <w:rsid w:val="0B925AA8"/>
    <w:rsid w:val="0B932CBA"/>
    <w:rsid w:val="0B964615"/>
    <w:rsid w:val="0B99656B"/>
    <w:rsid w:val="0B9A323C"/>
    <w:rsid w:val="0B9A6940"/>
    <w:rsid w:val="0B9A7A75"/>
    <w:rsid w:val="0BA14074"/>
    <w:rsid w:val="0BA15D2A"/>
    <w:rsid w:val="0BA30FFB"/>
    <w:rsid w:val="0BA56018"/>
    <w:rsid w:val="0BA61624"/>
    <w:rsid w:val="0BA80FEA"/>
    <w:rsid w:val="0BAB0918"/>
    <w:rsid w:val="0BAD643E"/>
    <w:rsid w:val="0BAF0F44"/>
    <w:rsid w:val="0BB23844"/>
    <w:rsid w:val="0BB51797"/>
    <w:rsid w:val="0BB56866"/>
    <w:rsid w:val="0BB70B29"/>
    <w:rsid w:val="0BB801CA"/>
    <w:rsid w:val="0BB975A7"/>
    <w:rsid w:val="0BBC023E"/>
    <w:rsid w:val="0BBD234D"/>
    <w:rsid w:val="0BBE064B"/>
    <w:rsid w:val="0BBE4DB2"/>
    <w:rsid w:val="0BC47C2C"/>
    <w:rsid w:val="0BC63A93"/>
    <w:rsid w:val="0BC75351"/>
    <w:rsid w:val="0BC8126A"/>
    <w:rsid w:val="0BC8771C"/>
    <w:rsid w:val="0BCA61AC"/>
    <w:rsid w:val="0BCB0A0C"/>
    <w:rsid w:val="0BCB720C"/>
    <w:rsid w:val="0BCD200B"/>
    <w:rsid w:val="0BCD4B8D"/>
    <w:rsid w:val="0BCF75E0"/>
    <w:rsid w:val="0BD0037E"/>
    <w:rsid w:val="0BD04631"/>
    <w:rsid w:val="0BD47E6F"/>
    <w:rsid w:val="0BD858AB"/>
    <w:rsid w:val="0BD936D7"/>
    <w:rsid w:val="0BDB2729"/>
    <w:rsid w:val="0BDC43AA"/>
    <w:rsid w:val="0BDC6D23"/>
    <w:rsid w:val="0BE44DC9"/>
    <w:rsid w:val="0BE77385"/>
    <w:rsid w:val="0BE856C8"/>
    <w:rsid w:val="0BEA7692"/>
    <w:rsid w:val="0BED0AAD"/>
    <w:rsid w:val="0BEE1BC4"/>
    <w:rsid w:val="0BF00A21"/>
    <w:rsid w:val="0BF40511"/>
    <w:rsid w:val="0BF4138A"/>
    <w:rsid w:val="0BF4406D"/>
    <w:rsid w:val="0BF453A3"/>
    <w:rsid w:val="0BF54BAC"/>
    <w:rsid w:val="0BF553BC"/>
    <w:rsid w:val="0BF70F53"/>
    <w:rsid w:val="0BF853F3"/>
    <w:rsid w:val="0BFB189F"/>
    <w:rsid w:val="0BFC6504"/>
    <w:rsid w:val="0BFE2BC2"/>
    <w:rsid w:val="0C0006A2"/>
    <w:rsid w:val="0C0637E8"/>
    <w:rsid w:val="0C063DA0"/>
    <w:rsid w:val="0C071439"/>
    <w:rsid w:val="0C0948D3"/>
    <w:rsid w:val="0C0C21B7"/>
    <w:rsid w:val="0C10050E"/>
    <w:rsid w:val="0C1666D9"/>
    <w:rsid w:val="0C191D25"/>
    <w:rsid w:val="0C1E733C"/>
    <w:rsid w:val="0C2166EE"/>
    <w:rsid w:val="0C247003"/>
    <w:rsid w:val="0C2605D6"/>
    <w:rsid w:val="0C283224"/>
    <w:rsid w:val="0C2B1BDF"/>
    <w:rsid w:val="0C2D18DC"/>
    <w:rsid w:val="0C2F32F7"/>
    <w:rsid w:val="0C2F779B"/>
    <w:rsid w:val="0C304C60"/>
    <w:rsid w:val="0C30706F"/>
    <w:rsid w:val="0C36071C"/>
    <w:rsid w:val="0C380304"/>
    <w:rsid w:val="0C3A0B67"/>
    <w:rsid w:val="0C3E6EEF"/>
    <w:rsid w:val="0C3F03F2"/>
    <w:rsid w:val="0C406D11"/>
    <w:rsid w:val="0C4274CE"/>
    <w:rsid w:val="0C430B50"/>
    <w:rsid w:val="0C436648"/>
    <w:rsid w:val="0C474054"/>
    <w:rsid w:val="0C480E5B"/>
    <w:rsid w:val="0C4931D0"/>
    <w:rsid w:val="0C4A6383"/>
    <w:rsid w:val="0C4C6DD5"/>
    <w:rsid w:val="0C4D19CF"/>
    <w:rsid w:val="0C4E7A3B"/>
    <w:rsid w:val="0C501523"/>
    <w:rsid w:val="0C516DBB"/>
    <w:rsid w:val="0C53586F"/>
    <w:rsid w:val="0C55046C"/>
    <w:rsid w:val="0C5817A4"/>
    <w:rsid w:val="0C581B90"/>
    <w:rsid w:val="0C594818"/>
    <w:rsid w:val="0C5965C6"/>
    <w:rsid w:val="0C596D95"/>
    <w:rsid w:val="0C5B418B"/>
    <w:rsid w:val="0C5C50BC"/>
    <w:rsid w:val="0C5E1E2E"/>
    <w:rsid w:val="0C5E598A"/>
    <w:rsid w:val="0C5F24D8"/>
    <w:rsid w:val="0C605BA6"/>
    <w:rsid w:val="0C61083D"/>
    <w:rsid w:val="0C613862"/>
    <w:rsid w:val="0C664935"/>
    <w:rsid w:val="0C676F35"/>
    <w:rsid w:val="0C6C5CAA"/>
    <w:rsid w:val="0C6D6FB0"/>
    <w:rsid w:val="0C6F1945"/>
    <w:rsid w:val="0C704648"/>
    <w:rsid w:val="0C711B61"/>
    <w:rsid w:val="0C746914"/>
    <w:rsid w:val="0C75562C"/>
    <w:rsid w:val="0C757167"/>
    <w:rsid w:val="0C770DFE"/>
    <w:rsid w:val="0C7744DD"/>
    <w:rsid w:val="0C7E6F90"/>
    <w:rsid w:val="0C806036"/>
    <w:rsid w:val="0C833643"/>
    <w:rsid w:val="0C837F8F"/>
    <w:rsid w:val="0C88568E"/>
    <w:rsid w:val="0C8A289D"/>
    <w:rsid w:val="0C8B2E17"/>
    <w:rsid w:val="0C8B64E8"/>
    <w:rsid w:val="0C8C24F7"/>
    <w:rsid w:val="0C945850"/>
    <w:rsid w:val="0C9831EF"/>
    <w:rsid w:val="0C9B098C"/>
    <w:rsid w:val="0C9D5001"/>
    <w:rsid w:val="0C9E222B"/>
    <w:rsid w:val="0CA337C5"/>
    <w:rsid w:val="0CAF05A1"/>
    <w:rsid w:val="0CAF0881"/>
    <w:rsid w:val="0CAF0888"/>
    <w:rsid w:val="0CB16402"/>
    <w:rsid w:val="0CB170E8"/>
    <w:rsid w:val="0CB21B3E"/>
    <w:rsid w:val="0CB24D02"/>
    <w:rsid w:val="0CB41DE1"/>
    <w:rsid w:val="0CB646B8"/>
    <w:rsid w:val="0CB74E5D"/>
    <w:rsid w:val="0CB84210"/>
    <w:rsid w:val="0CBB102F"/>
    <w:rsid w:val="0CBF3816"/>
    <w:rsid w:val="0CC2761A"/>
    <w:rsid w:val="0CC35FFA"/>
    <w:rsid w:val="0CC47C64"/>
    <w:rsid w:val="0CC55A09"/>
    <w:rsid w:val="0CC70603"/>
    <w:rsid w:val="0CC726CD"/>
    <w:rsid w:val="0CC74FD7"/>
    <w:rsid w:val="0CC9374C"/>
    <w:rsid w:val="0CCA2729"/>
    <w:rsid w:val="0CCE0A8A"/>
    <w:rsid w:val="0CD17174"/>
    <w:rsid w:val="0CD45C4C"/>
    <w:rsid w:val="0CD921B0"/>
    <w:rsid w:val="0CDB2458"/>
    <w:rsid w:val="0CDB6FDB"/>
    <w:rsid w:val="0CDD0FA5"/>
    <w:rsid w:val="0CDD2D53"/>
    <w:rsid w:val="0CDE455E"/>
    <w:rsid w:val="0CDE73E6"/>
    <w:rsid w:val="0CDF22EA"/>
    <w:rsid w:val="0CE2480D"/>
    <w:rsid w:val="0CE340E1"/>
    <w:rsid w:val="0CE652BC"/>
    <w:rsid w:val="0CE75980"/>
    <w:rsid w:val="0CE9794A"/>
    <w:rsid w:val="0CEC4984"/>
    <w:rsid w:val="0CEC568C"/>
    <w:rsid w:val="0CF14659"/>
    <w:rsid w:val="0CF14EA9"/>
    <w:rsid w:val="0CF44B6F"/>
    <w:rsid w:val="0CF5561A"/>
    <w:rsid w:val="0CF74598"/>
    <w:rsid w:val="0CFA4A8C"/>
    <w:rsid w:val="0CFA54CF"/>
    <w:rsid w:val="0CFB767D"/>
    <w:rsid w:val="0CFE2CC9"/>
    <w:rsid w:val="0D006A41"/>
    <w:rsid w:val="0D0429D6"/>
    <w:rsid w:val="0D0756E6"/>
    <w:rsid w:val="0D085F39"/>
    <w:rsid w:val="0D0B3D64"/>
    <w:rsid w:val="0D0B5B12"/>
    <w:rsid w:val="0D0C46E3"/>
    <w:rsid w:val="0D0C6D44"/>
    <w:rsid w:val="0D132C19"/>
    <w:rsid w:val="0D154674"/>
    <w:rsid w:val="0D162DDD"/>
    <w:rsid w:val="0D197B03"/>
    <w:rsid w:val="0D1B2945"/>
    <w:rsid w:val="0D1C07C5"/>
    <w:rsid w:val="0D1D123A"/>
    <w:rsid w:val="0D1D75F3"/>
    <w:rsid w:val="0D1F653E"/>
    <w:rsid w:val="0D214661"/>
    <w:rsid w:val="0D25011A"/>
    <w:rsid w:val="0D270368"/>
    <w:rsid w:val="0D2941EA"/>
    <w:rsid w:val="0D2A3ABE"/>
    <w:rsid w:val="0D2C46B3"/>
    <w:rsid w:val="0D2E1672"/>
    <w:rsid w:val="0D2F44EE"/>
    <w:rsid w:val="0D3049A2"/>
    <w:rsid w:val="0D313751"/>
    <w:rsid w:val="0D3301FB"/>
    <w:rsid w:val="0D341D3A"/>
    <w:rsid w:val="0D350DE1"/>
    <w:rsid w:val="0D355DD6"/>
    <w:rsid w:val="0D3606B5"/>
    <w:rsid w:val="0D38267F"/>
    <w:rsid w:val="0D3C7DAF"/>
    <w:rsid w:val="0D3D5EE8"/>
    <w:rsid w:val="0D3D7C96"/>
    <w:rsid w:val="0D3F3A0E"/>
    <w:rsid w:val="0D41678F"/>
    <w:rsid w:val="0D440D40"/>
    <w:rsid w:val="0D4450EA"/>
    <w:rsid w:val="0D450893"/>
    <w:rsid w:val="0D4A5F0F"/>
    <w:rsid w:val="0D54367E"/>
    <w:rsid w:val="0D54427C"/>
    <w:rsid w:val="0D5533A8"/>
    <w:rsid w:val="0D556D8D"/>
    <w:rsid w:val="0D5648B3"/>
    <w:rsid w:val="0D5779B9"/>
    <w:rsid w:val="0D5A0848"/>
    <w:rsid w:val="0D607452"/>
    <w:rsid w:val="0D676AC1"/>
    <w:rsid w:val="0D676F26"/>
    <w:rsid w:val="0D67716D"/>
    <w:rsid w:val="0D683DF4"/>
    <w:rsid w:val="0D6916CE"/>
    <w:rsid w:val="0D695740"/>
    <w:rsid w:val="0D6D5302"/>
    <w:rsid w:val="0D7910F6"/>
    <w:rsid w:val="0D7A490A"/>
    <w:rsid w:val="0D7A4FA1"/>
    <w:rsid w:val="0D7B7207"/>
    <w:rsid w:val="0D7C07BE"/>
    <w:rsid w:val="0D7F205C"/>
    <w:rsid w:val="0D815DD4"/>
    <w:rsid w:val="0D832153"/>
    <w:rsid w:val="0D837A00"/>
    <w:rsid w:val="0D851C62"/>
    <w:rsid w:val="0D86080C"/>
    <w:rsid w:val="0D883583"/>
    <w:rsid w:val="0D8B0A01"/>
    <w:rsid w:val="0D8B113F"/>
    <w:rsid w:val="0D8B4373"/>
    <w:rsid w:val="0D8C0023"/>
    <w:rsid w:val="0D8C35F6"/>
    <w:rsid w:val="0D9070CA"/>
    <w:rsid w:val="0D907DC5"/>
    <w:rsid w:val="0D91639D"/>
    <w:rsid w:val="0D941D88"/>
    <w:rsid w:val="0D950028"/>
    <w:rsid w:val="0D951FB6"/>
    <w:rsid w:val="0D957AD2"/>
    <w:rsid w:val="0D9B2B3C"/>
    <w:rsid w:val="0D9B703D"/>
    <w:rsid w:val="0D9D1A98"/>
    <w:rsid w:val="0DA11FD2"/>
    <w:rsid w:val="0DA2528E"/>
    <w:rsid w:val="0DA37200"/>
    <w:rsid w:val="0DA611C4"/>
    <w:rsid w:val="0DA63A8D"/>
    <w:rsid w:val="0DA7172A"/>
    <w:rsid w:val="0DAB699E"/>
    <w:rsid w:val="0DAD0977"/>
    <w:rsid w:val="0DAE649D"/>
    <w:rsid w:val="0DAF33D1"/>
    <w:rsid w:val="0DB24763"/>
    <w:rsid w:val="0DB52EF3"/>
    <w:rsid w:val="0DB6779E"/>
    <w:rsid w:val="0DB67F42"/>
    <w:rsid w:val="0DB717F6"/>
    <w:rsid w:val="0DBB49AC"/>
    <w:rsid w:val="0DBD558D"/>
    <w:rsid w:val="0DBE02AE"/>
    <w:rsid w:val="0DBE0332"/>
    <w:rsid w:val="0DBF06AB"/>
    <w:rsid w:val="0DC0521C"/>
    <w:rsid w:val="0DC26284"/>
    <w:rsid w:val="0DC3019B"/>
    <w:rsid w:val="0DC45CC1"/>
    <w:rsid w:val="0DC476AD"/>
    <w:rsid w:val="0DC857B1"/>
    <w:rsid w:val="0DCA4DB8"/>
    <w:rsid w:val="0DCD2F47"/>
    <w:rsid w:val="0DCD726B"/>
    <w:rsid w:val="0DD2616E"/>
    <w:rsid w:val="0DD30BCF"/>
    <w:rsid w:val="0DD56131"/>
    <w:rsid w:val="0DD61B01"/>
    <w:rsid w:val="0DD63A07"/>
    <w:rsid w:val="0DD6470C"/>
    <w:rsid w:val="0DD71E98"/>
    <w:rsid w:val="0DD73C46"/>
    <w:rsid w:val="0DD87946"/>
    <w:rsid w:val="0DDE3227"/>
    <w:rsid w:val="0DE10B00"/>
    <w:rsid w:val="0DE36750"/>
    <w:rsid w:val="0DE85E53"/>
    <w:rsid w:val="0DE90574"/>
    <w:rsid w:val="0DE930F3"/>
    <w:rsid w:val="0DEA10A3"/>
    <w:rsid w:val="0DEB6CD8"/>
    <w:rsid w:val="0DEC32BC"/>
    <w:rsid w:val="0DED346A"/>
    <w:rsid w:val="0DEE2D3E"/>
    <w:rsid w:val="0DF0494A"/>
    <w:rsid w:val="0DF44230"/>
    <w:rsid w:val="0DF540CC"/>
    <w:rsid w:val="0DF75B2D"/>
    <w:rsid w:val="0E011AE6"/>
    <w:rsid w:val="0E0407B3"/>
    <w:rsid w:val="0E042561"/>
    <w:rsid w:val="0E0D7668"/>
    <w:rsid w:val="0E0F5CD8"/>
    <w:rsid w:val="0E19600D"/>
    <w:rsid w:val="0E1A3B33"/>
    <w:rsid w:val="0E1C0F1B"/>
    <w:rsid w:val="0E1E18E0"/>
    <w:rsid w:val="0E213113"/>
    <w:rsid w:val="0E23170E"/>
    <w:rsid w:val="0E242745"/>
    <w:rsid w:val="0E245572"/>
    <w:rsid w:val="0E255633"/>
    <w:rsid w:val="0E26125B"/>
    <w:rsid w:val="0E275D7F"/>
    <w:rsid w:val="0E28237D"/>
    <w:rsid w:val="0E285773"/>
    <w:rsid w:val="0E2A68D3"/>
    <w:rsid w:val="0E2B3EC3"/>
    <w:rsid w:val="0E2B5D40"/>
    <w:rsid w:val="0E2C21E4"/>
    <w:rsid w:val="0E2D3866"/>
    <w:rsid w:val="0E3015A8"/>
    <w:rsid w:val="0E31140B"/>
    <w:rsid w:val="0E342E47"/>
    <w:rsid w:val="0E363B6C"/>
    <w:rsid w:val="0E383AC6"/>
    <w:rsid w:val="0E39045D"/>
    <w:rsid w:val="0E3A5D62"/>
    <w:rsid w:val="0E3E61D9"/>
    <w:rsid w:val="0E3F2703"/>
    <w:rsid w:val="0E3F7E35"/>
    <w:rsid w:val="0E401CB6"/>
    <w:rsid w:val="0E452056"/>
    <w:rsid w:val="0E455054"/>
    <w:rsid w:val="0E460DCC"/>
    <w:rsid w:val="0E4929AB"/>
    <w:rsid w:val="0E494A2D"/>
    <w:rsid w:val="0E4A4418"/>
    <w:rsid w:val="0E4C1445"/>
    <w:rsid w:val="0E4D292A"/>
    <w:rsid w:val="0E5139F9"/>
    <w:rsid w:val="0E517759"/>
    <w:rsid w:val="0E523903"/>
    <w:rsid w:val="0E546D2D"/>
    <w:rsid w:val="0E552DBD"/>
    <w:rsid w:val="0E5A03D3"/>
    <w:rsid w:val="0E6271C6"/>
    <w:rsid w:val="0E6301A5"/>
    <w:rsid w:val="0E653000"/>
    <w:rsid w:val="0E6574A4"/>
    <w:rsid w:val="0E673FEB"/>
    <w:rsid w:val="0E68540D"/>
    <w:rsid w:val="0E6A2D0C"/>
    <w:rsid w:val="0E6A6868"/>
    <w:rsid w:val="0E6B6937"/>
    <w:rsid w:val="0E6E0CDD"/>
    <w:rsid w:val="0E7117D9"/>
    <w:rsid w:val="0E7224F8"/>
    <w:rsid w:val="0E7634A8"/>
    <w:rsid w:val="0E7772CD"/>
    <w:rsid w:val="0E792F4F"/>
    <w:rsid w:val="0E794CFD"/>
    <w:rsid w:val="0E7A54DC"/>
    <w:rsid w:val="0E7B0A75"/>
    <w:rsid w:val="0E7B6CC7"/>
    <w:rsid w:val="0E7C0D4C"/>
    <w:rsid w:val="0E7C1F45"/>
    <w:rsid w:val="0E7D5B6B"/>
    <w:rsid w:val="0E7E077B"/>
    <w:rsid w:val="0E7E66D9"/>
    <w:rsid w:val="0E8042DE"/>
    <w:rsid w:val="0E805F90"/>
    <w:rsid w:val="0E811E04"/>
    <w:rsid w:val="0E833DCE"/>
    <w:rsid w:val="0E8474DE"/>
    <w:rsid w:val="0E8623F7"/>
    <w:rsid w:val="0E8B0946"/>
    <w:rsid w:val="0E8D58C3"/>
    <w:rsid w:val="0E8F4521"/>
    <w:rsid w:val="0E9360EE"/>
    <w:rsid w:val="0E936EE3"/>
    <w:rsid w:val="0E94391F"/>
    <w:rsid w:val="0E947D89"/>
    <w:rsid w:val="0E99315B"/>
    <w:rsid w:val="0E9B2EC6"/>
    <w:rsid w:val="0E9B4C74"/>
    <w:rsid w:val="0E9D18A9"/>
    <w:rsid w:val="0E9D75C7"/>
    <w:rsid w:val="0E9E4764"/>
    <w:rsid w:val="0E9E654C"/>
    <w:rsid w:val="0E9E7E57"/>
    <w:rsid w:val="0EA13295"/>
    <w:rsid w:val="0EA2300E"/>
    <w:rsid w:val="0EA25794"/>
    <w:rsid w:val="0EA27ACD"/>
    <w:rsid w:val="0EA44198"/>
    <w:rsid w:val="0EA5784A"/>
    <w:rsid w:val="0EA679AA"/>
    <w:rsid w:val="0EA7248B"/>
    <w:rsid w:val="0EA955B7"/>
    <w:rsid w:val="0EAA4EB7"/>
    <w:rsid w:val="0EAC1532"/>
    <w:rsid w:val="0EAC59C5"/>
    <w:rsid w:val="0EAD2172"/>
    <w:rsid w:val="0EAE5F27"/>
    <w:rsid w:val="0EB126E9"/>
    <w:rsid w:val="0EB14497"/>
    <w:rsid w:val="0EB16245"/>
    <w:rsid w:val="0EB36461"/>
    <w:rsid w:val="0EB45D35"/>
    <w:rsid w:val="0EB6385C"/>
    <w:rsid w:val="0EB65F51"/>
    <w:rsid w:val="0EBD2E3C"/>
    <w:rsid w:val="0EC51CF1"/>
    <w:rsid w:val="0EC56195"/>
    <w:rsid w:val="0EC87A33"/>
    <w:rsid w:val="0ECC12D1"/>
    <w:rsid w:val="0ECE046F"/>
    <w:rsid w:val="0ECE5049"/>
    <w:rsid w:val="0ED463D8"/>
    <w:rsid w:val="0ED46E49"/>
    <w:rsid w:val="0ED96422"/>
    <w:rsid w:val="0EDB09C1"/>
    <w:rsid w:val="0EDB1514"/>
    <w:rsid w:val="0EDC32B1"/>
    <w:rsid w:val="0EDE2DB2"/>
    <w:rsid w:val="0EE02A09"/>
    <w:rsid w:val="0EE02FCE"/>
    <w:rsid w:val="0EE3728D"/>
    <w:rsid w:val="0EE505E5"/>
    <w:rsid w:val="0EE83C31"/>
    <w:rsid w:val="0EEB47DE"/>
    <w:rsid w:val="0EED24A6"/>
    <w:rsid w:val="0EED3B7D"/>
    <w:rsid w:val="0EEE56EB"/>
    <w:rsid w:val="0EF22B38"/>
    <w:rsid w:val="0EF425D6"/>
    <w:rsid w:val="0EF45918"/>
    <w:rsid w:val="0EF6634E"/>
    <w:rsid w:val="0EF75A75"/>
    <w:rsid w:val="0EF80318"/>
    <w:rsid w:val="0EFA4090"/>
    <w:rsid w:val="0EFB1BB6"/>
    <w:rsid w:val="0EFB6AD2"/>
    <w:rsid w:val="0EFD592E"/>
    <w:rsid w:val="0EFE5203"/>
    <w:rsid w:val="0F013483"/>
    <w:rsid w:val="0F022DC2"/>
    <w:rsid w:val="0F026AA1"/>
    <w:rsid w:val="0F0E6459"/>
    <w:rsid w:val="0F0F2125"/>
    <w:rsid w:val="0F0F461A"/>
    <w:rsid w:val="0F12144F"/>
    <w:rsid w:val="0F136F00"/>
    <w:rsid w:val="0F152C78"/>
    <w:rsid w:val="0F190E46"/>
    <w:rsid w:val="0F1A644C"/>
    <w:rsid w:val="0F1C478F"/>
    <w:rsid w:val="0F205E5D"/>
    <w:rsid w:val="0F21337B"/>
    <w:rsid w:val="0F222551"/>
    <w:rsid w:val="0F22295F"/>
    <w:rsid w:val="0F230706"/>
    <w:rsid w:val="0F2655EB"/>
    <w:rsid w:val="0F2A5FF8"/>
    <w:rsid w:val="0F2B2C04"/>
    <w:rsid w:val="0F2B3B0E"/>
    <w:rsid w:val="0F36499C"/>
    <w:rsid w:val="0F370802"/>
    <w:rsid w:val="0F385815"/>
    <w:rsid w:val="0F386966"/>
    <w:rsid w:val="0F3A15B5"/>
    <w:rsid w:val="0F3A26DF"/>
    <w:rsid w:val="0F3A448D"/>
    <w:rsid w:val="0F3C0B07"/>
    <w:rsid w:val="0F3D1F95"/>
    <w:rsid w:val="0F3D5D2B"/>
    <w:rsid w:val="0F3F1AA3"/>
    <w:rsid w:val="0F423ACF"/>
    <w:rsid w:val="0F443CCC"/>
    <w:rsid w:val="0F476BAA"/>
    <w:rsid w:val="0F4C27CC"/>
    <w:rsid w:val="0F4C5F6E"/>
    <w:rsid w:val="0F4E6DB3"/>
    <w:rsid w:val="0F501F02"/>
    <w:rsid w:val="0F50684C"/>
    <w:rsid w:val="0F532D2B"/>
    <w:rsid w:val="0F540C5B"/>
    <w:rsid w:val="0F5662C3"/>
    <w:rsid w:val="0F58089B"/>
    <w:rsid w:val="0F590AD1"/>
    <w:rsid w:val="0F5B2655"/>
    <w:rsid w:val="0F5C3F40"/>
    <w:rsid w:val="0F6158BE"/>
    <w:rsid w:val="0F621C35"/>
    <w:rsid w:val="0F661726"/>
    <w:rsid w:val="0F663E23"/>
    <w:rsid w:val="0F670FFA"/>
    <w:rsid w:val="0F6E3885"/>
    <w:rsid w:val="0F6E4136"/>
    <w:rsid w:val="0F6F3994"/>
    <w:rsid w:val="0F7058C0"/>
    <w:rsid w:val="0F713C26"/>
    <w:rsid w:val="0F7379E5"/>
    <w:rsid w:val="0F7433E0"/>
    <w:rsid w:val="0F744163"/>
    <w:rsid w:val="0F786404"/>
    <w:rsid w:val="0F786997"/>
    <w:rsid w:val="0F79466E"/>
    <w:rsid w:val="0F7B240E"/>
    <w:rsid w:val="0F7F00F1"/>
    <w:rsid w:val="0F7F6343"/>
    <w:rsid w:val="0F86406A"/>
    <w:rsid w:val="0F890F70"/>
    <w:rsid w:val="0F8F4BC6"/>
    <w:rsid w:val="0F8F7CDB"/>
    <w:rsid w:val="0F916077"/>
    <w:rsid w:val="0F930041"/>
    <w:rsid w:val="0F993123"/>
    <w:rsid w:val="0F9B44CD"/>
    <w:rsid w:val="0FA517C7"/>
    <w:rsid w:val="0FAB0EE6"/>
    <w:rsid w:val="0FAD29FF"/>
    <w:rsid w:val="0FAE09D7"/>
    <w:rsid w:val="0FB3785D"/>
    <w:rsid w:val="0FB71067"/>
    <w:rsid w:val="0FB73D2F"/>
    <w:rsid w:val="0FB84871"/>
    <w:rsid w:val="0FB96115"/>
    <w:rsid w:val="0FBA55CD"/>
    <w:rsid w:val="0FBB73C9"/>
    <w:rsid w:val="0FBD1CE9"/>
    <w:rsid w:val="0FBD50BE"/>
    <w:rsid w:val="0FC10183"/>
    <w:rsid w:val="0FC1197C"/>
    <w:rsid w:val="0FC15D89"/>
    <w:rsid w:val="0FC401FA"/>
    <w:rsid w:val="0FC41FA8"/>
    <w:rsid w:val="0FCC70AF"/>
    <w:rsid w:val="0FD065E8"/>
    <w:rsid w:val="0FD1791E"/>
    <w:rsid w:val="0FD42FA0"/>
    <w:rsid w:val="0FD56A6A"/>
    <w:rsid w:val="0FD7617F"/>
    <w:rsid w:val="0FD80924"/>
    <w:rsid w:val="0FDC12F3"/>
    <w:rsid w:val="0FDD306A"/>
    <w:rsid w:val="0FDE3C24"/>
    <w:rsid w:val="0FDE750E"/>
    <w:rsid w:val="0FDF0F1F"/>
    <w:rsid w:val="0FE101EC"/>
    <w:rsid w:val="0FE45F15"/>
    <w:rsid w:val="0FE73EE9"/>
    <w:rsid w:val="0FE8213B"/>
    <w:rsid w:val="0FE97C61"/>
    <w:rsid w:val="0FEA0487"/>
    <w:rsid w:val="0FEB7DFC"/>
    <w:rsid w:val="0FEC1A7A"/>
    <w:rsid w:val="0FF70697"/>
    <w:rsid w:val="0FF75A24"/>
    <w:rsid w:val="0FF956E9"/>
    <w:rsid w:val="0FF97D9D"/>
    <w:rsid w:val="0FFC1742"/>
    <w:rsid w:val="0FFC1F9F"/>
    <w:rsid w:val="0FFE195E"/>
    <w:rsid w:val="0FFE1BF9"/>
    <w:rsid w:val="0FFF146A"/>
    <w:rsid w:val="0FFF2FA7"/>
    <w:rsid w:val="0FFF4326"/>
    <w:rsid w:val="0FFF56D6"/>
    <w:rsid w:val="10014436"/>
    <w:rsid w:val="10051624"/>
    <w:rsid w:val="1007621D"/>
    <w:rsid w:val="100D0352"/>
    <w:rsid w:val="100D1BA1"/>
    <w:rsid w:val="1012366E"/>
    <w:rsid w:val="10133BEA"/>
    <w:rsid w:val="10152804"/>
    <w:rsid w:val="10172A20"/>
    <w:rsid w:val="10187269"/>
    <w:rsid w:val="101930A9"/>
    <w:rsid w:val="10197672"/>
    <w:rsid w:val="101A42BE"/>
    <w:rsid w:val="101C0036"/>
    <w:rsid w:val="10214975"/>
    <w:rsid w:val="102313C5"/>
    <w:rsid w:val="10243140"/>
    <w:rsid w:val="1025513D"/>
    <w:rsid w:val="10266A21"/>
    <w:rsid w:val="102D3FF1"/>
    <w:rsid w:val="102E38C6"/>
    <w:rsid w:val="102E5A86"/>
    <w:rsid w:val="102E5E48"/>
    <w:rsid w:val="102F54FB"/>
    <w:rsid w:val="10305890"/>
    <w:rsid w:val="10340574"/>
    <w:rsid w:val="10345380"/>
    <w:rsid w:val="10376C1E"/>
    <w:rsid w:val="103877B0"/>
    <w:rsid w:val="103958E4"/>
    <w:rsid w:val="10411734"/>
    <w:rsid w:val="10420243"/>
    <w:rsid w:val="10437371"/>
    <w:rsid w:val="104906FF"/>
    <w:rsid w:val="104B0A1D"/>
    <w:rsid w:val="104B26C9"/>
    <w:rsid w:val="104F21BA"/>
    <w:rsid w:val="10500D2F"/>
    <w:rsid w:val="10501A8E"/>
    <w:rsid w:val="10546CB1"/>
    <w:rsid w:val="105477D0"/>
    <w:rsid w:val="10556729"/>
    <w:rsid w:val="105875BB"/>
    <w:rsid w:val="10593038"/>
    <w:rsid w:val="105A290D"/>
    <w:rsid w:val="10600639"/>
    <w:rsid w:val="106317C1"/>
    <w:rsid w:val="10683F4F"/>
    <w:rsid w:val="10686DD7"/>
    <w:rsid w:val="10716125"/>
    <w:rsid w:val="107439CE"/>
    <w:rsid w:val="10757746"/>
    <w:rsid w:val="10765998"/>
    <w:rsid w:val="107942A8"/>
    <w:rsid w:val="107D3E11"/>
    <w:rsid w:val="107D62ED"/>
    <w:rsid w:val="107E484D"/>
    <w:rsid w:val="107E6206"/>
    <w:rsid w:val="107E704D"/>
    <w:rsid w:val="107F236E"/>
    <w:rsid w:val="108160EB"/>
    <w:rsid w:val="10832C26"/>
    <w:rsid w:val="10853586"/>
    <w:rsid w:val="1089507F"/>
    <w:rsid w:val="108B0D18"/>
    <w:rsid w:val="108B3838"/>
    <w:rsid w:val="108C51BC"/>
    <w:rsid w:val="109202F8"/>
    <w:rsid w:val="10920FDB"/>
    <w:rsid w:val="109433B9"/>
    <w:rsid w:val="109615A9"/>
    <w:rsid w:val="109D78EA"/>
    <w:rsid w:val="10A15C3E"/>
    <w:rsid w:val="10A31AE6"/>
    <w:rsid w:val="10A342B4"/>
    <w:rsid w:val="10A50033"/>
    <w:rsid w:val="10A67900"/>
    <w:rsid w:val="10A83678"/>
    <w:rsid w:val="10AA1620"/>
    <w:rsid w:val="10AA7BBA"/>
    <w:rsid w:val="10AB7646"/>
    <w:rsid w:val="10AC760C"/>
    <w:rsid w:val="10B156E6"/>
    <w:rsid w:val="10B63171"/>
    <w:rsid w:val="10B63FE7"/>
    <w:rsid w:val="10B77D5F"/>
    <w:rsid w:val="10BD6F35"/>
    <w:rsid w:val="10BE1EAE"/>
    <w:rsid w:val="10C44929"/>
    <w:rsid w:val="10C81F6C"/>
    <w:rsid w:val="10CA68B9"/>
    <w:rsid w:val="10CC5A85"/>
    <w:rsid w:val="10CE3324"/>
    <w:rsid w:val="10CF355A"/>
    <w:rsid w:val="10D07546"/>
    <w:rsid w:val="10D45EB2"/>
    <w:rsid w:val="10D61A47"/>
    <w:rsid w:val="10D6606D"/>
    <w:rsid w:val="10D75D0B"/>
    <w:rsid w:val="10D769D5"/>
    <w:rsid w:val="10D92C55"/>
    <w:rsid w:val="10DA582E"/>
    <w:rsid w:val="10E16B8A"/>
    <w:rsid w:val="10E248AF"/>
    <w:rsid w:val="10E32143"/>
    <w:rsid w:val="10E4370F"/>
    <w:rsid w:val="10E548CC"/>
    <w:rsid w:val="10E664BC"/>
    <w:rsid w:val="10E70644"/>
    <w:rsid w:val="10E943BC"/>
    <w:rsid w:val="10EE14F6"/>
    <w:rsid w:val="10F041A7"/>
    <w:rsid w:val="10F05222"/>
    <w:rsid w:val="10F45199"/>
    <w:rsid w:val="10F50FD5"/>
    <w:rsid w:val="10F62635"/>
    <w:rsid w:val="10FA66B7"/>
    <w:rsid w:val="10FB0689"/>
    <w:rsid w:val="10FD2E1E"/>
    <w:rsid w:val="10FE598E"/>
    <w:rsid w:val="10FF6D14"/>
    <w:rsid w:val="110034B4"/>
    <w:rsid w:val="11036B00"/>
    <w:rsid w:val="110411F6"/>
    <w:rsid w:val="11076AF9"/>
    <w:rsid w:val="11085B2E"/>
    <w:rsid w:val="110A1B65"/>
    <w:rsid w:val="110A4333"/>
    <w:rsid w:val="110C00AB"/>
    <w:rsid w:val="110C3277"/>
    <w:rsid w:val="11135CAF"/>
    <w:rsid w:val="11166833"/>
    <w:rsid w:val="111A410E"/>
    <w:rsid w:val="111B02EE"/>
    <w:rsid w:val="111B7190"/>
    <w:rsid w:val="111D4066"/>
    <w:rsid w:val="111D5C52"/>
    <w:rsid w:val="111E2A37"/>
    <w:rsid w:val="112076B2"/>
    <w:rsid w:val="112371A2"/>
    <w:rsid w:val="11254CC9"/>
    <w:rsid w:val="112A22DF"/>
    <w:rsid w:val="112A43CB"/>
    <w:rsid w:val="112A6783"/>
    <w:rsid w:val="112F78F5"/>
    <w:rsid w:val="11316957"/>
    <w:rsid w:val="113979F7"/>
    <w:rsid w:val="113B45F8"/>
    <w:rsid w:val="113D393B"/>
    <w:rsid w:val="113D673D"/>
    <w:rsid w:val="113E5D8A"/>
    <w:rsid w:val="114001EB"/>
    <w:rsid w:val="11401B02"/>
    <w:rsid w:val="1141166B"/>
    <w:rsid w:val="11421D1E"/>
    <w:rsid w:val="1142587A"/>
    <w:rsid w:val="11427629"/>
    <w:rsid w:val="11444ACF"/>
    <w:rsid w:val="11477335"/>
    <w:rsid w:val="114917E9"/>
    <w:rsid w:val="11495D37"/>
    <w:rsid w:val="114A4CF5"/>
    <w:rsid w:val="114D3F18"/>
    <w:rsid w:val="114D68D5"/>
    <w:rsid w:val="114D7DA7"/>
    <w:rsid w:val="114F61E9"/>
    <w:rsid w:val="11511F61"/>
    <w:rsid w:val="115122AC"/>
    <w:rsid w:val="1153530B"/>
    <w:rsid w:val="11537A88"/>
    <w:rsid w:val="11543D8C"/>
    <w:rsid w:val="115455AE"/>
    <w:rsid w:val="115870E1"/>
    <w:rsid w:val="115A61E8"/>
    <w:rsid w:val="115C2E09"/>
    <w:rsid w:val="115F467E"/>
    <w:rsid w:val="115F642C"/>
    <w:rsid w:val="11614652"/>
    <w:rsid w:val="116157CA"/>
    <w:rsid w:val="116379D3"/>
    <w:rsid w:val="116509F6"/>
    <w:rsid w:val="11691059"/>
    <w:rsid w:val="116B7AD2"/>
    <w:rsid w:val="116C6446"/>
    <w:rsid w:val="11752C0E"/>
    <w:rsid w:val="11755E36"/>
    <w:rsid w:val="1176055B"/>
    <w:rsid w:val="11772C57"/>
    <w:rsid w:val="117A3266"/>
    <w:rsid w:val="117B2B3A"/>
    <w:rsid w:val="117C5E68"/>
    <w:rsid w:val="11821551"/>
    <w:rsid w:val="1182211B"/>
    <w:rsid w:val="11842ED3"/>
    <w:rsid w:val="11891CFD"/>
    <w:rsid w:val="118B12F1"/>
    <w:rsid w:val="118F77C8"/>
    <w:rsid w:val="119360D6"/>
    <w:rsid w:val="11943BFC"/>
    <w:rsid w:val="119500A0"/>
    <w:rsid w:val="11954AE4"/>
    <w:rsid w:val="11996F64"/>
    <w:rsid w:val="119E1D0C"/>
    <w:rsid w:val="11A16A45"/>
    <w:rsid w:val="11A77DD3"/>
    <w:rsid w:val="11A83442"/>
    <w:rsid w:val="11A83EF7"/>
    <w:rsid w:val="11AC2988"/>
    <w:rsid w:val="11AC53EA"/>
    <w:rsid w:val="11AC7198"/>
    <w:rsid w:val="11AC78E1"/>
    <w:rsid w:val="11AF050A"/>
    <w:rsid w:val="11B000E2"/>
    <w:rsid w:val="11B04EDA"/>
    <w:rsid w:val="11B1275D"/>
    <w:rsid w:val="11B147AE"/>
    <w:rsid w:val="11B15BC4"/>
    <w:rsid w:val="11B84279"/>
    <w:rsid w:val="11B85B3D"/>
    <w:rsid w:val="11BB60A0"/>
    <w:rsid w:val="11BB73DB"/>
    <w:rsid w:val="11BF6ECB"/>
    <w:rsid w:val="11C049F1"/>
    <w:rsid w:val="11C12C31"/>
    <w:rsid w:val="11C6025A"/>
    <w:rsid w:val="11C72224"/>
    <w:rsid w:val="11C755B6"/>
    <w:rsid w:val="11C95F9C"/>
    <w:rsid w:val="11CB01CC"/>
    <w:rsid w:val="11CF3F2A"/>
    <w:rsid w:val="11D52E6F"/>
    <w:rsid w:val="11D7333C"/>
    <w:rsid w:val="11D81D3B"/>
    <w:rsid w:val="11D861DF"/>
    <w:rsid w:val="11D87F8D"/>
    <w:rsid w:val="11DA6C42"/>
    <w:rsid w:val="11DF756D"/>
    <w:rsid w:val="11E42DD6"/>
    <w:rsid w:val="11E73E06"/>
    <w:rsid w:val="11E87EC2"/>
    <w:rsid w:val="11E905CC"/>
    <w:rsid w:val="11EE155E"/>
    <w:rsid w:val="11F52760"/>
    <w:rsid w:val="11F55A7A"/>
    <w:rsid w:val="11F823DD"/>
    <w:rsid w:val="11F85F3F"/>
    <w:rsid w:val="11F86CD1"/>
    <w:rsid w:val="11FB459F"/>
    <w:rsid w:val="11FF376C"/>
    <w:rsid w:val="120328F3"/>
    <w:rsid w:val="120576CA"/>
    <w:rsid w:val="120578EA"/>
    <w:rsid w:val="12062D4C"/>
    <w:rsid w:val="12063683"/>
    <w:rsid w:val="12075DB6"/>
    <w:rsid w:val="12085EBE"/>
    <w:rsid w:val="120D50BC"/>
    <w:rsid w:val="120F12C1"/>
    <w:rsid w:val="120F6395"/>
    <w:rsid w:val="12103BCB"/>
    <w:rsid w:val="12125632"/>
    <w:rsid w:val="12135469"/>
    <w:rsid w:val="121433F8"/>
    <w:rsid w:val="12145E0B"/>
    <w:rsid w:val="12163D18"/>
    <w:rsid w:val="12176D07"/>
    <w:rsid w:val="121B3348"/>
    <w:rsid w:val="121C3157"/>
    <w:rsid w:val="121D387E"/>
    <w:rsid w:val="121E1324"/>
    <w:rsid w:val="121E62E8"/>
    <w:rsid w:val="12220067"/>
    <w:rsid w:val="1223075D"/>
    <w:rsid w:val="12244F80"/>
    <w:rsid w:val="1226032F"/>
    <w:rsid w:val="12274A70"/>
    <w:rsid w:val="122807FB"/>
    <w:rsid w:val="12282CC2"/>
    <w:rsid w:val="122D3058"/>
    <w:rsid w:val="122D74EE"/>
    <w:rsid w:val="123245ED"/>
    <w:rsid w:val="1232769D"/>
    <w:rsid w:val="12350743"/>
    <w:rsid w:val="123A5D65"/>
    <w:rsid w:val="123A6C55"/>
    <w:rsid w:val="123B7AF5"/>
    <w:rsid w:val="123D6E58"/>
    <w:rsid w:val="123E4294"/>
    <w:rsid w:val="123F625E"/>
    <w:rsid w:val="12425706"/>
    <w:rsid w:val="12463148"/>
    <w:rsid w:val="124811CB"/>
    <w:rsid w:val="12483D46"/>
    <w:rsid w:val="12491D69"/>
    <w:rsid w:val="124F64A1"/>
    <w:rsid w:val="1255782F"/>
    <w:rsid w:val="125615AE"/>
    <w:rsid w:val="125661BD"/>
    <w:rsid w:val="125910CE"/>
    <w:rsid w:val="12597320"/>
    <w:rsid w:val="125A4E46"/>
    <w:rsid w:val="125B38A7"/>
    <w:rsid w:val="125E20ED"/>
    <w:rsid w:val="125F2962"/>
    <w:rsid w:val="12607D1F"/>
    <w:rsid w:val="126540D8"/>
    <w:rsid w:val="12680E64"/>
    <w:rsid w:val="12687563"/>
    <w:rsid w:val="126C24F6"/>
    <w:rsid w:val="126D6656"/>
    <w:rsid w:val="126E5267"/>
    <w:rsid w:val="126F08F1"/>
    <w:rsid w:val="126F36CA"/>
    <w:rsid w:val="12706417"/>
    <w:rsid w:val="127078BA"/>
    <w:rsid w:val="1272218F"/>
    <w:rsid w:val="12727639"/>
    <w:rsid w:val="12730F2D"/>
    <w:rsid w:val="12747CB6"/>
    <w:rsid w:val="12780400"/>
    <w:rsid w:val="1278308E"/>
    <w:rsid w:val="127B14DF"/>
    <w:rsid w:val="127C43D8"/>
    <w:rsid w:val="127E28E2"/>
    <w:rsid w:val="128123D2"/>
    <w:rsid w:val="12816876"/>
    <w:rsid w:val="128577E3"/>
    <w:rsid w:val="128676FA"/>
    <w:rsid w:val="1288550F"/>
    <w:rsid w:val="12891287"/>
    <w:rsid w:val="128A572B"/>
    <w:rsid w:val="128B5230"/>
    <w:rsid w:val="128C22B2"/>
    <w:rsid w:val="128C26B2"/>
    <w:rsid w:val="128C3D87"/>
    <w:rsid w:val="128D0D77"/>
    <w:rsid w:val="128D6AB7"/>
    <w:rsid w:val="128E5294"/>
    <w:rsid w:val="128F5369"/>
    <w:rsid w:val="12900868"/>
    <w:rsid w:val="12906AB9"/>
    <w:rsid w:val="129156AF"/>
    <w:rsid w:val="129739A4"/>
    <w:rsid w:val="129D6DAC"/>
    <w:rsid w:val="129F0AAB"/>
    <w:rsid w:val="129F4315"/>
    <w:rsid w:val="12A56044"/>
    <w:rsid w:val="12A57290"/>
    <w:rsid w:val="12AA7573"/>
    <w:rsid w:val="12AD3BE1"/>
    <w:rsid w:val="12AF5192"/>
    <w:rsid w:val="12B01973"/>
    <w:rsid w:val="12B24C82"/>
    <w:rsid w:val="12B83CD5"/>
    <w:rsid w:val="12B91B6C"/>
    <w:rsid w:val="12B9794E"/>
    <w:rsid w:val="12BE3627"/>
    <w:rsid w:val="12C10A21"/>
    <w:rsid w:val="12C36586"/>
    <w:rsid w:val="12CE777F"/>
    <w:rsid w:val="12CF1889"/>
    <w:rsid w:val="12CF40B7"/>
    <w:rsid w:val="12D20E80"/>
    <w:rsid w:val="12D469A6"/>
    <w:rsid w:val="12D70244"/>
    <w:rsid w:val="12DB5F87"/>
    <w:rsid w:val="12DC3AAD"/>
    <w:rsid w:val="12DC585B"/>
    <w:rsid w:val="12DD7EFD"/>
    <w:rsid w:val="12DE7825"/>
    <w:rsid w:val="12E05166"/>
    <w:rsid w:val="12E27315"/>
    <w:rsid w:val="12E4179B"/>
    <w:rsid w:val="12E56E05"/>
    <w:rsid w:val="12E60488"/>
    <w:rsid w:val="12E6170F"/>
    <w:rsid w:val="12E669B4"/>
    <w:rsid w:val="12E806A4"/>
    <w:rsid w:val="12E84200"/>
    <w:rsid w:val="12EC4107"/>
    <w:rsid w:val="12EC511A"/>
    <w:rsid w:val="12ED1816"/>
    <w:rsid w:val="12ED7276"/>
    <w:rsid w:val="12EF7DA0"/>
    <w:rsid w:val="12F06EBD"/>
    <w:rsid w:val="12F232D0"/>
    <w:rsid w:val="12F332F3"/>
    <w:rsid w:val="12F3682E"/>
    <w:rsid w:val="12F47048"/>
    <w:rsid w:val="12F708E7"/>
    <w:rsid w:val="12F95472"/>
    <w:rsid w:val="12FC5EFD"/>
    <w:rsid w:val="12FD4F91"/>
    <w:rsid w:val="12FE5F3B"/>
    <w:rsid w:val="12FE7F48"/>
    <w:rsid w:val="13050CDE"/>
    <w:rsid w:val="13053004"/>
    <w:rsid w:val="130538CD"/>
    <w:rsid w:val="130B363C"/>
    <w:rsid w:val="130D2F59"/>
    <w:rsid w:val="130F71AD"/>
    <w:rsid w:val="131001A3"/>
    <w:rsid w:val="13113756"/>
    <w:rsid w:val="1313647E"/>
    <w:rsid w:val="13165191"/>
    <w:rsid w:val="13171475"/>
    <w:rsid w:val="13196AAF"/>
    <w:rsid w:val="131C436A"/>
    <w:rsid w:val="131E7C21"/>
    <w:rsid w:val="132A4818"/>
    <w:rsid w:val="132D5BB6"/>
    <w:rsid w:val="133147D3"/>
    <w:rsid w:val="133236CD"/>
    <w:rsid w:val="13385187"/>
    <w:rsid w:val="13392CAD"/>
    <w:rsid w:val="133B6A25"/>
    <w:rsid w:val="133D1120"/>
    <w:rsid w:val="133D1CDD"/>
    <w:rsid w:val="133F0A67"/>
    <w:rsid w:val="13424385"/>
    <w:rsid w:val="13430018"/>
    <w:rsid w:val="13490CA9"/>
    <w:rsid w:val="134A0A16"/>
    <w:rsid w:val="134B4450"/>
    <w:rsid w:val="134C31ED"/>
    <w:rsid w:val="134C5139"/>
    <w:rsid w:val="134E1CA1"/>
    <w:rsid w:val="13501706"/>
    <w:rsid w:val="13503426"/>
    <w:rsid w:val="13511DA5"/>
    <w:rsid w:val="1351449B"/>
    <w:rsid w:val="13523A1B"/>
    <w:rsid w:val="13525B1D"/>
    <w:rsid w:val="135854D2"/>
    <w:rsid w:val="135B18BF"/>
    <w:rsid w:val="135B2C24"/>
    <w:rsid w:val="135D4BEE"/>
    <w:rsid w:val="135E6626"/>
    <w:rsid w:val="13601849"/>
    <w:rsid w:val="1361585B"/>
    <w:rsid w:val="13655850"/>
    <w:rsid w:val="136917E4"/>
    <w:rsid w:val="13695774"/>
    <w:rsid w:val="136A09BD"/>
    <w:rsid w:val="136B3CC7"/>
    <w:rsid w:val="13710699"/>
    <w:rsid w:val="137141F5"/>
    <w:rsid w:val="137147A1"/>
    <w:rsid w:val="13731856"/>
    <w:rsid w:val="13737F6D"/>
    <w:rsid w:val="13765553"/>
    <w:rsid w:val="13765CAF"/>
    <w:rsid w:val="137678C1"/>
    <w:rsid w:val="137B1518"/>
    <w:rsid w:val="137D0DEC"/>
    <w:rsid w:val="137D332F"/>
    <w:rsid w:val="137E059B"/>
    <w:rsid w:val="137E1255"/>
    <w:rsid w:val="13806308"/>
    <w:rsid w:val="1382188D"/>
    <w:rsid w:val="13825653"/>
    <w:rsid w:val="13826402"/>
    <w:rsid w:val="13830444"/>
    <w:rsid w:val="13830FA6"/>
    <w:rsid w:val="13833716"/>
    <w:rsid w:val="138379BC"/>
    <w:rsid w:val="138610DC"/>
    <w:rsid w:val="13885109"/>
    <w:rsid w:val="1389504F"/>
    <w:rsid w:val="13897791"/>
    <w:rsid w:val="138A6057"/>
    <w:rsid w:val="138B225C"/>
    <w:rsid w:val="138C7281"/>
    <w:rsid w:val="138E08A4"/>
    <w:rsid w:val="138E2FF9"/>
    <w:rsid w:val="138F0B1F"/>
    <w:rsid w:val="138F4FDE"/>
    <w:rsid w:val="13936861"/>
    <w:rsid w:val="1399374C"/>
    <w:rsid w:val="139D4FEA"/>
    <w:rsid w:val="139F4D6C"/>
    <w:rsid w:val="13A22600"/>
    <w:rsid w:val="13A51B3A"/>
    <w:rsid w:val="13A95C24"/>
    <w:rsid w:val="13A97E33"/>
    <w:rsid w:val="13AC16D1"/>
    <w:rsid w:val="13AC50FC"/>
    <w:rsid w:val="13AF7D51"/>
    <w:rsid w:val="13B14F39"/>
    <w:rsid w:val="13B642FE"/>
    <w:rsid w:val="13B80076"/>
    <w:rsid w:val="13B84B1D"/>
    <w:rsid w:val="13BE797F"/>
    <w:rsid w:val="13BF042A"/>
    <w:rsid w:val="13C7314E"/>
    <w:rsid w:val="13C85A55"/>
    <w:rsid w:val="13C96BA6"/>
    <w:rsid w:val="13C96E77"/>
    <w:rsid w:val="13CA1258"/>
    <w:rsid w:val="13CA6D5B"/>
    <w:rsid w:val="13CC3B21"/>
    <w:rsid w:val="13CF1153"/>
    <w:rsid w:val="13D15486"/>
    <w:rsid w:val="13D354F6"/>
    <w:rsid w:val="13D44784"/>
    <w:rsid w:val="13D70BA3"/>
    <w:rsid w:val="13D91E69"/>
    <w:rsid w:val="13DF3855"/>
    <w:rsid w:val="13E004A5"/>
    <w:rsid w:val="13E1581F"/>
    <w:rsid w:val="13E16B2F"/>
    <w:rsid w:val="13E23345"/>
    <w:rsid w:val="13E25713"/>
    <w:rsid w:val="13E6580A"/>
    <w:rsid w:val="13E76BAD"/>
    <w:rsid w:val="13E93D8C"/>
    <w:rsid w:val="13E97709"/>
    <w:rsid w:val="13EB21F9"/>
    <w:rsid w:val="13EC7D20"/>
    <w:rsid w:val="13EE1CEA"/>
    <w:rsid w:val="13EF50C3"/>
    <w:rsid w:val="13F07810"/>
    <w:rsid w:val="13F15336"/>
    <w:rsid w:val="13F460D6"/>
    <w:rsid w:val="13F53078"/>
    <w:rsid w:val="13F61006"/>
    <w:rsid w:val="13F73973"/>
    <w:rsid w:val="13FB3F8C"/>
    <w:rsid w:val="13FC53FA"/>
    <w:rsid w:val="13FD1F2D"/>
    <w:rsid w:val="14011A1D"/>
    <w:rsid w:val="14030A39"/>
    <w:rsid w:val="1404150D"/>
    <w:rsid w:val="14054B8C"/>
    <w:rsid w:val="1405648B"/>
    <w:rsid w:val="14080F27"/>
    <w:rsid w:val="14093548"/>
    <w:rsid w:val="140A39B3"/>
    <w:rsid w:val="140E413A"/>
    <w:rsid w:val="140E5EE8"/>
    <w:rsid w:val="14121C75"/>
    <w:rsid w:val="141334FE"/>
    <w:rsid w:val="14153007"/>
    <w:rsid w:val="14177060"/>
    <w:rsid w:val="14184CAE"/>
    <w:rsid w:val="14186D67"/>
    <w:rsid w:val="14190A5C"/>
    <w:rsid w:val="141C6857"/>
    <w:rsid w:val="141D437D"/>
    <w:rsid w:val="141E1CEE"/>
    <w:rsid w:val="142179C9"/>
    <w:rsid w:val="14217FAF"/>
    <w:rsid w:val="14221993"/>
    <w:rsid w:val="142A3BC0"/>
    <w:rsid w:val="142B1385"/>
    <w:rsid w:val="142E0338"/>
    <w:rsid w:val="142E20E6"/>
    <w:rsid w:val="142E77C1"/>
    <w:rsid w:val="142E7C3A"/>
    <w:rsid w:val="14313359"/>
    <w:rsid w:val="14352695"/>
    <w:rsid w:val="143811B7"/>
    <w:rsid w:val="143A4F2F"/>
    <w:rsid w:val="143C0CA7"/>
    <w:rsid w:val="143D057B"/>
    <w:rsid w:val="143F0797"/>
    <w:rsid w:val="143F42F3"/>
    <w:rsid w:val="14423DE3"/>
    <w:rsid w:val="14424641"/>
    <w:rsid w:val="14425B91"/>
    <w:rsid w:val="14445DAD"/>
    <w:rsid w:val="1444707C"/>
    <w:rsid w:val="14481569"/>
    <w:rsid w:val="1448764C"/>
    <w:rsid w:val="14496F20"/>
    <w:rsid w:val="144A58C6"/>
    <w:rsid w:val="144B097A"/>
    <w:rsid w:val="144E6934"/>
    <w:rsid w:val="145002AE"/>
    <w:rsid w:val="14510602"/>
    <w:rsid w:val="14536344"/>
    <w:rsid w:val="14537D9F"/>
    <w:rsid w:val="14560D42"/>
    <w:rsid w:val="14564462"/>
    <w:rsid w:val="1457163D"/>
    <w:rsid w:val="14586BDA"/>
    <w:rsid w:val="14590CB6"/>
    <w:rsid w:val="145D1A31"/>
    <w:rsid w:val="145E0C1D"/>
    <w:rsid w:val="145E7C67"/>
    <w:rsid w:val="1461426A"/>
    <w:rsid w:val="14621467"/>
    <w:rsid w:val="14624025"/>
    <w:rsid w:val="146326CC"/>
    <w:rsid w:val="14661880"/>
    <w:rsid w:val="14682D14"/>
    <w:rsid w:val="146855F8"/>
    <w:rsid w:val="14687658"/>
    <w:rsid w:val="146975C2"/>
    <w:rsid w:val="146A5814"/>
    <w:rsid w:val="146C7CA8"/>
    <w:rsid w:val="146D2C0E"/>
    <w:rsid w:val="14732D36"/>
    <w:rsid w:val="14752AE9"/>
    <w:rsid w:val="14771CDF"/>
    <w:rsid w:val="1477542F"/>
    <w:rsid w:val="147A0B6B"/>
    <w:rsid w:val="147D6BCA"/>
    <w:rsid w:val="14835D02"/>
    <w:rsid w:val="14836EAC"/>
    <w:rsid w:val="148461AA"/>
    <w:rsid w:val="14883EEC"/>
    <w:rsid w:val="148932B4"/>
    <w:rsid w:val="148C1696"/>
    <w:rsid w:val="149141EB"/>
    <w:rsid w:val="149208C7"/>
    <w:rsid w:val="14956609"/>
    <w:rsid w:val="14975B32"/>
    <w:rsid w:val="14977C8B"/>
    <w:rsid w:val="14981355"/>
    <w:rsid w:val="149835BA"/>
    <w:rsid w:val="14986CC5"/>
    <w:rsid w:val="14994B61"/>
    <w:rsid w:val="149A777C"/>
    <w:rsid w:val="149C1746"/>
    <w:rsid w:val="149C5646"/>
    <w:rsid w:val="149E54BE"/>
    <w:rsid w:val="149E726C"/>
    <w:rsid w:val="149F562C"/>
    <w:rsid w:val="149F74BB"/>
    <w:rsid w:val="14A30C28"/>
    <w:rsid w:val="14A34882"/>
    <w:rsid w:val="14A45B3A"/>
    <w:rsid w:val="14A55D96"/>
    <w:rsid w:val="14AB1456"/>
    <w:rsid w:val="14AE226E"/>
    <w:rsid w:val="14AE54EE"/>
    <w:rsid w:val="14B22D17"/>
    <w:rsid w:val="14B57F9C"/>
    <w:rsid w:val="14B60A59"/>
    <w:rsid w:val="14B7657F"/>
    <w:rsid w:val="14B80EC8"/>
    <w:rsid w:val="14B836DE"/>
    <w:rsid w:val="14BA748E"/>
    <w:rsid w:val="14BA7C9C"/>
    <w:rsid w:val="14BC1DE8"/>
    <w:rsid w:val="14BC5944"/>
    <w:rsid w:val="14BC76F2"/>
    <w:rsid w:val="14BF195F"/>
    <w:rsid w:val="14BF58B7"/>
    <w:rsid w:val="14C03300"/>
    <w:rsid w:val="14C4206D"/>
    <w:rsid w:val="14C667C2"/>
    <w:rsid w:val="14C838EE"/>
    <w:rsid w:val="14C91E0F"/>
    <w:rsid w:val="14C95354"/>
    <w:rsid w:val="14CA06C4"/>
    <w:rsid w:val="14CB3119"/>
    <w:rsid w:val="14CD7045"/>
    <w:rsid w:val="14CD7B51"/>
    <w:rsid w:val="14D0319D"/>
    <w:rsid w:val="14D0618D"/>
    <w:rsid w:val="14D07641"/>
    <w:rsid w:val="14D26F15"/>
    <w:rsid w:val="14D47091"/>
    <w:rsid w:val="14D475AD"/>
    <w:rsid w:val="14D56A06"/>
    <w:rsid w:val="14D709D0"/>
    <w:rsid w:val="14DE0B4B"/>
    <w:rsid w:val="14E07884"/>
    <w:rsid w:val="14E17C11"/>
    <w:rsid w:val="14E17F16"/>
    <w:rsid w:val="14E46C49"/>
    <w:rsid w:val="14E55BB8"/>
    <w:rsid w:val="14E73A6F"/>
    <w:rsid w:val="14E76E65"/>
    <w:rsid w:val="14E8498B"/>
    <w:rsid w:val="14EC0958"/>
    <w:rsid w:val="14F6261D"/>
    <w:rsid w:val="14F63271"/>
    <w:rsid w:val="14F758A4"/>
    <w:rsid w:val="14F96B98"/>
    <w:rsid w:val="14FB1A74"/>
    <w:rsid w:val="14FB2C15"/>
    <w:rsid w:val="14FE7D0A"/>
    <w:rsid w:val="15001ED4"/>
    <w:rsid w:val="15003A82"/>
    <w:rsid w:val="150115A9"/>
    <w:rsid w:val="150317C5"/>
    <w:rsid w:val="15056AF7"/>
    <w:rsid w:val="150627C9"/>
    <w:rsid w:val="15064E11"/>
    <w:rsid w:val="150679F6"/>
    <w:rsid w:val="15086F25"/>
    <w:rsid w:val="150A1DD4"/>
    <w:rsid w:val="150C0477"/>
    <w:rsid w:val="150D3F6E"/>
    <w:rsid w:val="151011C6"/>
    <w:rsid w:val="1516665E"/>
    <w:rsid w:val="1518152A"/>
    <w:rsid w:val="15183DB5"/>
    <w:rsid w:val="151E65FF"/>
    <w:rsid w:val="152023AA"/>
    <w:rsid w:val="15260625"/>
    <w:rsid w:val="15270254"/>
    <w:rsid w:val="1529706A"/>
    <w:rsid w:val="1529774A"/>
    <w:rsid w:val="152A4FA3"/>
    <w:rsid w:val="152E4A94"/>
    <w:rsid w:val="1530080F"/>
    <w:rsid w:val="15300D39"/>
    <w:rsid w:val="153450AA"/>
    <w:rsid w:val="153656F6"/>
    <w:rsid w:val="153B2D0D"/>
    <w:rsid w:val="153B320C"/>
    <w:rsid w:val="153D4CD7"/>
    <w:rsid w:val="1541162D"/>
    <w:rsid w:val="154359F5"/>
    <w:rsid w:val="15436FD1"/>
    <w:rsid w:val="15437E13"/>
    <w:rsid w:val="15451DDD"/>
    <w:rsid w:val="1546345F"/>
    <w:rsid w:val="15475B55"/>
    <w:rsid w:val="1549230F"/>
    <w:rsid w:val="154F5591"/>
    <w:rsid w:val="154F770F"/>
    <w:rsid w:val="15507EB4"/>
    <w:rsid w:val="1551228A"/>
    <w:rsid w:val="15537AC9"/>
    <w:rsid w:val="15545B7C"/>
    <w:rsid w:val="15552275"/>
    <w:rsid w:val="155E4D09"/>
    <w:rsid w:val="15603573"/>
    <w:rsid w:val="156158D3"/>
    <w:rsid w:val="1565422D"/>
    <w:rsid w:val="15655FDB"/>
    <w:rsid w:val="15671D54"/>
    <w:rsid w:val="15681628"/>
    <w:rsid w:val="156A4A90"/>
    <w:rsid w:val="15712742"/>
    <w:rsid w:val="157224A6"/>
    <w:rsid w:val="157601E9"/>
    <w:rsid w:val="15761F97"/>
    <w:rsid w:val="157663D5"/>
    <w:rsid w:val="157709B0"/>
    <w:rsid w:val="15771439"/>
    <w:rsid w:val="157A3145"/>
    <w:rsid w:val="157F597A"/>
    <w:rsid w:val="157F6137"/>
    <w:rsid w:val="15817A39"/>
    <w:rsid w:val="1584103A"/>
    <w:rsid w:val="158463ED"/>
    <w:rsid w:val="1584723E"/>
    <w:rsid w:val="15897F1C"/>
    <w:rsid w:val="158E65F3"/>
    <w:rsid w:val="158F2B0A"/>
    <w:rsid w:val="158F3058"/>
    <w:rsid w:val="158F4E06"/>
    <w:rsid w:val="15910B7E"/>
    <w:rsid w:val="159348F7"/>
    <w:rsid w:val="1594241D"/>
    <w:rsid w:val="159424F6"/>
    <w:rsid w:val="15981F0D"/>
    <w:rsid w:val="159A585D"/>
    <w:rsid w:val="159B3237"/>
    <w:rsid w:val="159F4580"/>
    <w:rsid w:val="15A00DC2"/>
    <w:rsid w:val="15A15D31"/>
    <w:rsid w:val="15A54D74"/>
    <w:rsid w:val="15A703A2"/>
    <w:rsid w:val="15A84292"/>
    <w:rsid w:val="15AA30B3"/>
    <w:rsid w:val="15AD01E4"/>
    <w:rsid w:val="15AF6C7D"/>
    <w:rsid w:val="15AF7257"/>
    <w:rsid w:val="15B02197"/>
    <w:rsid w:val="15B4486D"/>
    <w:rsid w:val="15B651C9"/>
    <w:rsid w:val="15B6570A"/>
    <w:rsid w:val="15B87834"/>
    <w:rsid w:val="15BF56EC"/>
    <w:rsid w:val="15C95DAF"/>
    <w:rsid w:val="15CA789D"/>
    <w:rsid w:val="15CC605B"/>
    <w:rsid w:val="15CC7CCE"/>
    <w:rsid w:val="15CE592F"/>
    <w:rsid w:val="15D15536"/>
    <w:rsid w:val="15D25FAF"/>
    <w:rsid w:val="15D62A35"/>
    <w:rsid w:val="15D75CAD"/>
    <w:rsid w:val="15D8527A"/>
    <w:rsid w:val="15DA2525"/>
    <w:rsid w:val="15DB44F0"/>
    <w:rsid w:val="15DE334B"/>
    <w:rsid w:val="15DE6E5E"/>
    <w:rsid w:val="15E50ECA"/>
    <w:rsid w:val="15E55E0D"/>
    <w:rsid w:val="15E72E94"/>
    <w:rsid w:val="15E96C0C"/>
    <w:rsid w:val="15EB4733"/>
    <w:rsid w:val="15EE5FD1"/>
    <w:rsid w:val="15EF07EB"/>
    <w:rsid w:val="15F07F9B"/>
    <w:rsid w:val="15FC3631"/>
    <w:rsid w:val="15FE458D"/>
    <w:rsid w:val="160378E9"/>
    <w:rsid w:val="16096967"/>
    <w:rsid w:val="160A53B3"/>
    <w:rsid w:val="160A6C55"/>
    <w:rsid w:val="160B0931"/>
    <w:rsid w:val="160D6EEF"/>
    <w:rsid w:val="16157652"/>
    <w:rsid w:val="16175528"/>
    <w:rsid w:val="16185A5E"/>
    <w:rsid w:val="161C2B3E"/>
    <w:rsid w:val="161D68B6"/>
    <w:rsid w:val="16210154"/>
    <w:rsid w:val="162461BB"/>
    <w:rsid w:val="16247C45"/>
    <w:rsid w:val="1626059E"/>
    <w:rsid w:val="16261A07"/>
    <w:rsid w:val="162A735A"/>
    <w:rsid w:val="162C356B"/>
    <w:rsid w:val="162F4B00"/>
    <w:rsid w:val="16314D7E"/>
    <w:rsid w:val="16320522"/>
    <w:rsid w:val="16337E88"/>
    <w:rsid w:val="16353C00"/>
    <w:rsid w:val="16361726"/>
    <w:rsid w:val="16383648"/>
    <w:rsid w:val="163A3B76"/>
    <w:rsid w:val="163A7468"/>
    <w:rsid w:val="163C6D3C"/>
    <w:rsid w:val="1640189E"/>
    <w:rsid w:val="16404052"/>
    <w:rsid w:val="16443FF7"/>
    <w:rsid w:val="164662DB"/>
    <w:rsid w:val="1647748F"/>
    <w:rsid w:val="16484D9D"/>
    <w:rsid w:val="16493207"/>
    <w:rsid w:val="164A50D4"/>
    <w:rsid w:val="16507D95"/>
    <w:rsid w:val="16531097"/>
    <w:rsid w:val="16541A41"/>
    <w:rsid w:val="16550B76"/>
    <w:rsid w:val="16573B76"/>
    <w:rsid w:val="165878EE"/>
    <w:rsid w:val="165D4F05"/>
    <w:rsid w:val="16625504"/>
    <w:rsid w:val="166310AB"/>
    <w:rsid w:val="16637B43"/>
    <w:rsid w:val="166614EF"/>
    <w:rsid w:val="16690BD5"/>
    <w:rsid w:val="16693C71"/>
    <w:rsid w:val="166B13D0"/>
    <w:rsid w:val="166B5873"/>
    <w:rsid w:val="166E0EC0"/>
    <w:rsid w:val="166F2531"/>
    <w:rsid w:val="16730284"/>
    <w:rsid w:val="1674297A"/>
    <w:rsid w:val="167A5AB7"/>
    <w:rsid w:val="167D740C"/>
    <w:rsid w:val="16810304"/>
    <w:rsid w:val="16842491"/>
    <w:rsid w:val="168537B9"/>
    <w:rsid w:val="16855A2E"/>
    <w:rsid w:val="168A3CED"/>
    <w:rsid w:val="168B10C2"/>
    <w:rsid w:val="168B7CC4"/>
    <w:rsid w:val="168C1346"/>
    <w:rsid w:val="169A7F07"/>
    <w:rsid w:val="169D07AA"/>
    <w:rsid w:val="169D7BD0"/>
    <w:rsid w:val="169E6FE9"/>
    <w:rsid w:val="16A00633"/>
    <w:rsid w:val="16A14DF1"/>
    <w:rsid w:val="16A56D2A"/>
    <w:rsid w:val="16A578C6"/>
    <w:rsid w:val="16A83790"/>
    <w:rsid w:val="16AB0D27"/>
    <w:rsid w:val="16AE18BE"/>
    <w:rsid w:val="16AE5760"/>
    <w:rsid w:val="16AE7491"/>
    <w:rsid w:val="16B10B16"/>
    <w:rsid w:val="16B60C65"/>
    <w:rsid w:val="16B72066"/>
    <w:rsid w:val="16B85425"/>
    <w:rsid w:val="16B940F3"/>
    <w:rsid w:val="16B954B2"/>
    <w:rsid w:val="16BE02A6"/>
    <w:rsid w:val="16C10125"/>
    <w:rsid w:val="16C136E5"/>
    <w:rsid w:val="16C22024"/>
    <w:rsid w:val="16C3120C"/>
    <w:rsid w:val="16C32FBA"/>
    <w:rsid w:val="16C436A1"/>
    <w:rsid w:val="16C64D9F"/>
    <w:rsid w:val="16C8727F"/>
    <w:rsid w:val="16C87A3E"/>
    <w:rsid w:val="16CD208A"/>
    <w:rsid w:val="16CD2A8D"/>
    <w:rsid w:val="16CD5BE6"/>
    <w:rsid w:val="16D02ED9"/>
    <w:rsid w:val="16D07B92"/>
    <w:rsid w:val="16D167E7"/>
    <w:rsid w:val="16D2144F"/>
    <w:rsid w:val="16D276A1"/>
    <w:rsid w:val="16D27D84"/>
    <w:rsid w:val="16D52CED"/>
    <w:rsid w:val="16D552BE"/>
    <w:rsid w:val="16D66775"/>
    <w:rsid w:val="16DA0094"/>
    <w:rsid w:val="16DA3445"/>
    <w:rsid w:val="16DB7A1C"/>
    <w:rsid w:val="16DC1347"/>
    <w:rsid w:val="16DC1FB8"/>
    <w:rsid w:val="16DE02DC"/>
    <w:rsid w:val="16DE2CE7"/>
    <w:rsid w:val="16E57BDC"/>
    <w:rsid w:val="16E71479"/>
    <w:rsid w:val="16EB239B"/>
    <w:rsid w:val="16EE1BB5"/>
    <w:rsid w:val="16EF0253"/>
    <w:rsid w:val="16F013C4"/>
    <w:rsid w:val="16F25307"/>
    <w:rsid w:val="16F313E7"/>
    <w:rsid w:val="16F931E8"/>
    <w:rsid w:val="16F94F90"/>
    <w:rsid w:val="16FB6BF7"/>
    <w:rsid w:val="16FC471D"/>
    <w:rsid w:val="16FD4421"/>
    <w:rsid w:val="16FF09D2"/>
    <w:rsid w:val="170207C4"/>
    <w:rsid w:val="170344A1"/>
    <w:rsid w:val="17050333"/>
    <w:rsid w:val="170768D4"/>
    <w:rsid w:val="170A6F67"/>
    <w:rsid w:val="170B2E66"/>
    <w:rsid w:val="170B54AD"/>
    <w:rsid w:val="17127A9D"/>
    <w:rsid w:val="171651F9"/>
    <w:rsid w:val="17167ACC"/>
    <w:rsid w:val="17170286"/>
    <w:rsid w:val="171825B9"/>
    <w:rsid w:val="17192340"/>
    <w:rsid w:val="171D42D6"/>
    <w:rsid w:val="171D7358"/>
    <w:rsid w:val="171F33C6"/>
    <w:rsid w:val="17231CAA"/>
    <w:rsid w:val="1723542B"/>
    <w:rsid w:val="172605FB"/>
    <w:rsid w:val="172B10BB"/>
    <w:rsid w:val="172B6C14"/>
    <w:rsid w:val="172E6599"/>
    <w:rsid w:val="172F4AF3"/>
    <w:rsid w:val="1732380A"/>
    <w:rsid w:val="17334B1E"/>
    <w:rsid w:val="17342109"/>
    <w:rsid w:val="1735558D"/>
    <w:rsid w:val="17365E81"/>
    <w:rsid w:val="17377504"/>
    <w:rsid w:val="173A6954"/>
    <w:rsid w:val="173B1DCC"/>
    <w:rsid w:val="173B3498"/>
    <w:rsid w:val="173E6AE4"/>
    <w:rsid w:val="17433E6C"/>
    <w:rsid w:val="174A4CA8"/>
    <w:rsid w:val="174A5311"/>
    <w:rsid w:val="174B2FAF"/>
    <w:rsid w:val="174C7E32"/>
    <w:rsid w:val="174D4F79"/>
    <w:rsid w:val="174D6D27"/>
    <w:rsid w:val="174E6832"/>
    <w:rsid w:val="17500E49"/>
    <w:rsid w:val="17516817"/>
    <w:rsid w:val="17544B07"/>
    <w:rsid w:val="17555BDC"/>
    <w:rsid w:val="175579C2"/>
    <w:rsid w:val="175606D8"/>
    <w:rsid w:val="17570F06"/>
    <w:rsid w:val="17577BA6"/>
    <w:rsid w:val="17594A73"/>
    <w:rsid w:val="17595D9A"/>
    <w:rsid w:val="175A686D"/>
    <w:rsid w:val="175B3852"/>
    <w:rsid w:val="175D340E"/>
    <w:rsid w:val="175E3E12"/>
    <w:rsid w:val="175E5184"/>
    <w:rsid w:val="175F0595"/>
    <w:rsid w:val="17604CAC"/>
    <w:rsid w:val="17615F65"/>
    <w:rsid w:val="176277E2"/>
    <w:rsid w:val="17650430"/>
    <w:rsid w:val="17693E32"/>
    <w:rsid w:val="176A16C4"/>
    <w:rsid w:val="176B037C"/>
    <w:rsid w:val="176C116A"/>
    <w:rsid w:val="176C53FF"/>
    <w:rsid w:val="176D662C"/>
    <w:rsid w:val="17716EB9"/>
    <w:rsid w:val="177249E0"/>
    <w:rsid w:val="17764D2D"/>
    <w:rsid w:val="17780248"/>
    <w:rsid w:val="177B5642"/>
    <w:rsid w:val="177C13BA"/>
    <w:rsid w:val="177C55A8"/>
    <w:rsid w:val="177F5CB7"/>
    <w:rsid w:val="177F61D5"/>
    <w:rsid w:val="17822635"/>
    <w:rsid w:val="17824C23"/>
    <w:rsid w:val="17832749"/>
    <w:rsid w:val="17846A61"/>
    <w:rsid w:val="1787048B"/>
    <w:rsid w:val="178F10EE"/>
    <w:rsid w:val="17902473"/>
    <w:rsid w:val="17907E6D"/>
    <w:rsid w:val="17920BDE"/>
    <w:rsid w:val="17925F03"/>
    <w:rsid w:val="17933DB2"/>
    <w:rsid w:val="17934BEB"/>
    <w:rsid w:val="179812FD"/>
    <w:rsid w:val="179939C2"/>
    <w:rsid w:val="17994C66"/>
    <w:rsid w:val="179B3F36"/>
    <w:rsid w:val="179B7A92"/>
    <w:rsid w:val="179D5C01"/>
    <w:rsid w:val="179E05A5"/>
    <w:rsid w:val="179E3A27"/>
    <w:rsid w:val="17A10451"/>
    <w:rsid w:val="17A464FA"/>
    <w:rsid w:val="17A55769"/>
    <w:rsid w:val="17A57C2C"/>
    <w:rsid w:val="17A8709D"/>
    <w:rsid w:val="17A90FB7"/>
    <w:rsid w:val="17AA23CB"/>
    <w:rsid w:val="17AC1CA0"/>
    <w:rsid w:val="17AE7BC2"/>
    <w:rsid w:val="17AF353E"/>
    <w:rsid w:val="17B15508"/>
    <w:rsid w:val="17B9167F"/>
    <w:rsid w:val="17B93C99"/>
    <w:rsid w:val="17BB1EE3"/>
    <w:rsid w:val="17BE0E5D"/>
    <w:rsid w:val="17C074F9"/>
    <w:rsid w:val="17C11071"/>
    <w:rsid w:val="17C1572C"/>
    <w:rsid w:val="17C23271"/>
    <w:rsid w:val="17C30204"/>
    <w:rsid w:val="17C35977"/>
    <w:rsid w:val="17C57205"/>
    <w:rsid w:val="17C73E6F"/>
    <w:rsid w:val="17C9185D"/>
    <w:rsid w:val="17CB6D2A"/>
    <w:rsid w:val="17CD6374"/>
    <w:rsid w:val="17CF257F"/>
    <w:rsid w:val="17CF598E"/>
    <w:rsid w:val="17D029FC"/>
    <w:rsid w:val="17D10D96"/>
    <w:rsid w:val="17D125AD"/>
    <w:rsid w:val="17D277FC"/>
    <w:rsid w:val="17D531FA"/>
    <w:rsid w:val="17D90767"/>
    <w:rsid w:val="17DB194C"/>
    <w:rsid w:val="17DB29DD"/>
    <w:rsid w:val="17DD55EF"/>
    <w:rsid w:val="17E03B1D"/>
    <w:rsid w:val="17E27E8A"/>
    <w:rsid w:val="17E3060F"/>
    <w:rsid w:val="17E37E08"/>
    <w:rsid w:val="17E42958"/>
    <w:rsid w:val="17E4768B"/>
    <w:rsid w:val="17E551B2"/>
    <w:rsid w:val="17E66CC0"/>
    <w:rsid w:val="17E86A50"/>
    <w:rsid w:val="17EB16FF"/>
    <w:rsid w:val="17EC1B01"/>
    <w:rsid w:val="17EF7DDE"/>
    <w:rsid w:val="17F453F5"/>
    <w:rsid w:val="17F83137"/>
    <w:rsid w:val="18025D64"/>
    <w:rsid w:val="180271F0"/>
    <w:rsid w:val="18067211"/>
    <w:rsid w:val="18074EF4"/>
    <w:rsid w:val="18090EA0"/>
    <w:rsid w:val="180A2BF2"/>
    <w:rsid w:val="180A2E6A"/>
    <w:rsid w:val="180E4708"/>
    <w:rsid w:val="18117D55"/>
    <w:rsid w:val="18160760"/>
    <w:rsid w:val="1818154C"/>
    <w:rsid w:val="181B4213"/>
    <w:rsid w:val="181C389E"/>
    <w:rsid w:val="181C64F5"/>
    <w:rsid w:val="181E2472"/>
    <w:rsid w:val="182061EA"/>
    <w:rsid w:val="18223739"/>
    <w:rsid w:val="1822411C"/>
    <w:rsid w:val="18235A6D"/>
    <w:rsid w:val="1824217E"/>
    <w:rsid w:val="18245CDA"/>
    <w:rsid w:val="18251A52"/>
    <w:rsid w:val="18253800"/>
    <w:rsid w:val="182619F2"/>
    <w:rsid w:val="18273B81"/>
    <w:rsid w:val="18291542"/>
    <w:rsid w:val="182932F0"/>
    <w:rsid w:val="182A0E16"/>
    <w:rsid w:val="182F2E27"/>
    <w:rsid w:val="183323C1"/>
    <w:rsid w:val="18381785"/>
    <w:rsid w:val="183A374F"/>
    <w:rsid w:val="183B2BD1"/>
    <w:rsid w:val="183F0D66"/>
    <w:rsid w:val="183F2B14"/>
    <w:rsid w:val="183F43A9"/>
    <w:rsid w:val="18441ED8"/>
    <w:rsid w:val="184526C4"/>
    <w:rsid w:val="18481582"/>
    <w:rsid w:val="1849300E"/>
    <w:rsid w:val="184C6FDF"/>
    <w:rsid w:val="184E1D82"/>
    <w:rsid w:val="18502F73"/>
    <w:rsid w:val="185534CD"/>
    <w:rsid w:val="18562DAE"/>
    <w:rsid w:val="18585935"/>
    <w:rsid w:val="18595DC7"/>
    <w:rsid w:val="185B4759"/>
    <w:rsid w:val="18605DE1"/>
    <w:rsid w:val="18607CC2"/>
    <w:rsid w:val="1863705A"/>
    <w:rsid w:val="186413A8"/>
    <w:rsid w:val="186500A0"/>
    <w:rsid w:val="18695DE3"/>
    <w:rsid w:val="186B3909"/>
    <w:rsid w:val="186C6F87"/>
    <w:rsid w:val="186D330D"/>
    <w:rsid w:val="186E33F9"/>
    <w:rsid w:val="1871105F"/>
    <w:rsid w:val="18720289"/>
    <w:rsid w:val="18722EE9"/>
    <w:rsid w:val="187302A0"/>
    <w:rsid w:val="18756535"/>
    <w:rsid w:val="187622AE"/>
    <w:rsid w:val="187711B9"/>
    <w:rsid w:val="18781D88"/>
    <w:rsid w:val="187824D1"/>
    <w:rsid w:val="187A3B4C"/>
    <w:rsid w:val="1881137E"/>
    <w:rsid w:val="18846779"/>
    <w:rsid w:val="188925AD"/>
    <w:rsid w:val="188C4DE8"/>
    <w:rsid w:val="188D6814"/>
    <w:rsid w:val="189270E7"/>
    <w:rsid w:val="189438C5"/>
    <w:rsid w:val="189B3AC2"/>
    <w:rsid w:val="189D1475"/>
    <w:rsid w:val="189E2829"/>
    <w:rsid w:val="18A137CE"/>
    <w:rsid w:val="18A13F21"/>
    <w:rsid w:val="18A37385"/>
    <w:rsid w:val="18A40E08"/>
    <w:rsid w:val="18A55883"/>
    <w:rsid w:val="18A62B93"/>
    <w:rsid w:val="18A818D3"/>
    <w:rsid w:val="18A90678"/>
    <w:rsid w:val="18A95DD2"/>
    <w:rsid w:val="18A96080"/>
    <w:rsid w:val="18AB1F57"/>
    <w:rsid w:val="18AE4A9A"/>
    <w:rsid w:val="18B2778A"/>
    <w:rsid w:val="18B40B93"/>
    <w:rsid w:val="18B72D06"/>
    <w:rsid w:val="18B90D33"/>
    <w:rsid w:val="18BB5100"/>
    <w:rsid w:val="18BE35FB"/>
    <w:rsid w:val="18C12EE4"/>
    <w:rsid w:val="18C23292"/>
    <w:rsid w:val="18C4126B"/>
    <w:rsid w:val="18C42325"/>
    <w:rsid w:val="18C64FE3"/>
    <w:rsid w:val="18C73097"/>
    <w:rsid w:val="18C91F86"/>
    <w:rsid w:val="18CD45C3"/>
    <w:rsid w:val="18CE3DF3"/>
    <w:rsid w:val="18D0406A"/>
    <w:rsid w:val="18D05E66"/>
    <w:rsid w:val="18D07C10"/>
    <w:rsid w:val="18D21BDA"/>
    <w:rsid w:val="18D25736"/>
    <w:rsid w:val="18D732C4"/>
    <w:rsid w:val="18D80E1B"/>
    <w:rsid w:val="18D857B4"/>
    <w:rsid w:val="18DA44C2"/>
    <w:rsid w:val="18DF60A5"/>
    <w:rsid w:val="18E11E1D"/>
    <w:rsid w:val="18E136E8"/>
    <w:rsid w:val="18E13BCB"/>
    <w:rsid w:val="18E31D28"/>
    <w:rsid w:val="18E41F9A"/>
    <w:rsid w:val="18E57D52"/>
    <w:rsid w:val="18E60132"/>
    <w:rsid w:val="18ED07C2"/>
    <w:rsid w:val="18F2402A"/>
    <w:rsid w:val="18F57676"/>
    <w:rsid w:val="18F6471E"/>
    <w:rsid w:val="18F87A41"/>
    <w:rsid w:val="18FA4C8D"/>
    <w:rsid w:val="18FB401A"/>
    <w:rsid w:val="18FB47B7"/>
    <w:rsid w:val="18FF04F5"/>
    <w:rsid w:val="190006AF"/>
    <w:rsid w:val="1901426D"/>
    <w:rsid w:val="19022869"/>
    <w:rsid w:val="19037C74"/>
    <w:rsid w:val="1905753F"/>
    <w:rsid w:val="19065AB1"/>
    <w:rsid w:val="19081158"/>
    <w:rsid w:val="190C320D"/>
    <w:rsid w:val="190C323C"/>
    <w:rsid w:val="190F1C9F"/>
    <w:rsid w:val="191129A6"/>
    <w:rsid w:val="1911359D"/>
    <w:rsid w:val="19121A44"/>
    <w:rsid w:val="191335B6"/>
    <w:rsid w:val="19151A97"/>
    <w:rsid w:val="19196021"/>
    <w:rsid w:val="191A0E8B"/>
    <w:rsid w:val="191F64A1"/>
    <w:rsid w:val="1920133E"/>
    <w:rsid w:val="19204742"/>
    <w:rsid w:val="1920732E"/>
    <w:rsid w:val="19235F91"/>
    <w:rsid w:val="1924796C"/>
    <w:rsid w:val="1925005E"/>
    <w:rsid w:val="19267830"/>
    <w:rsid w:val="192A7B1D"/>
    <w:rsid w:val="192C040E"/>
    <w:rsid w:val="192C4867"/>
    <w:rsid w:val="192C753C"/>
    <w:rsid w:val="193059E0"/>
    <w:rsid w:val="193261D5"/>
    <w:rsid w:val="19334068"/>
    <w:rsid w:val="1934019F"/>
    <w:rsid w:val="19373208"/>
    <w:rsid w:val="193D109B"/>
    <w:rsid w:val="193D6783"/>
    <w:rsid w:val="193F1A9C"/>
    <w:rsid w:val="193F7063"/>
    <w:rsid w:val="1940130A"/>
    <w:rsid w:val="194254C1"/>
    <w:rsid w:val="1945110E"/>
    <w:rsid w:val="1945415A"/>
    <w:rsid w:val="19472A28"/>
    <w:rsid w:val="194A478E"/>
    <w:rsid w:val="194D1194"/>
    <w:rsid w:val="194D5D38"/>
    <w:rsid w:val="194E5627"/>
    <w:rsid w:val="194F6D87"/>
    <w:rsid w:val="194F7D79"/>
    <w:rsid w:val="19530DED"/>
    <w:rsid w:val="19540841"/>
    <w:rsid w:val="19560239"/>
    <w:rsid w:val="19583D85"/>
    <w:rsid w:val="195950BD"/>
    <w:rsid w:val="195972AD"/>
    <w:rsid w:val="195B1BCF"/>
    <w:rsid w:val="19622F5E"/>
    <w:rsid w:val="19652724"/>
    <w:rsid w:val="196B16E7"/>
    <w:rsid w:val="196D2C99"/>
    <w:rsid w:val="19704DB3"/>
    <w:rsid w:val="19742C91"/>
    <w:rsid w:val="197607B7"/>
    <w:rsid w:val="197B401F"/>
    <w:rsid w:val="197B7862"/>
    <w:rsid w:val="197C5D37"/>
    <w:rsid w:val="19836A30"/>
    <w:rsid w:val="19856C4C"/>
    <w:rsid w:val="1986780C"/>
    <w:rsid w:val="19882F8E"/>
    <w:rsid w:val="198A6011"/>
    <w:rsid w:val="198D5B01"/>
    <w:rsid w:val="198E6457"/>
    <w:rsid w:val="198F1879"/>
    <w:rsid w:val="198F3961"/>
    <w:rsid w:val="19946E8F"/>
    <w:rsid w:val="199C7AF2"/>
    <w:rsid w:val="19A02CB1"/>
    <w:rsid w:val="19A05834"/>
    <w:rsid w:val="19A74E14"/>
    <w:rsid w:val="19A94706"/>
    <w:rsid w:val="19AA220F"/>
    <w:rsid w:val="19AA66B3"/>
    <w:rsid w:val="19AB7732"/>
    <w:rsid w:val="19AC420E"/>
    <w:rsid w:val="19AD1CFF"/>
    <w:rsid w:val="19AD7F51"/>
    <w:rsid w:val="19AF3BB6"/>
    <w:rsid w:val="19B117EF"/>
    <w:rsid w:val="19B32AB5"/>
    <w:rsid w:val="19B337B9"/>
    <w:rsid w:val="19B72B7E"/>
    <w:rsid w:val="19BA14B7"/>
    <w:rsid w:val="19BA3BF4"/>
    <w:rsid w:val="19BC0BC4"/>
    <w:rsid w:val="19BF1D17"/>
    <w:rsid w:val="19BF65B5"/>
    <w:rsid w:val="19C02B62"/>
    <w:rsid w:val="19C060B2"/>
    <w:rsid w:val="19C239FC"/>
    <w:rsid w:val="19C33656"/>
    <w:rsid w:val="19C37774"/>
    <w:rsid w:val="19C62185"/>
    <w:rsid w:val="19C71013"/>
    <w:rsid w:val="19CA465F"/>
    <w:rsid w:val="19CF0976"/>
    <w:rsid w:val="19D05A8B"/>
    <w:rsid w:val="19D252C0"/>
    <w:rsid w:val="19D37162"/>
    <w:rsid w:val="19DB2D10"/>
    <w:rsid w:val="19DD1997"/>
    <w:rsid w:val="19DE1A34"/>
    <w:rsid w:val="19E33973"/>
    <w:rsid w:val="19E35721"/>
    <w:rsid w:val="19E80F89"/>
    <w:rsid w:val="19EA4D01"/>
    <w:rsid w:val="19EC5F00"/>
    <w:rsid w:val="19EC62D2"/>
    <w:rsid w:val="19EF4C6B"/>
    <w:rsid w:val="19F06CFD"/>
    <w:rsid w:val="19F22AC0"/>
    <w:rsid w:val="19F5658D"/>
    <w:rsid w:val="19F74718"/>
    <w:rsid w:val="19F81246"/>
    <w:rsid w:val="19FE178E"/>
    <w:rsid w:val="19FE1A99"/>
    <w:rsid w:val="1A037030"/>
    <w:rsid w:val="1A047BAE"/>
    <w:rsid w:val="1A0538E9"/>
    <w:rsid w:val="1A0635F7"/>
    <w:rsid w:val="1A0758B3"/>
    <w:rsid w:val="1A087A72"/>
    <w:rsid w:val="1A0C111B"/>
    <w:rsid w:val="1A0C4C78"/>
    <w:rsid w:val="1A0F29BA"/>
    <w:rsid w:val="1A11228E"/>
    <w:rsid w:val="1A116350"/>
    <w:rsid w:val="1A1245F4"/>
    <w:rsid w:val="1A165502"/>
    <w:rsid w:val="1A165AF6"/>
    <w:rsid w:val="1A1B09CD"/>
    <w:rsid w:val="1A1F0E4F"/>
    <w:rsid w:val="1A1F6B82"/>
    <w:rsid w:val="1A200ABD"/>
    <w:rsid w:val="1A2226ED"/>
    <w:rsid w:val="1A236444"/>
    <w:rsid w:val="1A242823"/>
    <w:rsid w:val="1A272AD1"/>
    <w:rsid w:val="1A2A15A2"/>
    <w:rsid w:val="1A2B73FB"/>
    <w:rsid w:val="1A2C70C8"/>
    <w:rsid w:val="1A2D07A4"/>
    <w:rsid w:val="1A341559"/>
    <w:rsid w:val="1A34570B"/>
    <w:rsid w:val="1A385A6D"/>
    <w:rsid w:val="1A3B14A8"/>
    <w:rsid w:val="1A3D092B"/>
    <w:rsid w:val="1A4237B0"/>
    <w:rsid w:val="1A426448"/>
    <w:rsid w:val="1A442663"/>
    <w:rsid w:val="1A444595"/>
    <w:rsid w:val="1A475CB0"/>
    <w:rsid w:val="1A495ECC"/>
    <w:rsid w:val="1A502576"/>
    <w:rsid w:val="1A506A37"/>
    <w:rsid w:val="1A514D80"/>
    <w:rsid w:val="1A53059A"/>
    <w:rsid w:val="1A534654"/>
    <w:rsid w:val="1A5B54C3"/>
    <w:rsid w:val="1A5B79AD"/>
    <w:rsid w:val="1A5C160E"/>
    <w:rsid w:val="1A5D3725"/>
    <w:rsid w:val="1A5F26AD"/>
    <w:rsid w:val="1A5F749D"/>
    <w:rsid w:val="1A607A23"/>
    <w:rsid w:val="1A613215"/>
    <w:rsid w:val="1A616F59"/>
    <w:rsid w:val="1A6253DD"/>
    <w:rsid w:val="1A643012"/>
    <w:rsid w:val="1A646826"/>
    <w:rsid w:val="1A654388"/>
    <w:rsid w:val="1A670100"/>
    <w:rsid w:val="1A683745"/>
    <w:rsid w:val="1A6B7B69"/>
    <w:rsid w:val="1A6E04CC"/>
    <w:rsid w:val="1A6F3ABE"/>
    <w:rsid w:val="1A710F7F"/>
    <w:rsid w:val="1A7647E7"/>
    <w:rsid w:val="1A76530F"/>
    <w:rsid w:val="1A775851"/>
    <w:rsid w:val="1A7867B1"/>
    <w:rsid w:val="1A787052"/>
    <w:rsid w:val="1A7B47A4"/>
    <w:rsid w:val="1A7D7F01"/>
    <w:rsid w:val="1A7F0429"/>
    <w:rsid w:val="1A7F35E7"/>
    <w:rsid w:val="1A8021FB"/>
    <w:rsid w:val="1A815666"/>
    <w:rsid w:val="1A8213DE"/>
    <w:rsid w:val="1A82318C"/>
    <w:rsid w:val="1A833F07"/>
    <w:rsid w:val="1A89276C"/>
    <w:rsid w:val="1A8962FD"/>
    <w:rsid w:val="1A8C400A"/>
    <w:rsid w:val="1A907657"/>
    <w:rsid w:val="1A923B8A"/>
    <w:rsid w:val="1A924D3A"/>
    <w:rsid w:val="1A951111"/>
    <w:rsid w:val="1A9600FE"/>
    <w:rsid w:val="1A96689B"/>
    <w:rsid w:val="1A98475D"/>
    <w:rsid w:val="1A9E0A02"/>
    <w:rsid w:val="1A9F11A0"/>
    <w:rsid w:val="1AA03F68"/>
    <w:rsid w:val="1AA051A2"/>
    <w:rsid w:val="1AA3344E"/>
    <w:rsid w:val="1AA41269"/>
    <w:rsid w:val="1AA41354"/>
    <w:rsid w:val="1AA76F44"/>
    <w:rsid w:val="1AAB7FB4"/>
    <w:rsid w:val="1AAD645B"/>
    <w:rsid w:val="1AB64A3F"/>
    <w:rsid w:val="1AB67C5D"/>
    <w:rsid w:val="1ABC3FA4"/>
    <w:rsid w:val="1ABC73CC"/>
    <w:rsid w:val="1AC57566"/>
    <w:rsid w:val="1AC701B6"/>
    <w:rsid w:val="1ACA3608"/>
    <w:rsid w:val="1ACE0034"/>
    <w:rsid w:val="1ACE017F"/>
    <w:rsid w:val="1AD10F75"/>
    <w:rsid w:val="1AD31C39"/>
    <w:rsid w:val="1AD67034"/>
    <w:rsid w:val="1AD74ABF"/>
    <w:rsid w:val="1AD84F90"/>
    <w:rsid w:val="1AD94039"/>
    <w:rsid w:val="1ADA2FC8"/>
    <w:rsid w:val="1ADB44DA"/>
    <w:rsid w:val="1ADD03C2"/>
    <w:rsid w:val="1ADF05DE"/>
    <w:rsid w:val="1ADF58D6"/>
    <w:rsid w:val="1AE14356"/>
    <w:rsid w:val="1AE259D8"/>
    <w:rsid w:val="1AE479A2"/>
    <w:rsid w:val="1AE511EA"/>
    <w:rsid w:val="1AEB0D31"/>
    <w:rsid w:val="1AEC0F96"/>
    <w:rsid w:val="1AED21FE"/>
    <w:rsid w:val="1AED2CFB"/>
    <w:rsid w:val="1AF022C0"/>
    <w:rsid w:val="1AF06347"/>
    <w:rsid w:val="1AF140BB"/>
    <w:rsid w:val="1AF53561"/>
    <w:rsid w:val="1AF5395E"/>
    <w:rsid w:val="1AF56164"/>
    <w:rsid w:val="1AF57E02"/>
    <w:rsid w:val="1AF6270B"/>
    <w:rsid w:val="1AFA5418"/>
    <w:rsid w:val="1AFB1F6B"/>
    <w:rsid w:val="1AFD0A64"/>
    <w:rsid w:val="1B010554"/>
    <w:rsid w:val="1B084946"/>
    <w:rsid w:val="1B097409"/>
    <w:rsid w:val="1B0B4F2F"/>
    <w:rsid w:val="1B126C91"/>
    <w:rsid w:val="1B175B31"/>
    <w:rsid w:val="1B177D78"/>
    <w:rsid w:val="1B1B5600"/>
    <w:rsid w:val="1B1D58CA"/>
    <w:rsid w:val="1B1E2EB4"/>
    <w:rsid w:val="1B1F4E7E"/>
    <w:rsid w:val="1B244243"/>
    <w:rsid w:val="1B2509C5"/>
    <w:rsid w:val="1B2758C7"/>
    <w:rsid w:val="1B283D33"/>
    <w:rsid w:val="1B2967C5"/>
    <w:rsid w:val="1B2B55D1"/>
    <w:rsid w:val="1B2D30F7"/>
    <w:rsid w:val="1B2E0C1E"/>
    <w:rsid w:val="1B321909"/>
    <w:rsid w:val="1B326451"/>
    <w:rsid w:val="1B32775E"/>
    <w:rsid w:val="1B3538EA"/>
    <w:rsid w:val="1B36008B"/>
    <w:rsid w:val="1B3E70B3"/>
    <w:rsid w:val="1B4072CF"/>
    <w:rsid w:val="1B433A08"/>
    <w:rsid w:val="1B444488"/>
    <w:rsid w:val="1B446693"/>
    <w:rsid w:val="1B4548E5"/>
    <w:rsid w:val="1B492591"/>
    <w:rsid w:val="1B4B4E83"/>
    <w:rsid w:val="1B4F6F9D"/>
    <w:rsid w:val="1B5225CA"/>
    <w:rsid w:val="1B556645"/>
    <w:rsid w:val="1B5763C6"/>
    <w:rsid w:val="1B59069A"/>
    <w:rsid w:val="1B5935E9"/>
    <w:rsid w:val="1B5C39DD"/>
    <w:rsid w:val="1B5D1FEF"/>
    <w:rsid w:val="1B5D646E"/>
    <w:rsid w:val="1B6317A0"/>
    <w:rsid w:val="1B642891"/>
    <w:rsid w:val="1B644192"/>
    <w:rsid w:val="1B6C1870"/>
    <w:rsid w:val="1B6F1962"/>
    <w:rsid w:val="1B6F3710"/>
    <w:rsid w:val="1B705779"/>
    <w:rsid w:val="1B711F8E"/>
    <w:rsid w:val="1B751B6D"/>
    <w:rsid w:val="1B754969"/>
    <w:rsid w:val="1B762B5C"/>
    <w:rsid w:val="1B762CF0"/>
    <w:rsid w:val="1B7755CC"/>
    <w:rsid w:val="1B7C407F"/>
    <w:rsid w:val="1B7D2893"/>
    <w:rsid w:val="1B7D567E"/>
    <w:rsid w:val="1B7D7A78"/>
    <w:rsid w:val="1B7E1BA5"/>
    <w:rsid w:val="1B803377"/>
    <w:rsid w:val="1B81654C"/>
    <w:rsid w:val="1B820D86"/>
    <w:rsid w:val="1B844ABD"/>
    <w:rsid w:val="1B852DAA"/>
    <w:rsid w:val="1B855497"/>
    <w:rsid w:val="1B8A0CEC"/>
    <w:rsid w:val="1B8A22F8"/>
    <w:rsid w:val="1B8B51F0"/>
    <w:rsid w:val="1B8D3B96"/>
    <w:rsid w:val="1B9238A2"/>
    <w:rsid w:val="1B925650"/>
    <w:rsid w:val="1B9273FE"/>
    <w:rsid w:val="1B9445C5"/>
    <w:rsid w:val="1B955FB4"/>
    <w:rsid w:val="1B96340A"/>
    <w:rsid w:val="1B973DAB"/>
    <w:rsid w:val="1B976E2D"/>
    <w:rsid w:val="1B9931B1"/>
    <w:rsid w:val="1B9A62B3"/>
    <w:rsid w:val="1B9C5B8F"/>
    <w:rsid w:val="1B9E0FA0"/>
    <w:rsid w:val="1B9F0724"/>
    <w:rsid w:val="1BA01B1B"/>
    <w:rsid w:val="1BA038C5"/>
    <w:rsid w:val="1BA333BA"/>
    <w:rsid w:val="1BA535D6"/>
    <w:rsid w:val="1BA64C58"/>
    <w:rsid w:val="1BA9089D"/>
    <w:rsid w:val="1BA91B12"/>
    <w:rsid w:val="1BAA4748"/>
    <w:rsid w:val="1BB130FD"/>
    <w:rsid w:val="1BB43B41"/>
    <w:rsid w:val="1BB455C7"/>
    <w:rsid w:val="1BB71917"/>
    <w:rsid w:val="1BB90E2F"/>
    <w:rsid w:val="1BBA312A"/>
    <w:rsid w:val="1BBC5D0B"/>
    <w:rsid w:val="1BC06F9C"/>
    <w:rsid w:val="1BC07E83"/>
    <w:rsid w:val="1BC11A92"/>
    <w:rsid w:val="1BC1359D"/>
    <w:rsid w:val="1BC251E8"/>
    <w:rsid w:val="1BC53330"/>
    <w:rsid w:val="1BCA6B98"/>
    <w:rsid w:val="1BCB0A50"/>
    <w:rsid w:val="1BCC2630"/>
    <w:rsid w:val="1BCD6688"/>
    <w:rsid w:val="1BCE121C"/>
    <w:rsid w:val="1BCF0AAA"/>
    <w:rsid w:val="1BCF73AF"/>
    <w:rsid w:val="1BD02183"/>
    <w:rsid w:val="1BD66201"/>
    <w:rsid w:val="1BD73063"/>
    <w:rsid w:val="1BD80085"/>
    <w:rsid w:val="1BD85BCD"/>
    <w:rsid w:val="1BE22134"/>
    <w:rsid w:val="1BE32BFD"/>
    <w:rsid w:val="1BE878D6"/>
    <w:rsid w:val="1BE91714"/>
    <w:rsid w:val="1BEA0BCE"/>
    <w:rsid w:val="1BEC2FCD"/>
    <w:rsid w:val="1BED27B6"/>
    <w:rsid w:val="1BF00AD8"/>
    <w:rsid w:val="1BF01AD5"/>
    <w:rsid w:val="1BF04160"/>
    <w:rsid w:val="1BF10811"/>
    <w:rsid w:val="1BF43C15"/>
    <w:rsid w:val="1BF65BDF"/>
    <w:rsid w:val="1BFD6F6E"/>
    <w:rsid w:val="1C0228D9"/>
    <w:rsid w:val="1C026332"/>
    <w:rsid w:val="1C0407A8"/>
    <w:rsid w:val="1C060036"/>
    <w:rsid w:val="1C07350A"/>
    <w:rsid w:val="1C0C0F5F"/>
    <w:rsid w:val="1C0E117B"/>
    <w:rsid w:val="1C0E2F29"/>
    <w:rsid w:val="1C0E3F7C"/>
    <w:rsid w:val="1C116575"/>
    <w:rsid w:val="1C1174BA"/>
    <w:rsid w:val="1C16002F"/>
    <w:rsid w:val="1C1838C3"/>
    <w:rsid w:val="1C183DA8"/>
    <w:rsid w:val="1C197457"/>
    <w:rsid w:val="1C197DB4"/>
    <w:rsid w:val="1C1D2216"/>
    <w:rsid w:val="1C1E0C92"/>
    <w:rsid w:val="1C220782"/>
    <w:rsid w:val="1C2269D4"/>
    <w:rsid w:val="1C2565C8"/>
    <w:rsid w:val="1C2636D1"/>
    <w:rsid w:val="1C281B11"/>
    <w:rsid w:val="1C281C7E"/>
    <w:rsid w:val="1C291EFA"/>
    <w:rsid w:val="1C293183"/>
    <w:rsid w:val="1C2D2F83"/>
    <w:rsid w:val="1C2F2FA6"/>
    <w:rsid w:val="1C2F4C4D"/>
    <w:rsid w:val="1C3123B9"/>
    <w:rsid w:val="1C361709"/>
    <w:rsid w:val="1C362480"/>
    <w:rsid w:val="1C381D54"/>
    <w:rsid w:val="1C3B14A5"/>
    <w:rsid w:val="1C3B6090"/>
    <w:rsid w:val="1C4032FE"/>
    <w:rsid w:val="1C406E5A"/>
    <w:rsid w:val="1C413C34"/>
    <w:rsid w:val="1C422BD3"/>
    <w:rsid w:val="1C42508D"/>
    <w:rsid w:val="1C444FC2"/>
    <w:rsid w:val="1C454471"/>
    <w:rsid w:val="1C456345"/>
    <w:rsid w:val="1C462CDD"/>
    <w:rsid w:val="1C4701E9"/>
    <w:rsid w:val="1C4759E2"/>
    <w:rsid w:val="1C4A03A4"/>
    <w:rsid w:val="1C4F709D"/>
    <w:rsid w:val="1C5108DF"/>
    <w:rsid w:val="1C5237EF"/>
    <w:rsid w:val="1C563D6D"/>
    <w:rsid w:val="1C57345F"/>
    <w:rsid w:val="1C591153"/>
    <w:rsid w:val="1C5E6250"/>
    <w:rsid w:val="1C5F1003"/>
    <w:rsid w:val="1C5F3784"/>
    <w:rsid w:val="1C661E9C"/>
    <w:rsid w:val="1C6675C9"/>
    <w:rsid w:val="1C672639"/>
    <w:rsid w:val="1C6B3AD9"/>
    <w:rsid w:val="1C6C5769"/>
    <w:rsid w:val="1C6C7A8F"/>
    <w:rsid w:val="1C6D02DA"/>
    <w:rsid w:val="1C6E1C1A"/>
    <w:rsid w:val="1C705A19"/>
    <w:rsid w:val="1C725877"/>
    <w:rsid w:val="1C7328C8"/>
    <w:rsid w:val="1C7369C4"/>
    <w:rsid w:val="1C762226"/>
    <w:rsid w:val="1C775783"/>
    <w:rsid w:val="1C781E2E"/>
    <w:rsid w:val="1C783854"/>
    <w:rsid w:val="1C7865F4"/>
    <w:rsid w:val="1C7969E3"/>
    <w:rsid w:val="1C79702B"/>
    <w:rsid w:val="1C7A236C"/>
    <w:rsid w:val="1C7B4336"/>
    <w:rsid w:val="1C7D15FF"/>
    <w:rsid w:val="1C7D3C0B"/>
    <w:rsid w:val="1C7E4A01"/>
    <w:rsid w:val="1C8435C1"/>
    <w:rsid w:val="1C850D11"/>
    <w:rsid w:val="1C854D3C"/>
    <w:rsid w:val="1C855F2D"/>
    <w:rsid w:val="1C856F63"/>
    <w:rsid w:val="1C887F12"/>
    <w:rsid w:val="1C8C6544"/>
    <w:rsid w:val="1C923460"/>
    <w:rsid w:val="1C934CFB"/>
    <w:rsid w:val="1C940F54"/>
    <w:rsid w:val="1C9571A6"/>
    <w:rsid w:val="1C961170"/>
    <w:rsid w:val="1C962F1E"/>
    <w:rsid w:val="1C976113"/>
    <w:rsid w:val="1C9816DF"/>
    <w:rsid w:val="1C9A2A0F"/>
    <w:rsid w:val="1C9A5535"/>
    <w:rsid w:val="1C9C149D"/>
    <w:rsid w:val="1C9D24FF"/>
    <w:rsid w:val="1C9E02DF"/>
    <w:rsid w:val="1C9E6B95"/>
    <w:rsid w:val="1C9F1DD3"/>
    <w:rsid w:val="1CA23671"/>
    <w:rsid w:val="1CA4388D"/>
    <w:rsid w:val="1CA67605"/>
    <w:rsid w:val="1CA76EDA"/>
    <w:rsid w:val="1CAA0778"/>
    <w:rsid w:val="1CAD3117"/>
    <w:rsid w:val="1CB0414D"/>
    <w:rsid w:val="1CB10488"/>
    <w:rsid w:val="1CB212AF"/>
    <w:rsid w:val="1CB40813"/>
    <w:rsid w:val="1CB53C73"/>
    <w:rsid w:val="1CB573A9"/>
    <w:rsid w:val="1CB6031D"/>
    <w:rsid w:val="1CB65D7F"/>
    <w:rsid w:val="1CB8312D"/>
    <w:rsid w:val="1CB834CE"/>
    <w:rsid w:val="1CB87339"/>
    <w:rsid w:val="1CB87FC3"/>
    <w:rsid w:val="1CB94499"/>
    <w:rsid w:val="1CBB2985"/>
    <w:rsid w:val="1CBB61F5"/>
    <w:rsid w:val="1CBC0BD7"/>
    <w:rsid w:val="1CBE5E63"/>
    <w:rsid w:val="1CBF699E"/>
    <w:rsid w:val="1CC6131B"/>
    <w:rsid w:val="1CC9529A"/>
    <w:rsid w:val="1CCB1826"/>
    <w:rsid w:val="1CCB4DCC"/>
    <w:rsid w:val="1CD05889"/>
    <w:rsid w:val="1CD65817"/>
    <w:rsid w:val="1CDC75CC"/>
    <w:rsid w:val="1CDF48C5"/>
    <w:rsid w:val="1CE06798"/>
    <w:rsid w:val="1CE27F12"/>
    <w:rsid w:val="1CE43C8A"/>
    <w:rsid w:val="1CE67A02"/>
    <w:rsid w:val="1CE70126"/>
    <w:rsid w:val="1CE9337E"/>
    <w:rsid w:val="1CE96A6B"/>
    <w:rsid w:val="1CEB14BC"/>
    <w:rsid w:val="1CEB5FBD"/>
    <w:rsid w:val="1CEB71D1"/>
    <w:rsid w:val="1CF2284B"/>
    <w:rsid w:val="1CF71C0F"/>
    <w:rsid w:val="1CFA18E6"/>
    <w:rsid w:val="1CFA40C7"/>
    <w:rsid w:val="1CFA525B"/>
    <w:rsid w:val="1CFD5FB0"/>
    <w:rsid w:val="1D0151B5"/>
    <w:rsid w:val="1D036806"/>
    <w:rsid w:val="1D063A33"/>
    <w:rsid w:val="1D074E75"/>
    <w:rsid w:val="1D091942"/>
    <w:rsid w:val="1D0B661D"/>
    <w:rsid w:val="1D0D7D7A"/>
    <w:rsid w:val="1D120796"/>
    <w:rsid w:val="1D133DBB"/>
    <w:rsid w:val="1D1671E6"/>
    <w:rsid w:val="1D1735EF"/>
    <w:rsid w:val="1D1A0AA1"/>
    <w:rsid w:val="1D1C0D08"/>
    <w:rsid w:val="1D1E1802"/>
    <w:rsid w:val="1D1E4B2C"/>
    <w:rsid w:val="1D1F1166"/>
    <w:rsid w:val="1D1F4CC2"/>
    <w:rsid w:val="1D210CA8"/>
    <w:rsid w:val="1D221FE0"/>
    <w:rsid w:val="1D232A04"/>
    <w:rsid w:val="1D24052A"/>
    <w:rsid w:val="1D241C2B"/>
    <w:rsid w:val="1D2642A2"/>
    <w:rsid w:val="1D291034"/>
    <w:rsid w:val="1D2A3E2C"/>
    <w:rsid w:val="1D2A53E1"/>
    <w:rsid w:val="1D2A7460"/>
    <w:rsid w:val="1D2D73DF"/>
    <w:rsid w:val="1D302D06"/>
    <w:rsid w:val="1D316391"/>
    <w:rsid w:val="1D37200B"/>
    <w:rsid w:val="1D373F8B"/>
    <w:rsid w:val="1D3D5EE0"/>
    <w:rsid w:val="1D402A24"/>
    <w:rsid w:val="1D404050"/>
    <w:rsid w:val="1D436C02"/>
    <w:rsid w:val="1D44304E"/>
    <w:rsid w:val="1D444728"/>
    <w:rsid w:val="1D44564A"/>
    <w:rsid w:val="1D4604A0"/>
    <w:rsid w:val="1D4757AE"/>
    <w:rsid w:val="1D48246B"/>
    <w:rsid w:val="1D484219"/>
    <w:rsid w:val="1D4A647E"/>
    <w:rsid w:val="1D4A6ABC"/>
    <w:rsid w:val="1D4A739A"/>
    <w:rsid w:val="1D4C030F"/>
    <w:rsid w:val="1D4E55A7"/>
    <w:rsid w:val="1D4E628F"/>
    <w:rsid w:val="1D4E636E"/>
    <w:rsid w:val="1D525097"/>
    <w:rsid w:val="1D532BBD"/>
    <w:rsid w:val="1D53752B"/>
    <w:rsid w:val="1D552DD9"/>
    <w:rsid w:val="1D554B87"/>
    <w:rsid w:val="1D5A3F4C"/>
    <w:rsid w:val="1D5C5F16"/>
    <w:rsid w:val="1D6152DA"/>
    <w:rsid w:val="1D635B51"/>
    <w:rsid w:val="1D646B79"/>
    <w:rsid w:val="1D65301C"/>
    <w:rsid w:val="1D660B43"/>
    <w:rsid w:val="1D6C348C"/>
    <w:rsid w:val="1D7148B4"/>
    <w:rsid w:val="1D7160DC"/>
    <w:rsid w:val="1D7414B2"/>
    <w:rsid w:val="1D743C31"/>
    <w:rsid w:val="1D750D86"/>
    <w:rsid w:val="1D7B0AEE"/>
    <w:rsid w:val="1D7B163B"/>
    <w:rsid w:val="1D7C38D9"/>
    <w:rsid w:val="1D7C71CA"/>
    <w:rsid w:val="1D8070E6"/>
    <w:rsid w:val="1D81597C"/>
    <w:rsid w:val="1D833A3D"/>
    <w:rsid w:val="1D8411E0"/>
    <w:rsid w:val="1D85546D"/>
    <w:rsid w:val="1D8673E0"/>
    <w:rsid w:val="1D8B05A9"/>
    <w:rsid w:val="1D8B208F"/>
    <w:rsid w:val="1D8C54D5"/>
    <w:rsid w:val="1D906CEE"/>
    <w:rsid w:val="1D926748"/>
    <w:rsid w:val="1D9531D6"/>
    <w:rsid w:val="1D96278E"/>
    <w:rsid w:val="1D967B59"/>
    <w:rsid w:val="1D970CFC"/>
    <w:rsid w:val="1D9751A0"/>
    <w:rsid w:val="1D9A1A19"/>
    <w:rsid w:val="1D9B59B9"/>
    <w:rsid w:val="1DA0475A"/>
    <w:rsid w:val="1DA24769"/>
    <w:rsid w:val="1DA34263"/>
    <w:rsid w:val="1DA4572A"/>
    <w:rsid w:val="1DA5018E"/>
    <w:rsid w:val="1DA53275"/>
    <w:rsid w:val="1DA578DB"/>
    <w:rsid w:val="1DA63635"/>
    <w:rsid w:val="1DA82F09"/>
    <w:rsid w:val="1DA84CB7"/>
    <w:rsid w:val="1DAB1346"/>
    <w:rsid w:val="1DAB2D62"/>
    <w:rsid w:val="1DAF419C"/>
    <w:rsid w:val="1DB01DBE"/>
    <w:rsid w:val="1DBA6AE8"/>
    <w:rsid w:val="1DBA7E3B"/>
    <w:rsid w:val="1DBC69B5"/>
    <w:rsid w:val="1DBE272D"/>
    <w:rsid w:val="1DBE55DE"/>
    <w:rsid w:val="1DC146E5"/>
    <w:rsid w:val="1DC17079"/>
    <w:rsid w:val="1DC6338F"/>
    <w:rsid w:val="1DC83D71"/>
    <w:rsid w:val="1DCA0749"/>
    <w:rsid w:val="1DCF0496"/>
    <w:rsid w:val="1DD1231F"/>
    <w:rsid w:val="1DD360F5"/>
    <w:rsid w:val="1DD463DA"/>
    <w:rsid w:val="1DD513C6"/>
    <w:rsid w:val="1DD57C31"/>
    <w:rsid w:val="1DD63BEC"/>
    <w:rsid w:val="1DD76D02"/>
    <w:rsid w:val="1DDA3ACB"/>
    <w:rsid w:val="1DDC2BB3"/>
    <w:rsid w:val="1DDC60D9"/>
    <w:rsid w:val="1DDE692B"/>
    <w:rsid w:val="1DDF37CB"/>
    <w:rsid w:val="1DE30648"/>
    <w:rsid w:val="1DE32193"/>
    <w:rsid w:val="1DE41A3B"/>
    <w:rsid w:val="1DE57CB9"/>
    <w:rsid w:val="1DE972FF"/>
    <w:rsid w:val="1DEA52D0"/>
    <w:rsid w:val="1DEB6B9D"/>
    <w:rsid w:val="1DEF0B38"/>
    <w:rsid w:val="1DEF28E6"/>
    <w:rsid w:val="1DF24184"/>
    <w:rsid w:val="1DF26F67"/>
    <w:rsid w:val="1DF569CD"/>
    <w:rsid w:val="1DF6398A"/>
    <w:rsid w:val="1DF63A01"/>
    <w:rsid w:val="1DF655C9"/>
    <w:rsid w:val="1DF77C0F"/>
    <w:rsid w:val="1DF83E91"/>
    <w:rsid w:val="1DF93765"/>
    <w:rsid w:val="1DF95513"/>
    <w:rsid w:val="1DFB128B"/>
    <w:rsid w:val="1DFE0D7B"/>
    <w:rsid w:val="1DFE7381"/>
    <w:rsid w:val="1DFF483F"/>
    <w:rsid w:val="1DFF7785"/>
    <w:rsid w:val="1E0062C5"/>
    <w:rsid w:val="1E041255"/>
    <w:rsid w:val="1E043717"/>
    <w:rsid w:val="1E043EFA"/>
    <w:rsid w:val="1E060430"/>
    <w:rsid w:val="1E0721EF"/>
    <w:rsid w:val="1E0836E8"/>
    <w:rsid w:val="1E087E4C"/>
    <w:rsid w:val="1E092273"/>
    <w:rsid w:val="1E093750"/>
    <w:rsid w:val="1E0A7720"/>
    <w:rsid w:val="1E0B5246"/>
    <w:rsid w:val="1E0D7210"/>
    <w:rsid w:val="1E1037B0"/>
    <w:rsid w:val="1E114F52"/>
    <w:rsid w:val="1E11752C"/>
    <w:rsid w:val="1E1665F2"/>
    <w:rsid w:val="1E192A79"/>
    <w:rsid w:val="1E1D079E"/>
    <w:rsid w:val="1E1E766F"/>
    <w:rsid w:val="1E22443B"/>
    <w:rsid w:val="1E2A6F0F"/>
    <w:rsid w:val="1E2C557F"/>
    <w:rsid w:val="1E2C58E8"/>
    <w:rsid w:val="1E2F52AD"/>
    <w:rsid w:val="1E3379BE"/>
    <w:rsid w:val="1E3A6258"/>
    <w:rsid w:val="1E3B1FCF"/>
    <w:rsid w:val="1E430E84"/>
    <w:rsid w:val="1E440E8B"/>
    <w:rsid w:val="1E452451"/>
    <w:rsid w:val="1E4757E9"/>
    <w:rsid w:val="1E480248"/>
    <w:rsid w:val="1E497454"/>
    <w:rsid w:val="1E5033BD"/>
    <w:rsid w:val="1E537319"/>
    <w:rsid w:val="1E543B19"/>
    <w:rsid w:val="1E551BB0"/>
    <w:rsid w:val="1E5866DD"/>
    <w:rsid w:val="1E5B61CE"/>
    <w:rsid w:val="1E5B7C0C"/>
    <w:rsid w:val="1E5C0C53"/>
    <w:rsid w:val="1E5E1A4B"/>
    <w:rsid w:val="1E5F56BC"/>
    <w:rsid w:val="1E5F5CBE"/>
    <w:rsid w:val="1E6202E4"/>
    <w:rsid w:val="1E6530D0"/>
    <w:rsid w:val="1E674B72"/>
    <w:rsid w:val="1E6B4143"/>
    <w:rsid w:val="1E6D6A63"/>
    <w:rsid w:val="1E6F276C"/>
    <w:rsid w:val="1E6F7432"/>
    <w:rsid w:val="1E703892"/>
    <w:rsid w:val="1E7142C9"/>
    <w:rsid w:val="1E723619"/>
    <w:rsid w:val="1E744F7E"/>
    <w:rsid w:val="1E763007"/>
    <w:rsid w:val="1E7828DC"/>
    <w:rsid w:val="1E7866E9"/>
    <w:rsid w:val="1E787386"/>
    <w:rsid w:val="1E7B23CC"/>
    <w:rsid w:val="1E7B7DBE"/>
    <w:rsid w:val="1E7C3237"/>
    <w:rsid w:val="1E7C40E0"/>
    <w:rsid w:val="1E7D6144"/>
    <w:rsid w:val="1E803DBC"/>
    <w:rsid w:val="1E804B4F"/>
    <w:rsid w:val="1E805C34"/>
    <w:rsid w:val="1E82375A"/>
    <w:rsid w:val="1E8847A0"/>
    <w:rsid w:val="1E8B2F0F"/>
    <w:rsid w:val="1E8B6273"/>
    <w:rsid w:val="1E8F0298"/>
    <w:rsid w:val="1E8F5E77"/>
    <w:rsid w:val="1E917E41"/>
    <w:rsid w:val="1E933BB9"/>
    <w:rsid w:val="1E9364D3"/>
    <w:rsid w:val="1E9620BF"/>
    <w:rsid w:val="1E997503"/>
    <w:rsid w:val="1E9C5F1F"/>
    <w:rsid w:val="1E9D2342"/>
    <w:rsid w:val="1E9F430C"/>
    <w:rsid w:val="1EA078DB"/>
    <w:rsid w:val="1EA10E7F"/>
    <w:rsid w:val="1EA2204E"/>
    <w:rsid w:val="1EA45087"/>
    <w:rsid w:val="1EA5569B"/>
    <w:rsid w:val="1EA638ED"/>
    <w:rsid w:val="1EA732A6"/>
    <w:rsid w:val="1EA837EF"/>
    <w:rsid w:val="1EA9518B"/>
    <w:rsid w:val="1EAC0D7B"/>
    <w:rsid w:val="1EB12291"/>
    <w:rsid w:val="1EB27D85"/>
    <w:rsid w:val="1EB42845"/>
    <w:rsid w:val="1EB45340"/>
    <w:rsid w:val="1EB67843"/>
    <w:rsid w:val="1EB82E15"/>
    <w:rsid w:val="1EB85342"/>
    <w:rsid w:val="1EBB0A1A"/>
    <w:rsid w:val="1EBD29E4"/>
    <w:rsid w:val="1EC30E2C"/>
    <w:rsid w:val="1EC50826"/>
    <w:rsid w:val="1EC92A67"/>
    <w:rsid w:val="1EC93137"/>
    <w:rsid w:val="1ECA3253"/>
    <w:rsid w:val="1ECD22B7"/>
    <w:rsid w:val="1ECE074D"/>
    <w:rsid w:val="1ECF0A05"/>
    <w:rsid w:val="1ED00A67"/>
    <w:rsid w:val="1ED1746E"/>
    <w:rsid w:val="1ED266C1"/>
    <w:rsid w:val="1ED44256"/>
    <w:rsid w:val="1ED60FBB"/>
    <w:rsid w:val="1ED80850"/>
    <w:rsid w:val="1EDA7CD2"/>
    <w:rsid w:val="1EDE51C1"/>
    <w:rsid w:val="1EDF6DFF"/>
    <w:rsid w:val="1EDF6E66"/>
    <w:rsid w:val="1EE06EAF"/>
    <w:rsid w:val="1EE461C3"/>
    <w:rsid w:val="1EE648B6"/>
    <w:rsid w:val="1EE66A79"/>
    <w:rsid w:val="1EE93F77"/>
    <w:rsid w:val="1EE95587"/>
    <w:rsid w:val="1EEA4601"/>
    <w:rsid w:val="1EEC6F00"/>
    <w:rsid w:val="1EEF4C62"/>
    <w:rsid w:val="1EF1268E"/>
    <w:rsid w:val="1EF13C80"/>
    <w:rsid w:val="1EF33B3C"/>
    <w:rsid w:val="1EF67CA4"/>
    <w:rsid w:val="1EF90DA5"/>
    <w:rsid w:val="1EFB52BB"/>
    <w:rsid w:val="1F022AED"/>
    <w:rsid w:val="1F037584"/>
    <w:rsid w:val="1F06438B"/>
    <w:rsid w:val="1F073C5F"/>
    <w:rsid w:val="1F074978"/>
    <w:rsid w:val="1F0B7BF4"/>
    <w:rsid w:val="1F0E51C2"/>
    <w:rsid w:val="1F101F8D"/>
    <w:rsid w:val="1F124666"/>
    <w:rsid w:val="1F130856"/>
    <w:rsid w:val="1F152820"/>
    <w:rsid w:val="1F160BC6"/>
    <w:rsid w:val="1F1631EC"/>
    <w:rsid w:val="1F185E1F"/>
    <w:rsid w:val="1F194AEC"/>
    <w:rsid w:val="1F1970AA"/>
    <w:rsid w:val="1F1A1BE5"/>
    <w:rsid w:val="1F1A5833"/>
    <w:rsid w:val="1F1B4407"/>
    <w:rsid w:val="1F1B5960"/>
    <w:rsid w:val="1F1D1FBD"/>
    <w:rsid w:val="1F1F544D"/>
    <w:rsid w:val="1F267EBF"/>
    <w:rsid w:val="1F2713F5"/>
    <w:rsid w:val="1F2962CC"/>
    <w:rsid w:val="1F2D5FFE"/>
    <w:rsid w:val="1F2E743E"/>
    <w:rsid w:val="1F300E2E"/>
    <w:rsid w:val="1F310AF0"/>
    <w:rsid w:val="1F327ABD"/>
    <w:rsid w:val="1F357228"/>
    <w:rsid w:val="1F377B98"/>
    <w:rsid w:val="1F3977C3"/>
    <w:rsid w:val="1F3C32DA"/>
    <w:rsid w:val="1F3D4E81"/>
    <w:rsid w:val="1F3F5AEF"/>
    <w:rsid w:val="1F417171"/>
    <w:rsid w:val="1F425561"/>
    <w:rsid w:val="1F454BDA"/>
    <w:rsid w:val="1F454CEA"/>
    <w:rsid w:val="1F460C2C"/>
    <w:rsid w:val="1F49071C"/>
    <w:rsid w:val="1F4A7B38"/>
    <w:rsid w:val="1F4B7FF0"/>
    <w:rsid w:val="1F4E5D32"/>
    <w:rsid w:val="1F501AAA"/>
    <w:rsid w:val="1F516EB4"/>
    <w:rsid w:val="1F533349"/>
    <w:rsid w:val="1F552C1D"/>
    <w:rsid w:val="1F5844BB"/>
    <w:rsid w:val="1F5D2D9A"/>
    <w:rsid w:val="1F5D7A39"/>
    <w:rsid w:val="1F5F1B63"/>
    <w:rsid w:val="1F5F3A9B"/>
    <w:rsid w:val="1F62352B"/>
    <w:rsid w:val="1F6317DE"/>
    <w:rsid w:val="1F664E2A"/>
    <w:rsid w:val="1F674C7A"/>
    <w:rsid w:val="1F680BA2"/>
    <w:rsid w:val="1F6966C8"/>
    <w:rsid w:val="1F6A2A0D"/>
    <w:rsid w:val="1F6B68E4"/>
    <w:rsid w:val="1F6C13FF"/>
    <w:rsid w:val="1F78584A"/>
    <w:rsid w:val="1F79582C"/>
    <w:rsid w:val="1F7A5E9B"/>
    <w:rsid w:val="1F7A6B27"/>
    <w:rsid w:val="1F7E2174"/>
    <w:rsid w:val="1F817EB6"/>
    <w:rsid w:val="1F824FFC"/>
    <w:rsid w:val="1F84138C"/>
    <w:rsid w:val="1F853F09"/>
    <w:rsid w:val="1F860DDA"/>
    <w:rsid w:val="1F864F29"/>
    <w:rsid w:val="1F8B4890"/>
    <w:rsid w:val="1F8B663F"/>
    <w:rsid w:val="1F8D0609"/>
    <w:rsid w:val="1F8D238A"/>
    <w:rsid w:val="1F8D5A6D"/>
    <w:rsid w:val="1F8D685B"/>
    <w:rsid w:val="1F916158"/>
    <w:rsid w:val="1F920200"/>
    <w:rsid w:val="1F92624F"/>
    <w:rsid w:val="1F9518E4"/>
    <w:rsid w:val="1F9951FF"/>
    <w:rsid w:val="1F9C0229"/>
    <w:rsid w:val="1F9C6A9E"/>
    <w:rsid w:val="1F9D419F"/>
    <w:rsid w:val="1FA0331E"/>
    <w:rsid w:val="1FA109FE"/>
    <w:rsid w:val="1FA64077"/>
    <w:rsid w:val="1FA77D59"/>
    <w:rsid w:val="1FA92370"/>
    <w:rsid w:val="1FAB0A8F"/>
    <w:rsid w:val="1FB12584"/>
    <w:rsid w:val="1FB13FCC"/>
    <w:rsid w:val="1FB411B4"/>
    <w:rsid w:val="1FB45B95"/>
    <w:rsid w:val="1FB738D7"/>
    <w:rsid w:val="1FB97752"/>
    <w:rsid w:val="1FBB4F2E"/>
    <w:rsid w:val="1FC102B2"/>
    <w:rsid w:val="1FC16504"/>
    <w:rsid w:val="1FC51EFC"/>
    <w:rsid w:val="1FC61D6D"/>
    <w:rsid w:val="1FC9177E"/>
    <w:rsid w:val="1FCB6A49"/>
    <w:rsid w:val="1FCC7D17"/>
    <w:rsid w:val="1FCD35BD"/>
    <w:rsid w:val="1FCD4EA9"/>
    <w:rsid w:val="1FCF5C4F"/>
    <w:rsid w:val="1FD004F5"/>
    <w:rsid w:val="1FD07636"/>
    <w:rsid w:val="1FD44489"/>
    <w:rsid w:val="1FD7009C"/>
    <w:rsid w:val="1FDC6E9A"/>
    <w:rsid w:val="1FDF6D29"/>
    <w:rsid w:val="1FE312CB"/>
    <w:rsid w:val="1FE52A5A"/>
    <w:rsid w:val="1FE726D3"/>
    <w:rsid w:val="1FE907CD"/>
    <w:rsid w:val="1FEA10E3"/>
    <w:rsid w:val="1FEB0C35"/>
    <w:rsid w:val="1FEF4E1F"/>
    <w:rsid w:val="1FF111C3"/>
    <w:rsid w:val="1FF35F0D"/>
    <w:rsid w:val="1FF67A97"/>
    <w:rsid w:val="1FF73AE5"/>
    <w:rsid w:val="1FF95C9E"/>
    <w:rsid w:val="1FFA67C7"/>
    <w:rsid w:val="1FFB1A16"/>
    <w:rsid w:val="1FFC578E"/>
    <w:rsid w:val="1FFC753C"/>
    <w:rsid w:val="1FFE1506"/>
    <w:rsid w:val="1FFE4DC2"/>
    <w:rsid w:val="1FFF6E7D"/>
    <w:rsid w:val="20000A59"/>
    <w:rsid w:val="20001E79"/>
    <w:rsid w:val="2007660D"/>
    <w:rsid w:val="200B0DEA"/>
    <w:rsid w:val="200B2B36"/>
    <w:rsid w:val="200C59D1"/>
    <w:rsid w:val="200F304F"/>
    <w:rsid w:val="20104708"/>
    <w:rsid w:val="20146634"/>
    <w:rsid w:val="201523AC"/>
    <w:rsid w:val="20152F2B"/>
    <w:rsid w:val="201818CE"/>
    <w:rsid w:val="20185CB1"/>
    <w:rsid w:val="20196340"/>
    <w:rsid w:val="201B1FDA"/>
    <w:rsid w:val="201B342D"/>
    <w:rsid w:val="201B5C14"/>
    <w:rsid w:val="201E74B3"/>
    <w:rsid w:val="2020147D"/>
    <w:rsid w:val="20201623"/>
    <w:rsid w:val="202076CF"/>
    <w:rsid w:val="2025476B"/>
    <w:rsid w:val="20273E80"/>
    <w:rsid w:val="202A22FB"/>
    <w:rsid w:val="202A6220"/>
    <w:rsid w:val="202B1BD0"/>
    <w:rsid w:val="202D1DEC"/>
    <w:rsid w:val="202D5948"/>
    <w:rsid w:val="20312D30"/>
    <w:rsid w:val="203334D1"/>
    <w:rsid w:val="20340A84"/>
    <w:rsid w:val="203671C6"/>
    <w:rsid w:val="203874E8"/>
    <w:rsid w:val="203A0569"/>
    <w:rsid w:val="203C5B8B"/>
    <w:rsid w:val="203C638C"/>
    <w:rsid w:val="203E1903"/>
    <w:rsid w:val="203E3376"/>
    <w:rsid w:val="203E3384"/>
    <w:rsid w:val="203F539B"/>
    <w:rsid w:val="203F7CDA"/>
    <w:rsid w:val="2040514A"/>
    <w:rsid w:val="2040567B"/>
    <w:rsid w:val="20406FAA"/>
    <w:rsid w:val="20414272"/>
    <w:rsid w:val="20446485"/>
    <w:rsid w:val="20482782"/>
    <w:rsid w:val="204A13AA"/>
    <w:rsid w:val="204A594A"/>
    <w:rsid w:val="204F3B10"/>
    <w:rsid w:val="20511636"/>
    <w:rsid w:val="205165AA"/>
    <w:rsid w:val="20552A57"/>
    <w:rsid w:val="20595182"/>
    <w:rsid w:val="2059703A"/>
    <w:rsid w:val="205B24B5"/>
    <w:rsid w:val="205B672D"/>
    <w:rsid w:val="205C6C52"/>
    <w:rsid w:val="205E1FA5"/>
    <w:rsid w:val="206016CD"/>
    <w:rsid w:val="20631BE8"/>
    <w:rsid w:val="20651585"/>
    <w:rsid w:val="206550E2"/>
    <w:rsid w:val="20657B97"/>
    <w:rsid w:val="20670E5A"/>
    <w:rsid w:val="20692E24"/>
    <w:rsid w:val="2073120C"/>
    <w:rsid w:val="20751CCA"/>
    <w:rsid w:val="2076109D"/>
    <w:rsid w:val="20763218"/>
    <w:rsid w:val="207672EF"/>
    <w:rsid w:val="207A0011"/>
    <w:rsid w:val="207D1B0E"/>
    <w:rsid w:val="207D304E"/>
    <w:rsid w:val="2081416F"/>
    <w:rsid w:val="20823EE5"/>
    <w:rsid w:val="20831A0C"/>
    <w:rsid w:val="20831A80"/>
    <w:rsid w:val="2083293A"/>
    <w:rsid w:val="20880080"/>
    <w:rsid w:val="20895851"/>
    <w:rsid w:val="208B03F2"/>
    <w:rsid w:val="208E288A"/>
    <w:rsid w:val="20915FDC"/>
    <w:rsid w:val="20931C4F"/>
    <w:rsid w:val="209348DB"/>
    <w:rsid w:val="20953ACA"/>
    <w:rsid w:val="209546B6"/>
    <w:rsid w:val="209B1D0D"/>
    <w:rsid w:val="209D487B"/>
    <w:rsid w:val="209E05F3"/>
    <w:rsid w:val="209E23A2"/>
    <w:rsid w:val="209E5575"/>
    <w:rsid w:val="20A025BE"/>
    <w:rsid w:val="20A35391"/>
    <w:rsid w:val="20A437C1"/>
    <w:rsid w:val="20A51138"/>
    <w:rsid w:val="20A55132"/>
    <w:rsid w:val="20A62F4B"/>
    <w:rsid w:val="20A756FA"/>
    <w:rsid w:val="20A944EF"/>
    <w:rsid w:val="20B32D50"/>
    <w:rsid w:val="20B47E17"/>
    <w:rsid w:val="20B54D51"/>
    <w:rsid w:val="20B6486E"/>
    <w:rsid w:val="20B87907"/>
    <w:rsid w:val="20BB1830"/>
    <w:rsid w:val="20BC7A52"/>
    <w:rsid w:val="20C0056A"/>
    <w:rsid w:val="20CA763A"/>
    <w:rsid w:val="20CB142F"/>
    <w:rsid w:val="20CC5161"/>
    <w:rsid w:val="20CC7491"/>
    <w:rsid w:val="20CD1CA3"/>
    <w:rsid w:val="20CE1622"/>
    <w:rsid w:val="20D12947"/>
    <w:rsid w:val="20D31F12"/>
    <w:rsid w:val="20D5619C"/>
    <w:rsid w:val="20D83B05"/>
    <w:rsid w:val="20DA18D9"/>
    <w:rsid w:val="20DA3EA2"/>
    <w:rsid w:val="20DA5ACF"/>
    <w:rsid w:val="20DC49E8"/>
    <w:rsid w:val="20DD0A96"/>
    <w:rsid w:val="20DD111C"/>
    <w:rsid w:val="20DD5A21"/>
    <w:rsid w:val="20DF421C"/>
    <w:rsid w:val="20E24FCC"/>
    <w:rsid w:val="20E34258"/>
    <w:rsid w:val="20E56222"/>
    <w:rsid w:val="20E701EC"/>
    <w:rsid w:val="20E83F8F"/>
    <w:rsid w:val="20EA22A2"/>
    <w:rsid w:val="20EF0E4F"/>
    <w:rsid w:val="20EF5717"/>
    <w:rsid w:val="20FA3A7C"/>
    <w:rsid w:val="20FB0D9A"/>
    <w:rsid w:val="20FD0AEC"/>
    <w:rsid w:val="20FD17BE"/>
    <w:rsid w:val="20FD7963"/>
    <w:rsid w:val="20FE1268"/>
    <w:rsid w:val="20FF28A6"/>
    <w:rsid w:val="210112AE"/>
    <w:rsid w:val="21026ADC"/>
    <w:rsid w:val="210466A8"/>
    <w:rsid w:val="210668C5"/>
    <w:rsid w:val="21083710"/>
    <w:rsid w:val="21096610"/>
    <w:rsid w:val="210B1C7A"/>
    <w:rsid w:val="210C37AF"/>
    <w:rsid w:val="210D6FE9"/>
    <w:rsid w:val="210F504D"/>
    <w:rsid w:val="211014F1"/>
    <w:rsid w:val="21103286"/>
    <w:rsid w:val="21103625"/>
    <w:rsid w:val="211153F7"/>
    <w:rsid w:val="21132AFA"/>
    <w:rsid w:val="211441B8"/>
    <w:rsid w:val="211663DC"/>
    <w:rsid w:val="2117610B"/>
    <w:rsid w:val="211D2ED8"/>
    <w:rsid w:val="21200956"/>
    <w:rsid w:val="212154AC"/>
    <w:rsid w:val="212338EF"/>
    <w:rsid w:val="21236F43"/>
    <w:rsid w:val="21246D4B"/>
    <w:rsid w:val="212472C8"/>
    <w:rsid w:val="21254871"/>
    <w:rsid w:val="21263E90"/>
    <w:rsid w:val="21291E29"/>
    <w:rsid w:val="212F074C"/>
    <w:rsid w:val="212F12B2"/>
    <w:rsid w:val="212F7201"/>
    <w:rsid w:val="213276BA"/>
    <w:rsid w:val="21333432"/>
    <w:rsid w:val="213721C1"/>
    <w:rsid w:val="21380A48"/>
    <w:rsid w:val="213B5A3C"/>
    <w:rsid w:val="213E00D5"/>
    <w:rsid w:val="213E7A51"/>
    <w:rsid w:val="213F0C0C"/>
    <w:rsid w:val="213F493D"/>
    <w:rsid w:val="21425712"/>
    <w:rsid w:val="21432CC1"/>
    <w:rsid w:val="21463053"/>
    <w:rsid w:val="21477ACE"/>
    <w:rsid w:val="21494A03"/>
    <w:rsid w:val="214967B1"/>
    <w:rsid w:val="214E3DC8"/>
    <w:rsid w:val="214F2C2C"/>
    <w:rsid w:val="21511300"/>
    <w:rsid w:val="2153367C"/>
    <w:rsid w:val="21537630"/>
    <w:rsid w:val="215541E0"/>
    <w:rsid w:val="215A451A"/>
    <w:rsid w:val="215C0E89"/>
    <w:rsid w:val="21601D33"/>
    <w:rsid w:val="21621621"/>
    <w:rsid w:val="21623A37"/>
    <w:rsid w:val="21640E74"/>
    <w:rsid w:val="21692022"/>
    <w:rsid w:val="216C7790"/>
    <w:rsid w:val="216D06F2"/>
    <w:rsid w:val="217242C3"/>
    <w:rsid w:val="21734C71"/>
    <w:rsid w:val="21753D85"/>
    <w:rsid w:val="21780687"/>
    <w:rsid w:val="217A220E"/>
    <w:rsid w:val="217E28FF"/>
    <w:rsid w:val="21810DDD"/>
    <w:rsid w:val="218119C1"/>
    <w:rsid w:val="21837E47"/>
    <w:rsid w:val="21844292"/>
    <w:rsid w:val="21867A05"/>
    <w:rsid w:val="21885277"/>
    <w:rsid w:val="218A130D"/>
    <w:rsid w:val="21902C16"/>
    <w:rsid w:val="219043E0"/>
    <w:rsid w:val="21904B50"/>
    <w:rsid w:val="21920158"/>
    <w:rsid w:val="21920A05"/>
    <w:rsid w:val="21934EFB"/>
    <w:rsid w:val="21957C48"/>
    <w:rsid w:val="219739C1"/>
    <w:rsid w:val="2199143A"/>
    <w:rsid w:val="219952B5"/>
    <w:rsid w:val="2199598D"/>
    <w:rsid w:val="219C4B33"/>
    <w:rsid w:val="219D08AB"/>
    <w:rsid w:val="219D108F"/>
    <w:rsid w:val="219F2875"/>
    <w:rsid w:val="21A127A9"/>
    <w:rsid w:val="21A165ED"/>
    <w:rsid w:val="21A20123"/>
    <w:rsid w:val="21A20EFB"/>
    <w:rsid w:val="21A33EA7"/>
    <w:rsid w:val="21A75DF5"/>
    <w:rsid w:val="21A938DA"/>
    <w:rsid w:val="21AA531C"/>
    <w:rsid w:val="21AC1386"/>
    <w:rsid w:val="21AC35FD"/>
    <w:rsid w:val="21AE2AB8"/>
    <w:rsid w:val="21AE2E78"/>
    <w:rsid w:val="21AE6EC6"/>
    <w:rsid w:val="21AF3662"/>
    <w:rsid w:val="21B20842"/>
    <w:rsid w:val="21B31E7D"/>
    <w:rsid w:val="21B45919"/>
    <w:rsid w:val="21B46321"/>
    <w:rsid w:val="21B539C5"/>
    <w:rsid w:val="21B72F49"/>
    <w:rsid w:val="21B873B0"/>
    <w:rsid w:val="21B87493"/>
    <w:rsid w:val="21B96E8A"/>
    <w:rsid w:val="21BA320B"/>
    <w:rsid w:val="21BB2F39"/>
    <w:rsid w:val="21C5052E"/>
    <w:rsid w:val="21C85928"/>
    <w:rsid w:val="21CB18BC"/>
    <w:rsid w:val="21CD1190"/>
    <w:rsid w:val="21CD3B0B"/>
    <w:rsid w:val="21D56297"/>
    <w:rsid w:val="21D81F6F"/>
    <w:rsid w:val="21D83065"/>
    <w:rsid w:val="21DA1AFF"/>
    <w:rsid w:val="21DC13D3"/>
    <w:rsid w:val="21E23697"/>
    <w:rsid w:val="21E40288"/>
    <w:rsid w:val="21E72831"/>
    <w:rsid w:val="21E74E8C"/>
    <w:rsid w:val="21E8624E"/>
    <w:rsid w:val="21E94BB1"/>
    <w:rsid w:val="21F01449"/>
    <w:rsid w:val="21F11323"/>
    <w:rsid w:val="21F26E49"/>
    <w:rsid w:val="21F42162"/>
    <w:rsid w:val="21F5755C"/>
    <w:rsid w:val="21F904BF"/>
    <w:rsid w:val="21FA5CFD"/>
    <w:rsid w:val="21FC7CC7"/>
    <w:rsid w:val="22001566"/>
    <w:rsid w:val="22056B7C"/>
    <w:rsid w:val="2207504F"/>
    <w:rsid w:val="2208041A"/>
    <w:rsid w:val="220A0F86"/>
    <w:rsid w:val="220B1CB9"/>
    <w:rsid w:val="220B7CE2"/>
    <w:rsid w:val="220D4AA7"/>
    <w:rsid w:val="220F3557"/>
    <w:rsid w:val="220F79FB"/>
    <w:rsid w:val="221520AB"/>
    <w:rsid w:val="22165393"/>
    <w:rsid w:val="22175C74"/>
    <w:rsid w:val="221D73F9"/>
    <w:rsid w:val="221E159E"/>
    <w:rsid w:val="22200B7C"/>
    <w:rsid w:val="222039B6"/>
    <w:rsid w:val="222133BE"/>
    <w:rsid w:val="22223D21"/>
    <w:rsid w:val="22252D7A"/>
    <w:rsid w:val="2226040E"/>
    <w:rsid w:val="2228286B"/>
    <w:rsid w:val="222A0C03"/>
    <w:rsid w:val="222C0F78"/>
    <w:rsid w:val="222C235B"/>
    <w:rsid w:val="222D0B55"/>
    <w:rsid w:val="222D2EF7"/>
    <w:rsid w:val="2230171F"/>
    <w:rsid w:val="22302B68"/>
    <w:rsid w:val="22313749"/>
    <w:rsid w:val="223233ED"/>
    <w:rsid w:val="22326507"/>
    <w:rsid w:val="22326879"/>
    <w:rsid w:val="223643DF"/>
    <w:rsid w:val="2239563E"/>
    <w:rsid w:val="22396826"/>
    <w:rsid w:val="223B259E"/>
    <w:rsid w:val="223B3635"/>
    <w:rsid w:val="223B582C"/>
    <w:rsid w:val="223C6316"/>
    <w:rsid w:val="223D09D2"/>
    <w:rsid w:val="22405E06"/>
    <w:rsid w:val="22410935"/>
    <w:rsid w:val="22431452"/>
    <w:rsid w:val="22481152"/>
    <w:rsid w:val="22486D09"/>
    <w:rsid w:val="224D26CF"/>
    <w:rsid w:val="22525D60"/>
    <w:rsid w:val="22533907"/>
    <w:rsid w:val="22544180"/>
    <w:rsid w:val="2254540E"/>
    <w:rsid w:val="225673D8"/>
    <w:rsid w:val="2257460A"/>
    <w:rsid w:val="225917A1"/>
    <w:rsid w:val="22597FF8"/>
    <w:rsid w:val="225C42C2"/>
    <w:rsid w:val="225F0D12"/>
    <w:rsid w:val="22625D7D"/>
    <w:rsid w:val="22635651"/>
    <w:rsid w:val="22654F65"/>
    <w:rsid w:val="2265761B"/>
    <w:rsid w:val="22682C67"/>
    <w:rsid w:val="22715F0F"/>
    <w:rsid w:val="22745AB0"/>
    <w:rsid w:val="227A78CC"/>
    <w:rsid w:val="227B299A"/>
    <w:rsid w:val="227B5090"/>
    <w:rsid w:val="227C0707"/>
    <w:rsid w:val="227E248B"/>
    <w:rsid w:val="228311AD"/>
    <w:rsid w:val="22833587"/>
    <w:rsid w:val="228757E3"/>
    <w:rsid w:val="22895464"/>
    <w:rsid w:val="228E2DDD"/>
    <w:rsid w:val="228F28EA"/>
    <w:rsid w:val="22916066"/>
    <w:rsid w:val="22955BE6"/>
    <w:rsid w:val="22965A26"/>
    <w:rsid w:val="2296771B"/>
    <w:rsid w:val="229677D4"/>
    <w:rsid w:val="22993768"/>
    <w:rsid w:val="22995516"/>
    <w:rsid w:val="229972C4"/>
    <w:rsid w:val="229B128E"/>
    <w:rsid w:val="229B752C"/>
    <w:rsid w:val="229C64CD"/>
    <w:rsid w:val="229E14EA"/>
    <w:rsid w:val="22A028C7"/>
    <w:rsid w:val="22A27FA3"/>
    <w:rsid w:val="22A75E85"/>
    <w:rsid w:val="22AA0D09"/>
    <w:rsid w:val="22AA3280"/>
    <w:rsid w:val="22AF2E1B"/>
    <w:rsid w:val="22B12860"/>
    <w:rsid w:val="22B67E76"/>
    <w:rsid w:val="22BD2FB3"/>
    <w:rsid w:val="22C00CF5"/>
    <w:rsid w:val="22C02AA3"/>
    <w:rsid w:val="22C3258A"/>
    <w:rsid w:val="22C367F8"/>
    <w:rsid w:val="22C5455D"/>
    <w:rsid w:val="22C73E32"/>
    <w:rsid w:val="22C8763A"/>
    <w:rsid w:val="22C97BAA"/>
    <w:rsid w:val="22CA12F3"/>
    <w:rsid w:val="22CA56D0"/>
    <w:rsid w:val="22CC4905"/>
    <w:rsid w:val="22D16A5E"/>
    <w:rsid w:val="22D47EE0"/>
    <w:rsid w:val="22D60519"/>
    <w:rsid w:val="22D95913"/>
    <w:rsid w:val="22DA15DC"/>
    <w:rsid w:val="22DA1DB7"/>
    <w:rsid w:val="22E0593F"/>
    <w:rsid w:val="22E30BD3"/>
    <w:rsid w:val="22E36792"/>
    <w:rsid w:val="22E449E3"/>
    <w:rsid w:val="22E46480"/>
    <w:rsid w:val="22E5250A"/>
    <w:rsid w:val="22E57876"/>
    <w:rsid w:val="22E86032"/>
    <w:rsid w:val="22E91FFA"/>
    <w:rsid w:val="22EE5862"/>
    <w:rsid w:val="22EF5136"/>
    <w:rsid w:val="22F15352"/>
    <w:rsid w:val="22F16A90"/>
    <w:rsid w:val="22F308D3"/>
    <w:rsid w:val="22F31EA2"/>
    <w:rsid w:val="22F37301"/>
    <w:rsid w:val="22F5569A"/>
    <w:rsid w:val="22F56BF1"/>
    <w:rsid w:val="22F603B3"/>
    <w:rsid w:val="22F632B0"/>
    <w:rsid w:val="22F87F66"/>
    <w:rsid w:val="22FC6147"/>
    <w:rsid w:val="22FC6FD8"/>
    <w:rsid w:val="22FD42C4"/>
    <w:rsid w:val="22FF181D"/>
    <w:rsid w:val="22FF785E"/>
    <w:rsid w:val="2300238C"/>
    <w:rsid w:val="23024E6A"/>
    <w:rsid w:val="2304378A"/>
    <w:rsid w:val="23045086"/>
    <w:rsid w:val="23077D03"/>
    <w:rsid w:val="2308699F"/>
    <w:rsid w:val="230D6D8B"/>
    <w:rsid w:val="230E303E"/>
    <w:rsid w:val="230E380E"/>
    <w:rsid w:val="230F74D1"/>
    <w:rsid w:val="2314633C"/>
    <w:rsid w:val="23163331"/>
    <w:rsid w:val="23165916"/>
    <w:rsid w:val="231704B9"/>
    <w:rsid w:val="231730A9"/>
    <w:rsid w:val="231F6A45"/>
    <w:rsid w:val="23203542"/>
    <w:rsid w:val="23204D36"/>
    <w:rsid w:val="23244DE0"/>
    <w:rsid w:val="2326726E"/>
    <w:rsid w:val="232A10DD"/>
    <w:rsid w:val="232B5CA6"/>
    <w:rsid w:val="232F6CD4"/>
    <w:rsid w:val="23334A6F"/>
    <w:rsid w:val="233846FA"/>
    <w:rsid w:val="233A062D"/>
    <w:rsid w:val="233B7AAC"/>
    <w:rsid w:val="233D01B2"/>
    <w:rsid w:val="233D0598"/>
    <w:rsid w:val="233E665D"/>
    <w:rsid w:val="23431FB4"/>
    <w:rsid w:val="23435939"/>
    <w:rsid w:val="234436D4"/>
    <w:rsid w:val="2348218A"/>
    <w:rsid w:val="23496341"/>
    <w:rsid w:val="23496F3C"/>
    <w:rsid w:val="234E4553"/>
    <w:rsid w:val="234F41A4"/>
    <w:rsid w:val="234F747A"/>
    <w:rsid w:val="23517B9F"/>
    <w:rsid w:val="23520E20"/>
    <w:rsid w:val="23544934"/>
    <w:rsid w:val="23582CDC"/>
    <w:rsid w:val="235D66BC"/>
    <w:rsid w:val="235F277C"/>
    <w:rsid w:val="235F406A"/>
    <w:rsid w:val="23606FDF"/>
    <w:rsid w:val="23616034"/>
    <w:rsid w:val="23632008"/>
    <w:rsid w:val="23633C06"/>
    <w:rsid w:val="2366364A"/>
    <w:rsid w:val="23690DB1"/>
    <w:rsid w:val="236A7197"/>
    <w:rsid w:val="236B341F"/>
    <w:rsid w:val="236D4C87"/>
    <w:rsid w:val="23735D67"/>
    <w:rsid w:val="2376433B"/>
    <w:rsid w:val="23770CC7"/>
    <w:rsid w:val="237C3DA7"/>
    <w:rsid w:val="238274DC"/>
    <w:rsid w:val="2383244E"/>
    <w:rsid w:val="23843AD1"/>
    <w:rsid w:val="238735C1"/>
    <w:rsid w:val="23887A65"/>
    <w:rsid w:val="238A285B"/>
    <w:rsid w:val="238A537B"/>
    <w:rsid w:val="238B4E5F"/>
    <w:rsid w:val="238E6583"/>
    <w:rsid w:val="238E6D75"/>
    <w:rsid w:val="23904E3C"/>
    <w:rsid w:val="23932289"/>
    <w:rsid w:val="239B0E1A"/>
    <w:rsid w:val="239C52BE"/>
    <w:rsid w:val="239D7097"/>
    <w:rsid w:val="239F090A"/>
    <w:rsid w:val="239F3944"/>
    <w:rsid w:val="23A414B2"/>
    <w:rsid w:val="23A45116"/>
    <w:rsid w:val="23A579AE"/>
    <w:rsid w:val="23A83F5F"/>
    <w:rsid w:val="23B26890"/>
    <w:rsid w:val="23B720F8"/>
    <w:rsid w:val="23B82417"/>
    <w:rsid w:val="23B8264C"/>
    <w:rsid w:val="23B95E70"/>
    <w:rsid w:val="23BD0A4E"/>
    <w:rsid w:val="23BD6FE3"/>
    <w:rsid w:val="23BF065F"/>
    <w:rsid w:val="23C10881"/>
    <w:rsid w:val="23C14D25"/>
    <w:rsid w:val="23C23111"/>
    <w:rsid w:val="23C270A9"/>
    <w:rsid w:val="23C36E5D"/>
    <w:rsid w:val="23C87E61"/>
    <w:rsid w:val="23CB7976"/>
    <w:rsid w:val="23D031BA"/>
    <w:rsid w:val="23D04F68"/>
    <w:rsid w:val="23D10FA4"/>
    <w:rsid w:val="23D20CF9"/>
    <w:rsid w:val="23DB77DC"/>
    <w:rsid w:val="23DC56BB"/>
    <w:rsid w:val="23DD27BA"/>
    <w:rsid w:val="23DE58D7"/>
    <w:rsid w:val="23E10F23"/>
    <w:rsid w:val="23E17175"/>
    <w:rsid w:val="23E3039C"/>
    <w:rsid w:val="23E43132"/>
    <w:rsid w:val="23E45806"/>
    <w:rsid w:val="23EF1510"/>
    <w:rsid w:val="23EF5DBA"/>
    <w:rsid w:val="23EF6865"/>
    <w:rsid w:val="23F0560A"/>
    <w:rsid w:val="23F05F55"/>
    <w:rsid w:val="23F12BDD"/>
    <w:rsid w:val="23F56CCE"/>
    <w:rsid w:val="23F650D1"/>
    <w:rsid w:val="23F70746"/>
    <w:rsid w:val="23F76998"/>
    <w:rsid w:val="23FA7E6D"/>
    <w:rsid w:val="23FE266A"/>
    <w:rsid w:val="23FF1007"/>
    <w:rsid w:val="23FF13A9"/>
    <w:rsid w:val="23FF6695"/>
    <w:rsid w:val="2400212D"/>
    <w:rsid w:val="24017676"/>
    <w:rsid w:val="24030E99"/>
    <w:rsid w:val="24054E77"/>
    <w:rsid w:val="240609C3"/>
    <w:rsid w:val="24063936"/>
    <w:rsid w:val="24066307"/>
    <w:rsid w:val="240820A0"/>
    <w:rsid w:val="240864B0"/>
    <w:rsid w:val="240B41F2"/>
    <w:rsid w:val="240E5F29"/>
    <w:rsid w:val="240F1248"/>
    <w:rsid w:val="240F1345"/>
    <w:rsid w:val="241035B6"/>
    <w:rsid w:val="24194C1C"/>
    <w:rsid w:val="241C1BBA"/>
    <w:rsid w:val="241E4758"/>
    <w:rsid w:val="241F0C1E"/>
    <w:rsid w:val="242025EC"/>
    <w:rsid w:val="24262DDA"/>
    <w:rsid w:val="242B01E7"/>
    <w:rsid w:val="242B41D8"/>
    <w:rsid w:val="242B4261"/>
    <w:rsid w:val="242F1EAC"/>
    <w:rsid w:val="242F3694"/>
    <w:rsid w:val="242F7EE0"/>
    <w:rsid w:val="24331774"/>
    <w:rsid w:val="24337EAF"/>
    <w:rsid w:val="24343749"/>
    <w:rsid w:val="243454F7"/>
    <w:rsid w:val="243948BB"/>
    <w:rsid w:val="243A706F"/>
    <w:rsid w:val="243B0F52"/>
    <w:rsid w:val="243B61F5"/>
    <w:rsid w:val="243C52F6"/>
    <w:rsid w:val="243E511F"/>
    <w:rsid w:val="243F31FB"/>
    <w:rsid w:val="2441354A"/>
    <w:rsid w:val="2444748A"/>
    <w:rsid w:val="24454D52"/>
    <w:rsid w:val="24482D50"/>
    <w:rsid w:val="24493919"/>
    <w:rsid w:val="24495BFC"/>
    <w:rsid w:val="244B6D94"/>
    <w:rsid w:val="244D24A6"/>
    <w:rsid w:val="244F0582"/>
    <w:rsid w:val="244F40DF"/>
    <w:rsid w:val="24500BB7"/>
    <w:rsid w:val="24502691"/>
    <w:rsid w:val="245037C7"/>
    <w:rsid w:val="2456538C"/>
    <w:rsid w:val="24575689"/>
    <w:rsid w:val="24577437"/>
    <w:rsid w:val="245915A5"/>
    <w:rsid w:val="24594F8E"/>
    <w:rsid w:val="245A2A83"/>
    <w:rsid w:val="245A3ABD"/>
    <w:rsid w:val="245B0CD5"/>
    <w:rsid w:val="24651B54"/>
    <w:rsid w:val="246614B3"/>
    <w:rsid w:val="246A716A"/>
    <w:rsid w:val="246D6C5B"/>
    <w:rsid w:val="246E07D7"/>
    <w:rsid w:val="246E3AC2"/>
    <w:rsid w:val="246F4781"/>
    <w:rsid w:val="246F6C13"/>
    <w:rsid w:val="24704055"/>
    <w:rsid w:val="247679F6"/>
    <w:rsid w:val="247C0BBD"/>
    <w:rsid w:val="247E6188"/>
    <w:rsid w:val="2480698E"/>
    <w:rsid w:val="24816262"/>
    <w:rsid w:val="24822706"/>
    <w:rsid w:val="24833D88"/>
    <w:rsid w:val="24855D52"/>
    <w:rsid w:val="24867F42"/>
    <w:rsid w:val="24877D1C"/>
    <w:rsid w:val="24885034"/>
    <w:rsid w:val="248D10AB"/>
    <w:rsid w:val="249041B2"/>
    <w:rsid w:val="249146F7"/>
    <w:rsid w:val="2492046F"/>
    <w:rsid w:val="249250D1"/>
    <w:rsid w:val="24940192"/>
    <w:rsid w:val="249424B1"/>
    <w:rsid w:val="24961D0D"/>
    <w:rsid w:val="24963D19"/>
    <w:rsid w:val="24974F95"/>
    <w:rsid w:val="24996CE8"/>
    <w:rsid w:val="249C309C"/>
    <w:rsid w:val="249D12EE"/>
    <w:rsid w:val="249E0BC2"/>
    <w:rsid w:val="24A4434B"/>
    <w:rsid w:val="24A73F1B"/>
    <w:rsid w:val="24A756CB"/>
    <w:rsid w:val="24AB7D76"/>
    <w:rsid w:val="24AC4908"/>
    <w:rsid w:val="24AC7783"/>
    <w:rsid w:val="24AD5531"/>
    <w:rsid w:val="24B01D82"/>
    <w:rsid w:val="24B13BE8"/>
    <w:rsid w:val="24B209C6"/>
    <w:rsid w:val="24B220F9"/>
    <w:rsid w:val="24B25594"/>
    <w:rsid w:val="24B8582D"/>
    <w:rsid w:val="24BB2B8E"/>
    <w:rsid w:val="24BB79C6"/>
    <w:rsid w:val="24BC5AB4"/>
    <w:rsid w:val="24BD1D36"/>
    <w:rsid w:val="24BF2ECD"/>
    <w:rsid w:val="24C2361E"/>
    <w:rsid w:val="24C24E96"/>
    <w:rsid w:val="24C26FA6"/>
    <w:rsid w:val="24C35833"/>
    <w:rsid w:val="24C745BD"/>
    <w:rsid w:val="24C83E91"/>
    <w:rsid w:val="24C9000A"/>
    <w:rsid w:val="24CB6559"/>
    <w:rsid w:val="24CF4D83"/>
    <w:rsid w:val="24D26ABE"/>
    <w:rsid w:val="24D70722"/>
    <w:rsid w:val="24D7158D"/>
    <w:rsid w:val="24D82326"/>
    <w:rsid w:val="24DB0068"/>
    <w:rsid w:val="24DE36B4"/>
    <w:rsid w:val="24E011DB"/>
    <w:rsid w:val="24E04237"/>
    <w:rsid w:val="24E1230E"/>
    <w:rsid w:val="24E20D41"/>
    <w:rsid w:val="24E231A5"/>
    <w:rsid w:val="24E32A79"/>
    <w:rsid w:val="24E37C23"/>
    <w:rsid w:val="24E46F1D"/>
    <w:rsid w:val="24E543B6"/>
    <w:rsid w:val="24E567F1"/>
    <w:rsid w:val="24E908BF"/>
    <w:rsid w:val="24E96042"/>
    <w:rsid w:val="24EA0731"/>
    <w:rsid w:val="24EC78F1"/>
    <w:rsid w:val="24EF009F"/>
    <w:rsid w:val="24F0382E"/>
    <w:rsid w:val="24F15196"/>
    <w:rsid w:val="24F2238B"/>
    <w:rsid w:val="24F27517"/>
    <w:rsid w:val="24F435E3"/>
    <w:rsid w:val="24F44C86"/>
    <w:rsid w:val="24F66C50"/>
    <w:rsid w:val="24F813DC"/>
    <w:rsid w:val="24F84776"/>
    <w:rsid w:val="24F9229C"/>
    <w:rsid w:val="24FC79CE"/>
    <w:rsid w:val="24FF3D57"/>
    <w:rsid w:val="24FF4D84"/>
    <w:rsid w:val="25007ACF"/>
    <w:rsid w:val="25010D91"/>
    <w:rsid w:val="25017409"/>
    <w:rsid w:val="2501742F"/>
    <w:rsid w:val="25025CB6"/>
    <w:rsid w:val="250273A3"/>
    <w:rsid w:val="25050C3E"/>
    <w:rsid w:val="250A5FC5"/>
    <w:rsid w:val="2512504B"/>
    <w:rsid w:val="25141066"/>
    <w:rsid w:val="251946ED"/>
    <w:rsid w:val="251A4762"/>
    <w:rsid w:val="251A55FE"/>
    <w:rsid w:val="251D5F8B"/>
    <w:rsid w:val="25217ED4"/>
    <w:rsid w:val="25227A45"/>
    <w:rsid w:val="2526682A"/>
    <w:rsid w:val="252B0A0B"/>
    <w:rsid w:val="252B0A60"/>
    <w:rsid w:val="252E0C6B"/>
    <w:rsid w:val="252F250C"/>
    <w:rsid w:val="252F5CBE"/>
    <w:rsid w:val="253060C7"/>
    <w:rsid w:val="253064EC"/>
    <w:rsid w:val="25322C0F"/>
    <w:rsid w:val="25346219"/>
    <w:rsid w:val="25357778"/>
    <w:rsid w:val="253908EB"/>
    <w:rsid w:val="253B4663"/>
    <w:rsid w:val="253C1748"/>
    <w:rsid w:val="253C5891"/>
    <w:rsid w:val="253D3076"/>
    <w:rsid w:val="253E51E5"/>
    <w:rsid w:val="253F4306"/>
    <w:rsid w:val="25400064"/>
    <w:rsid w:val="254371F2"/>
    <w:rsid w:val="25453733"/>
    <w:rsid w:val="2546550C"/>
    <w:rsid w:val="25490114"/>
    <w:rsid w:val="254B0FBE"/>
    <w:rsid w:val="254C2D14"/>
    <w:rsid w:val="254D2306"/>
    <w:rsid w:val="25512802"/>
    <w:rsid w:val="25516097"/>
    <w:rsid w:val="25541F74"/>
    <w:rsid w:val="25545725"/>
    <w:rsid w:val="25561D2B"/>
    <w:rsid w:val="25583467"/>
    <w:rsid w:val="25594B83"/>
    <w:rsid w:val="255D0A7D"/>
    <w:rsid w:val="255E5FE6"/>
    <w:rsid w:val="255F47F5"/>
    <w:rsid w:val="2561056D"/>
    <w:rsid w:val="2565282D"/>
    <w:rsid w:val="2565324A"/>
    <w:rsid w:val="256741E1"/>
    <w:rsid w:val="256911D0"/>
    <w:rsid w:val="256B1629"/>
    <w:rsid w:val="256B552A"/>
    <w:rsid w:val="256C7B62"/>
    <w:rsid w:val="256D7D1C"/>
    <w:rsid w:val="256E70CB"/>
    <w:rsid w:val="257227BA"/>
    <w:rsid w:val="25722ABE"/>
    <w:rsid w:val="25726BE3"/>
    <w:rsid w:val="25743F1A"/>
    <w:rsid w:val="25757E45"/>
    <w:rsid w:val="25784419"/>
    <w:rsid w:val="25787665"/>
    <w:rsid w:val="257B3865"/>
    <w:rsid w:val="257C36F2"/>
    <w:rsid w:val="257C71A8"/>
    <w:rsid w:val="257D111F"/>
    <w:rsid w:val="257D4311"/>
    <w:rsid w:val="257D6101"/>
    <w:rsid w:val="257D6324"/>
    <w:rsid w:val="2580476C"/>
    <w:rsid w:val="2580570A"/>
    <w:rsid w:val="25807280"/>
    <w:rsid w:val="258212E1"/>
    <w:rsid w:val="25826736"/>
    <w:rsid w:val="258424AE"/>
    <w:rsid w:val="25845E1E"/>
    <w:rsid w:val="258779A6"/>
    <w:rsid w:val="25887BC0"/>
    <w:rsid w:val="25891872"/>
    <w:rsid w:val="258E0028"/>
    <w:rsid w:val="258E50DA"/>
    <w:rsid w:val="258F4E7B"/>
    <w:rsid w:val="25902C01"/>
    <w:rsid w:val="25931DDF"/>
    <w:rsid w:val="25935970"/>
    <w:rsid w:val="2593624D"/>
    <w:rsid w:val="259723F2"/>
    <w:rsid w:val="25973F8F"/>
    <w:rsid w:val="25977FA3"/>
    <w:rsid w:val="259B7BEC"/>
    <w:rsid w:val="259C15A5"/>
    <w:rsid w:val="259C7458"/>
    <w:rsid w:val="259C77F7"/>
    <w:rsid w:val="259F3E4E"/>
    <w:rsid w:val="25A005FB"/>
    <w:rsid w:val="25A162DB"/>
    <w:rsid w:val="25A22B50"/>
    <w:rsid w:val="25A31C81"/>
    <w:rsid w:val="25A41527"/>
    <w:rsid w:val="25A67259"/>
    <w:rsid w:val="25A8619C"/>
    <w:rsid w:val="25A91F14"/>
    <w:rsid w:val="25AE3087"/>
    <w:rsid w:val="25AF2202"/>
    <w:rsid w:val="25AF6CF1"/>
    <w:rsid w:val="25AF7A72"/>
    <w:rsid w:val="25B0670D"/>
    <w:rsid w:val="25B20DC9"/>
    <w:rsid w:val="25B26F94"/>
    <w:rsid w:val="25B318F4"/>
    <w:rsid w:val="25B32D7C"/>
    <w:rsid w:val="25B33895"/>
    <w:rsid w:val="25B622C0"/>
    <w:rsid w:val="25B73A53"/>
    <w:rsid w:val="25B91A6B"/>
    <w:rsid w:val="25BA0198"/>
    <w:rsid w:val="25BD2413"/>
    <w:rsid w:val="25C04A7B"/>
    <w:rsid w:val="25C12DBA"/>
    <w:rsid w:val="25C1725E"/>
    <w:rsid w:val="25C452EF"/>
    <w:rsid w:val="25C600D9"/>
    <w:rsid w:val="25C603D0"/>
    <w:rsid w:val="25C72C7D"/>
    <w:rsid w:val="25C74149"/>
    <w:rsid w:val="25C91C6F"/>
    <w:rsid w:val="25CA0BCA"/>
    <w:rsid w:val="25D17F94"/>
    <w:rsid w:val="25D326C2"/>
    <w:rsid w:val="25D519BA"/>
    <w:rsid w:val="25D837AC"/>
    <w:rsid w:val="25D92890"/>
    <w:rsid w:val="25DA1FF8"/>
    <w:rsid w:val="25DC5E46"/>
    <w:rsid w:val="25DF7222"/>
    <w:rsid w:val="25E1270E"/>
    <w:rsid w:val="25E21B4F"/>
    <w:rsid w:val="25E66D49"/>
    <w:rsid w:val="25E847EB"/>
    <w:rsid w:val="25EA1963"/>
    <w:rsid w:val="25EA6C0E"/>
    <w:rsid w:val="25EB42DB"/>
    <w:rsid w:val="25EB7E37"/>
    <w:rsid w:val="25ED240F"/>
    <w:rsid w:val="25F0730A"/>
    <w:rsid w:val="25F16BB2"/>
    <w:rsid w:val="25F40322"/>
    <w:rsid w:val="25F413E1"/>
    <w:rsid w:val="25F5515A"/>
    <w:rsid w:val="25F719FB"/>
    <w:rsid w:val="25FA2770"/>
    <w:rsid w:val="25FB14A5"/>
    <w:rsid w:val="25FC3DF2"/>
    <w:rsid w:val="25FF0C8B"/>
    <w:rsid w:val="2600019B"/>
    <w:rsid w:val="260151EA"/>
    <w:rsid w:val="2604599B"/>
    <w:rsid w:val="260B672B"/>
    <w:rsid w:val="260C1BE2"/>
    <w:rsid w:val="260D178D"/>
    <w:rsid w:val="260D5FFF"/>
    <w:rsid w:val="260E1719"/>
    <w:rsid w:val="26103C64"/>
    <w:rsid w:val="26127ABA"/>
    <w:rsid w:val="2613738E"/>
    <w:rsid w:val="26143832"/>
    <w:rsid w:val="26153106"/>
    <w:rsid w:val="26197D30"/>
    <w:rsid w:val="261B3AF5"/>
    <w:rsid w:val="261E78E4"/>
    <w:rsid w:val="26211DED"/>
    <w:rsid w:val="26213859"/>
    <w:rsid w:val="26236539"/>
    <w:rsid w:val="262454E4"/>
    <w:rsid w:val="2628134A"/>
    <w:rsid w:val="262829A5"/>
    <w:rsid w:val="26292F46"/>
    <w:rsid w:val="262B46D7"/>
    <w:rsid w:val="262D5743"/>
    <w:rsid w:val="26315855"/>
    <w:rsid w:val="26321F0A"/>
    <w:rsid w:val="263311F6"/>
    <w:rsid w:val="26337601"/>
    <w:rsid w:val="263537A8"/>
    <w:rsid w:val="2636356A"/>
    <w:rsid w:val="26377520"/>
    <w:rsid w:val="263870CC"/>
    <w:rsid w:val="26387EAB"/>
    <w:rsid w:val="263B7010"/>
    <w:rsid w:val="263C68E5"/>
    <w:rsid w:val="26451C3D"/>
    <w:rsid w:val="26461511"/>
    <w:rsid w:val="26467763"/>
    <w:rsid w:val="264942A9"/>
    <w:rsid w:val="264B2FCC"/>
    <w:rsid w:val="264C437D"/>
    <w:rsid w:val="264E1912"/>
    <w:rsid w:val="264E7B1E"/>
    <w:rsid w:val="26543C2E"/>
    <w:rsid w:val="265A39B0"/>
    <w:rsid w:val="265A4FBD"/>
    <w:rsid w:val="265B3446"/>
    <w:rsid w:val="26600825"/>
    <w:rsid w:val="26631EBA"/>
    <w:rsid w:val="2664694F"/>
    <w:rsid w:val="26661AFF"/>
    <w:rsid w:val="266670D4"/>
    <w:rsid w:val="26674C3E"/>
    <w:rsid w:val="26702394"/>
    <w:rsid w:val="26747E2C"/>
    <w:rsid w:val="26753BA5"/>
    <w:rsid w:val="26767011"/>
    <w:rsid w:val="26767B02"/>
    <w:rsid w:val="26785987"/>
    <w:rsid w:val="26793695"/>
    <w:rsid w:val="26795C3D"/>
    <w:rsid w:val="267A6FA3"/>
    <w:rsid w:val="267F67D1"/>
    <w:rsid w:val="26810919"/>
    <w:rsid w:val="268209A4"/>
    <w:rsid w:val="26832765"/>
    <w:rsid w:val="26856D36"/>
    <w:rsid w:val="268664BC"/>
    <w:rsid w:val="26881ECE"/>
    <w:rsid w:val="26890EED"/>
    <w:rsid w:val="268B1A7D"/>
    <w:rsid w:val="268D0EEE"/>
    <w:rsid w:val="268D2FF6"/>
    <w:rsid w:val="268D7140"/>
    <w:rsid w:val="268E6C86"/>
    <w:rsid w:val="269009DE"/>
    <w:rsid w:val="269447DC"/>
    <w:rsid w:val="26962499"/>
    <w:rsid w:val="26962CEB"/>
    <w:rsid w:val="269A3694"/>
    <w:rsid w:val="269C3827"/>
    <w:rsid w:val="269E1F49"/>
    <w:rsid w:val="269E4739"/>
    <w:rsid w:val="26A06E73"/>
    <w:rsid w:val="26A1499A"/>
    <w:rsid w:val="26A22B4F"/>
    <w:rsid w:val="26A540E9"/>
    <w:rsid w:val="26A84F7D"/>
    <w:rsid w:val="26AA7CF2"/>
    <w:rsid w:val="26AC48AD"/>
    <w:rsid w:val="26AF205F"/>
    <w:rsid w:val="26B237C1"/>
    <w:rsid w:val="26B6588F"/>
    <w:rsid w:val="26B66DFA"/>
    <w:rsid w:val="26B67CF5"/>
    <w:rsid w:val="26B7240F"/>
    <w:rsid w:val="26B9554F"/>
    <w:rsid w:val="26C025C4"/>
    <w:rsid w:val="26C50688"/>
    <w:rsid w:val="26C62652"/>
    <w:rsid w:val="26CB1A16"/>
    <w:rsid w:val="26CC5AFD"/>
    <w:rsid w:val="26CC7C68"/>
    <w:rsid w:val="26CD42DA"/>
    <w:rsid w:val="26CF59AB"/>
    <w:rsid w:val="26D244E6"/>
    <w:rsid w:val="26D67350"/>
    <w:rsid w:val="26D74F9C"/>
    <w:rsid w:val="26D831EE"/>
    <w:rsid w:val="26D903F6"/>
    <w:rsid w:val="26DA2DB4"/>
    <w:rsid w:val="26DB434F"/>
    <w:rsid w:val="26DC6E95"/>
    <w:rsid w:val="26E34FB2"/>
    <w:rsid w:val="26E35F24"/>
    <w:rsid w:val="26E66850"/>
    <w:rsid w:val="26E87F46"/>
    <w:rsid w:val="26EB3E67"/>
    <w:rsid w:val="26ED0B30"/>
    <w:rsid w:val="26ED4385"/>
    <w:rsid w:val="26F1147D"/>
    <w:rsid w:val="26F22CC2"/>
    <w:rsid w:val="26F23447"/>
    <w:rsid w:val="26F420BF"/>
    <w:rsid w:val="26F42C7E"/>
    <w:rsid w:val="26F50752"/>
    <w:rsid w:val="26F52B2B"/>
    <w:rsid w:val="26F9313F"/>
    <w:rsid w:val="26F947D6"/>
    <w:rsid w:val="26FA48A6"/>
    <w:rsid w:val="26FB71C8"/>
    <w:rsid w:val="26FE2F45"/>
    <w:rsid w:val="26FE4F2B"/>
    <w:rsid w:val="26FE5E6C"/>
    <w:rsid w:val="26FF3B43"/>
    <w:rsid w:val="26FF3C7D"/>
    <w:rsid w:val="27017FC8"/>
    <w:rsid w:val="27027B2E"/>
    <w:rsid w:val="27092CFA"/>
    <w:rsid w:val="270C4509"/>
    <w:rsid w:val="270C5549"/>
    <w:rsid w:val="270E2FFD"/>
    <w:rsid w:val="270F0DA6"/>
    <w:rsid w:val="270F3FF9"/>
    <w:rsid w:val="270F5DA7"/>
    <w:rsid w:val="27133AE9"/>
    <w:rsid w:val="2714160F"/>
    <w:rsid w:val="27165388"/>
    <w:rsid w:val="27174C5C"/>
    <w:rsid w:val="27180ABF"/>
    <w:rsid w:val="27184C7B"/>
    <w:rsid w:val="271B474C"/>
    <w:rsid w:val="271C26FA"/>
    <w:rsid w:val="27207FB4"/>
    <w:rsid w:val="27226CB3"/>
    <w:rsid w:val="27252BF1"/>
    <w:rsid w:val="27266021"/>
    <w:rsid w:val="27270A10"/>
    <w:rsid w:val="272730F1"/>
    <w:rsid w:val="272E0923"/>
    <w:rsid w:val="27306B19"/>
    <w:rsid w:val="27341633"/>
    <w:rsid w:val="273677D8"/>
    <w:rsid w:val="2737400F"/>
    <w:rsid w:val="27374E33"/>
    <w:rsid w:val="27395E48"/>
    <w:rsid w:val="273D46C2"/>
    <w:rsid w:val="273E1CF4"/>
    <w:rsid w:val="273E28AF"/>
    <w:rsid w:val="27473A7A"/>
    <w:rsid w:val="27475541"/>
    <w:rsid w:val="274A3E4E"/>
    <w:rsid w:val="274D4A7B"/>
    <w:rsid w:val="274E6D83"/>
    <w:rsid w:val="275217BF"/>
    <w:rsid w:val="27533EED"/>
    <w:rsid w:val="27565784"/>
    <w:rsid w:val="275B723E"/>
    <w:rsid w:val="275D4D64"/>
    <w:rsid w:val="275D6B12"/>
    <w:rsid w:val="27622C6E"/>
    <w:rsid w:val="276500BD"/>
    <w:rsid w:val="27653A2C"/>
    <w:rsid w:val="27693709"/>
    <w:rsid w:val="276E6F72"/>
    <w:rsid w:val="277327DA"/>
    <w:rsid w:val="27734588"/>
    <w:rsid w:val="277508D1"/>
    <w:rsid w:val="2775684F"/>
    <w:rsid w:val="2777409F"/>
    <w:rsid w:val="27774EAB"/>
    <w:rsid w:val="2778394C"/>
    <w:rsid w:val="27787DF0"/>
    <w:rsid w:val="277B51EB"/>
    <w:rsid w:val="277D4022"/>
    <w:rsid w:val="277D6B49"/>
    <w:rsid w:val="277E5F32"/>
    <w:rsid w:val="277F117F"/>
    <w:rsid w:val="277F4129"/>
    <w:rsid w:val="27800A53"/>
    <w:rsid w:val="27813114"/>
    <w:rsid w:val="278720E9"/>
    <w:rsid w:val="27892F16"/>
    <w:rsid w:val="27893DAB"/>
    <w:rsid w:val="278A3680"/>
    <w:rsid w:val="27907C7F"/>
    <w:rsid w:val="27956DF6"/>
    <w:rsid w:val="27975617"/>
    <w:rsid w:val="27985209"/>
    <w:rsid w:val="279B588D"/>
    <w:rsid w:val="279D7857"/>
    <w:rsid w:val="27A01A3D"/>
    <w:rsid w:val="27A04C51"/>
    <w:rsid w:val="27A07342"/>
    <w:rsid w:val="27A209C9"/>
    <w:rsid w:val="27A238CE"/>
    <w:rsid w:val="27A300CB"/>
    <w:rsid w:val="27A30356"/>
    <w:rsid w:val="27A504B9"/>
    <w:rsid w:val="27A57585"/>
    <w:rsid w:val="27A97FAA"/>
    <w:rsid w:val="27AB1F74"/>
    <w:rsid w:val="27AB3C39"/>
    <w:rsid w:val="27AB3FCF"/>
    <w:rsid w:val="27AB5DE9"/>
    <w:rsid w:val="27AC5CEC"/>
    <w:rsid w:val="27AE446B"/>
    <w:rsid w:val="27AE55C0"/>
    <w:rsid w:val="27AF0D82"/>
    <w:rsid w:val="27AF30E6"/>
    <w:rsid w:val="27B01338"/>
    <w:rsid w:val="27B0758A"/>
    <w:rsid w:val="27B40CB3"/>
    <w:rsid w:val="27B72548"/>
    <w:rsid w:val="27B83BA0"/>
    <w:rsid w:val="27BA5D13"/>
    <w:rsid w:val="27C01989"/>
    <w:rsid w:val="27C25A3A"/>
    <w:rsid w:val="27C44DE4"/>
    <w:rsid w:val="27C82549"/>
    <w:rsid w:val="27C90103"/>
    <w:rsid w:val="27C94D15"/>
    <w:rsid w:val="27CA296D"/>
    <w:rsid w:val="27CC1B74"/>
    <w:rsid w:val="27CC4D46"/>
    <w:rsid w:val="27CE5C62"/>
    <w:rsid w:val="27D23622"/>
    <w:rsid w:val="27D64F97"/>
    <w:rsid w:val="27DF76E8"/>
    <w:rsid w:val="27E516D7"/>
    <w:rsid w:val="27E56902"/>
    <w:rsid w:val="27E62FAC"/>
    <w:rsid w:val="27EA5BB5"/>
    <w:rsid w:val="27EB411E"/>
    <w:rsid w:val="27EC4921"/>
    <w:rsid w:val="27EE1E60"/>
    <w:rsid w:val="27EE43B9"/>
    <w:rsid w:val="27EE665D"/>
    <w:rsid w:val="27EF39AB"/>
    <w:rsid w:val="27F348CC"/>
    <w:rsid w:val="27F40B59"/>
    <w:rsid w:val="27F43060"/>
    <w:rsid w:val="27F54F74"/>
    <w:rsid w:val="27F60D15"/>
    <w:rsid w:val="27F76F67"/>
    <w:rsid w:val="27F82CDF"/>
    <w:rsid w:val="27F868B5"/>
    <w:rsid w:val="27FA25B3"/>
    <w:rsid w:val="27FC632B"/>
    <w:rsid w:val="27FD20A3"/>
    <w:rsid w:val="2800144D"/>
    <w:rsid w:val="28011B94"/>
    <w:rsid w:val="28013942"/>
    <w:rsid w:val="28025EA1"/>
    <w:rsid w:val="28055C99"/>
    <w:rsid w:val="28091DC1"/>
    <w:rsid w:val="280A391D"/>
    <w:rsid w:val="280B47C0"/>
    <w:rsid w:val="280B4C5A"/>
    <w:rsid w:val="280E3906"/>
    <w:rsid w:val="281713B7"/>
    <w:rsid w:val="28173165"/>
    <w:rsid w:val="28180C8B"/>
    <w:rsid w:val="281D3390"/>
    <w:rsid w:val="281E3DDF"/>
    <w:rsid w:val="281F4D1B"/>
    <w:rsid w:val="28221B0A"/>
    <w:rsid w:val="2822297C"/>
    <w:rsid w:val="28227A91"/>
    <w:rsid w:val="282317CB"/>
    <w:rsid w:val="28236742"/>
    <w:rsid w:val="28247630"/>
    <w:rsid w:val="2825742B"/>
    <w:rsid w:val="28267552"/>
    <w:rsid w:val="28272CF7"/>
    <w:rsid w:val="2827430F"/>
    <w:rsid w:val="282808F9"/>
    <w:rsid w:val="28296CE0"/>
    <w:rsid w:val="282B2AC1"/>
    <w:rsid w:val="282D21E8"/>
    <w:rsid w:val="282D6EFC"/>
    <w:rsid w:val="282E04AF"/>
    <w:rsid w:val="282E6701"/>
    <w:rsid w:val="282E6BF3"/>
    <w:rsid w:val="283006CB"/>
    <w:rsid w:val="28304DDF"/>
    <w:rsid w:val="2830617B"/>
    <w:rsid w:val="28311465"/>
    <w:rsid w:val="28337B8D"/>
    <w:rsid w:val="28373807"/>
    <w:rsid w:val="28404629"/>
    <w:rsid w:val="28405372"/>
    <w:rsid w:val="28427126"/>
    <w:rsid w:val="284461B5"/>
    <w:rsid w:val="2849353B"/>
    <w:rsid w:val="284B72B3"/>
    <w:rsid w:val="284E3272"/>
    <w:rsid w:val="284F3E71"/>
    <w:rsid w:val="284F735D"/>
    <w:rsid w:val="285223EF"/>
    <w:rsid w:val="28524988"/>
    <w:rsid w:val="285315C9"/>
    <w:rsid w:val="2857008B"/>
    <w:rsid w:val="2857770B"/>
    <w:rsid w:val="2858552C"/>
    <w:rsid w:val="285E0D94"/>
    <w:rsid w:val="28616AD6"/>
    <w:rsid w:val="28617C86"/>
    <w:rsid w:val="286839C1"/>
    <w:rsid w:val="28691FBD"/>
    <w:rsid w:val="286926D3"/>
    <w:rsid w:val="28694EF6"/>
    <w:rsid w:val="286A05DF"/>
    <w:rsid w:val="286B1869"/>
    <w:rsid w:val="286C4045"/>
    <w:rsid w:val="286D547B"/>
    <w:rsid w:val="28700AC7"/>
    <w:rsid w:val="28702875"/>
    <w:rsid w:val="287405B8"/>
    <w:rsid w:val="28745D25"/>
    <w:rsid w:val="28766935"/>
    <w:rsid w:val="287712CC"/>
    <w:rsid w:val="28773C04"/>
    <w:rsid w:val="2877496B"/>
    <w:rsid w:val="287B21AA"/>
    <w:rsid w:val="287C56BE"/>
    <w:rsid w:val="287D07A3"/>
    <w:rsid w:val="287E47BE"/>
    <w:rsid w:val="288111AA"/>
    <w:rsid w:val="28846321"/>
    <w:rsid w:val="2885609F"/>
    <w:rsid w:val="288A7967"/>
    <w:rsid w:val="288B5901"/>
    <w:rsid w:val="288D5AE2"/>
    <w:rsid w:val="288E3762"/>
    <w:rsid w:val="28916697"/>
    <w:rsid w:val="289742A6"/>
    <w:rsid w:val="289A0A8D"/>
    <w:rsid w:val="289C2F2E"/>
    <w:rsid w:val="289C5F0E"/>
    <w:rsid w:val="289E73E3"/>
    <w:rsid w:val="28A06E67"/>
    <w:rsid w:val="28A44C56"/>
    <w:rsid w:val="28A50659"/>
    <w:rsid w:val="28A612CA"/>
    <w:rsid w:val="28A80261"/>
    <w:rsid w:val="28AC4CE9"/>
    <w:rsid w:val="28AD3976"/>
    <w:rsid w:val="28AE31C3"/>
    <w:rsid w:val="28AF4280"/>
    <w:rsid w:val="28B07E2F"/>
    <w:rsid w:val="28B7539F"/>
    <w:rsid w:val="28BB5FFC"/>
    <w:rsid w:val="28BE79E8"/>
    <w:rsid w:val="28C05B16"/>
    <w:rsid w:val="28C47EE4"/>
    <w:rsid w:val="28C715BF"/>
    <w:rsid w:val="28CD0F22"/>
    <w:rsid w:val="28CD1A76"/>
    <w:rsid w:val="28CD5688"/>
    <w:rsid w:val="28CD5F1A"/>
    <w:rsid w:val="28CE770B"/>
    <w:rsid w:val="28D2260B"/>
    <w:rsid w:val="28D41056"/>
    <w:rsid w:val="28D42E04"/>
    <w:rsid w:val="28D46D41"/>
    <w:rsid w:val="28D47B5D"/>
    <w:rsid w:val="28D70B46"/>
    <w:rsid w:val="28D72367"/>
    <w:rsid w:val="28D92B11"/>
    <w:rsid w:val="28DB23E5"/>
    <w:rsid w:val="28DB7D82"/>
    <w:rsid w:val="28DE24B0"/>
    <w:rsid w:val="28E55DC2"/>
    <w:rsid w:val="28EC73DB"/>
    <w:rsid w:val="28EE1E0E"/>
    <w:rsid w:val="28F332F8"/>
    <w:rsid w:val="28F3517B"/>
    <w:rsid w:val="28F4638F"/>
    <w:rsid w:val="28F83DC7"/>
    <w:rsid w:val="28FC29BA"/>
    <w:rsid w:val="29007677"/>
    <w:rsid w:val="29027272"/>
    <w:rsid w:val="29041BAB"/>
    <w:rsid w:val="2906763A"/>
    <w:rsid w:val="2907571B"/>
    <w:rsid w:val="290A0DAD"/>
    <w:rsid w:val="290A5ABA"/>
    <w:rsid w:val="290C1C1E"/>
    <w:rsid w:val="2911082C"/>
    <w:rsid w:val="29141E5F"/>
    <w:rsid w:val="291678C1"/>
    <w:rsid w:val="2917250A"/>
    <w:rsid w:val="29194CBB"/>
    <w:rsid w:val="291C3A90"/>
    <w:rsid w:val="291D4EBE"/>
    <w:rsid w:val="291F63EE"/>
    <w:rsid w:val="29283150"/>
    <w:rsid w:val="292924DF"/>
    <w:rsid w:val="292C58AA"/>
    <w:rsid w:val="2930721F"/>
    <w:rsid w:val="29313DBF"/>
    <w:rsid w:val="29323FCF"/>
    <w:rsid w:val="293B7E69"/>
    <w:rsid w:val="293D0ED6"/>
    <w:rsid w:val="293E7C9D"/>
    <w:rsid w:val="293F1C4C"/>
    <w:rsid w:val="2940051F"/>
    <w:rsid w:val="29414236"/>
    <w:rsid w:val="29437F8A"/>
    <w:rsid w:val="29455AB0"/>
    <w:rsid w:val="29457BFB"/>
    <w:rsid w:val="29476EEE"/>
    <w:rsid w:val="29480D4F"/>
    <w:rsid w:val="294837F2"/>
    <w:rsid w:val="294855A0"/>
    <w:rsid w:val="29496228"/>
    <w:rsid w:val="294A30C6"/>
    <w:rsid w:val="294B5366"/>
    <w:rsid w:val="294D1593"/>
    <w:rsid w:val="294E158E"/>
    <w:rsid w:val="29501869"/>
    <w:rsid w:val="29564161"/>
    <w:rsid w:val="29565D6E"/>
    <w:rsid w:val="2959155B"/>
    <w:rsid w:val="295B3526"/>
    <w:rsid w:val="295F349E"/>
    <w:rsid w:val="295F542A"/>
    <w:rsid w:val="29600DFE"/>
    <w:rsid w:val="296028EA"/>
    <w:rsid w:val="296029B3"/>
    <w:rsid w:val="29607FBC"/>
    <w:rsid w:val="296212F9"/>
    <w:rsid w:val="29622B06"/>
    <w:rsid w:val="29684607"/>
    <w:rsid w:val="29684C67"/>
    <w:rsid w:val="296A2F1D"/>
    <w:rsid w:val="296A72D8"/>
    <w:rsid w:val="296D5007"/>
    <w:rsid w:val="296F0D7F"/>
    <w:rsid w:val="296F5379"/>
    <w:rsid w:val="29700DB9"/>
    <w:rsid w:val="29714AF7"/>
    <w:rsid w:val="29735EC2"/>
    <w:rsid w:val="2973722D"/>
    <w:rsid w:val="2976210D"/>
    <w:rsid w:val="29785E86"/>
    <w:rsid w:val="29787C34"/>
    <w:rsid w:val="297A2B93"/>
    <w:rsid w:val="297B5976"/>
    <w:rsid w:val="297C49CE"/>
    <w:rsid w:val="297E0FC2"/>
    <w:rsid w:val="29815E8F"/>
    <w:rsid w:val="2986291D"/>
    <w:rsid w:val="29883BEF"/>
    <w:rsid w:val="29884432"/>
    <w:rsid w:val="298A3E0B"/>
    <w:rsid w:val="298A635B"/>
    <w:rsid w:val="298B4A0C"/>
    <w:rsid w:val="298C41AA"/>
    <w:rsid w:val="298D06E2"/>
    <w:rsid w:val="298E33A4"/>
    <w:rsid w:val="298E57C7"/>
    <w:rsid w:val="298F1421"/>
    <w:rsid w:val="29905547"/>
    <w:rsid w:val="29932CBF"/>
    <w:rsid w:val="29941860"/>
    <w:rsid w:val="29971224"/>
    <w:rsid w:val="29996CC8"/>
    <w:rsid w:val="299A7C74"/>
    <w:rsid w:val="299B7DC6"/>
    <w:rsid w:val="299C1F1F"/>
    <w:rsid w:val="299D3B3E"/>
    <w:rsid w:val="299E0389"/>
    <w:rsid w:val="299F0A1A"/>
    <w:rsid w:val="29A03BDD"/>
    <w:rsid w:val="29A053DC"/>
    <w:rsid w:val="29A21154"/>
    <w:rsid w:val="29A4102A"/>
    <w:rsid w:val="29A43850"/>
    <w:rsid w:val="29A94291"/>
    <w:rsid w:val="29AD4C54"/>
    <w:rsid w:val="29AF07A7"/>
    <w:rsid w:val="29B53B9D"/>
    <w:rsid w:val="29B570DA"/>
    <w:rsid w:val="29B6112E"/>
    <w:rsid w:val="29B669AE"/>
    <w:rsid w:val="29B91937"/>
    <w:rsid w:val="29BA7293"/>
    <w:rsid w:val="29BB5D72"/>
    <w:rsid w:val="29BC4960"/>
    <w:rsid w:val="29BD5F8E"/>
    <w:rsid w:val="29BF1D06"/>
    <w:rsid w:val="29C04EE3"/>
    <w:rsid w:val="29C0782D"/>
    <w:rsid w:val="29C27101"/>
    <w:rsid w:val="29C27813"/>
    <w:rsid w:val="29C27C14"/>
    <w:rsid w:val="29C42123"/>
    <w:rsid w:val="29C6717A"/>
    <w:rsid w:val="29C70C65"/>
    <w:rsid w:val="29C976D6"/>
    <w:rsid w:val="29CA238D"/>
    <w:rsid w:val="29CC61D1"/>
    <w:rsid w:val="29CC77B7"/>
    <w:rsid w:val="29CE5AA6"/>
    <w:rsid w:val="29D4570D"/>
    <w:rsid w:val="29D65FCB"/>
    <w:rsid w:val="29D6653F"/>
    <w:rsid w:val="29D70599"/>
    <w:rsid w:val="29D97AFF"/>
    <w:rsid w:val="29DB01C2"/>
    <w:rsid w:val="29DD218D"/>
    <w:rsid w:val="29DD284B"/>
    <w:rsid w:val="29DF28BB"/>
    <w:rsid w:val="29DF7CB3"/>
    <w:rsid w:val="29E24413"/>
    <w:rsid w:val="29E37582"/>
    <w:rsid w:val="29E75E14"/>
    <w:rsid w:val="29EB1322"/>
    <w:rsid w:val="29EF11CD"/>
    <w:rsid w:val="29F00339"/>
    <w:rsid w:val="29F04FFF"/>
    <w:rsid w:val="29F11140"/>
    <w:rsid w:val="29F3375E"/>
    <w:rsid w:val="29F52548"/>
    <w:rsid w:val="29F64FFC"/>
    <w:rsid w:val="29F80D74"/>
    <w:rsid w:val="29F87E48"/>
    <w:rsid w:val="29F90843"/>
    <w:rsid w:val="29FA2D3E"/>
    <w:rsid w:val="29FC6AB7"/>
    <w:rsid w:val="29FD45DD"/>
    <w:rsid w:val="2A001443"/>
    <w:rsid w:val="2A005E7B"/>
    <w:rsid w:val="2A02481D"/>
    <w:rsid w:val="2A042187"/>
    <w:rsid w:val="2A04596B"/>
    <w:rsid w:val="2A0648DE"/>
    <w:rsid w:val="2A075AFA"/>
    <w:rsid w:val="2A0911D4"/>
    <w:rsid w:val="2A094D30"/>
    <w:rsid w:val="2A0A7218"/>
    <w:rsid w:val="2A0D6977"/>
    <w:rsid w:val="2A0E5190"/>
    <w:rsid w:val="2A0F529E"/>
    <w:rsid w:val="2A112586"/>
    <w:rsid w:val="2A1557CE"/>
    <w:rsid w:val="2A17569E"/>
    <w:rsid w:val="2A192C73"/>
    <w:rsid w:val="2A195A06"/>
    <w:rsid w:val="2A1B09B4"/>
    <w:rsid w:val="2A1B3DFC"/>
    <w:rsid w:val="2A1C7710"/>
    <w:rsid w:val="2A1D0900"/>
    <w:rsid w:val="2A1D4C7F"/>
    <w:rsid w:val="2A1F32A0"/>
    <w:rsid w:val="2A1F4553"/>
    <w:rsid w:val="2A21765F"/>
    <w:rsid w:val="2A226935"/>
    <w:rsid w:val="2A252D97"/>
    <w:rsid w:val="2A260C0D"/>
    <w:rsid w:val="2A2A2ED5"/>
    <w:rsid w:val="2A2E0C3A"/>
    <w:rsid w:val="2A3416DE"/>
    <w:rsid w:val="2A383867"/>
    <w:rsid w:val="2A385615"/>
    <w:rsid w:val="2A3C5DB2"/>
    <w:rsid w:val="2A3E70CF"/>
    <w:rsid w:val="2A3F69A3"/>
    <w:rsid w:val="2A407052"/>
    <w:rsid w:val="2A41096D"/>
    <w:rsid w:val="2A426494"/>
    <w:rsid w:val="2A443FBA"/>
    <w:rsid w:val="2A4B4255"/>
    <w:rsid w:val="2A4B5348"/>
    <w:rsid w:val="2A4C15B4"/>
    <w:rsid w:val="2A4D4F78"/>
    <w:rsid w:val="2A500CAE"/>
    <w:rsid w:val="2A527412"/>
    <w:rsid w:val="2A53244F"/>
    <w:rsid w:val="2A5564CA"/>
    <w:rsid w:val="2A5A3FE6"/>
    <w:rsid w:val="2A5A6C6E"/>
    <w:rsid w:val="2A5B7D43"/>
    <w:rsid w:val="2A5E151F"/>
    <w:rsid w:val="2A6134A6"/>
    <w:rsid w:val="2A614B6C"/>
    <w:rsid w:val="2A61691A"/>
    <w:rsid w:val="2A627067"/>
    <w:rsid w:val="2A636B36"/>
    <w:rsid w:val="2A64640A"/>
    <w:rsid w:val="2A675BA0"/>
    <w:rsid w:val="2A697A1C"/>
    <w:rsid w:val="2A6B1CD2"/>
    <w:rsid w:val="2A6D4438"/>
    <w:rsid w:val="2A6E1037"/>
    <w:rsid w:val="2A713A65"/>
    <w:rsid w:val="2A720B27"/>
    <w:rsid w:val="2A741800"/>
    <w:rsid w:val="2A742AF1"/>
    <w:rsid w:val="2A7441FD"/>
    <w:rsid w:val="2A77021B"/>
    <w:rsid w:val="2A7725E1"/>
    <w:rsid w:val="2A781FE5"/>
    <w:rsid w:val="2A81612B"/>
    <w:rsid w:val="2A82486D"/>
    <w:rsid w:val="2A832D34"/>
    <w:rsid w:val="2A842176"/>
    <w:rsid w:val="2A880F89"/>
    <w:rsid w:val="2A8820F8"/>
    <w:rsid w:val="2A886EB3"/>
    <w:rsid w:val="2A887940"/>
    <w:rsid w:val="2A8940C2"/>
    <w:rsid w:val="2A8B03F9"/>
    <w:rsid w:val="2A8B07A5"/>
    <w:rsid w:val="2A8B3997"/>
    <w:rsid w:val="2A8E16D9"/>
    <w:rsid w:val="2A8E3487"/>
    <w:rsid w:val="2A8F41A9"/>
    <w:rsid w:val="2A907DAF"/>
    <w:rsid w:val="2A930A9D"/>
    <w:rsid w:val="2A954815"/>
    <w:rsid w:val="2A97058D"/>
    <w:rsid w:val="2AA02B44"/>
    <w:rsid w:val="2AA61A35"/>
    <w:rsid w:val="2AA9206F"/>
    <w:rsid w:val="2AAE58D7"/>
    <w:rsid w:val="2AAF0429"/>
    <w:rsid w:val="2AAF1D7B"/>
    <w:rsid w:val="2AB37F61"/>
    <w:rsid w:val="2AB72338"/>
    <w:rsid w:val="2AB73885"/>
    <w:rsid w:val="2AB8151D"/>
    <w:rsid w:val="2AB938AF"/>
    <w:rsid w:val="2ABC7FF4"/>
    <w:rsid w:val="2ABF7AE4"/>
    <w:rsid w:val="2AC226FD"/>
    <w:rsid w:val="2AC670C5"/>
    <w:rsid w:val="2AC7432F"/>
    <w:rsid w:val="2AC77859"/>
    <w:rsid w:val="2ACA0963"/>
    <w:rsid w:val="2ACD157A"/>
    <w:rsid w:val="2ACF7D27"/>
    <w:rsid w:val="2AD05D6F"/>
    <w:rsid w:val="2AD417E1"/>
    <w:rsid w:val="2AD41F13"/>
    <w:rsid w:val="2ADB2B70"/>
    <w:rsid w:val="2ADE7F6A"/>
    <w:rsid w:val="2ADF3CE2"/>
    <w:rsid w:val="2AE23476"/>
    <w:rsid w:val="2AE27102"/>
    <w:rsid w:val="2AE5579D"/>
    <w:rsid w:val="2AE801EC"/>
    <w:rsid w:val="2AE8703B"/>
    <w:rsid w:val="2AEF03C9"/>
    <w:rsid w:val="2AF07C9E"/>
    <w:rsid w:val="2AF35595"/>
    <w:rsid w:val="2AF36F46"/>
    <w:rsid w:val="2AF7102C"/>
    <w:rsid w:val="2AFE2B0B"/>
    <w:rsid w:val="2B0049F0"/>
    <w:rsid w:val="2B013C59"/>
    <w:rsid w:val="2B035552"/>
    <w:rsid w:val="2B05199B"/>
    <w:rsid w:val="2B0F45C8"/>
    <w:rsid w:val="2B1159A3"/>
    <w:rsid w:val="2B116592"/>
    <w:rsid w:val="2B141BDE"/>
    <w:rsid w:val="2B1A74FD"/>
    <w:rsid w:val="2B1B137C"/>
    <w:rsid w:val="2B1B53F5"/>
    <w:rsid w:val="2B1B6E0C"/>
    <w:rsid w:val="2B1C6BCC"/>
    <w:rsid w:val="2B1E6C6E"/>
    <w:rsid w:val="2B1E7536"/>
    <w:rsid w:val="2B2000A5"/>
    <w:rsid w:val="2B230073"/>
    <w:rsid w:val="2B253DEB"/>
    <w:rsid w:val="2B260C0F"/>
    <w:rsid w:val="2B2A1401"/>
    <w:rsid w:val="2B2C2A22"/>
    <w:rsid w:val="2B2D2CA0"/>
    <w:rsid w:val="2B2D4A4E"/>
    <w:rsid w:val="2B2F164C"/>
    <w:rsid w:val="2B2F4C6A"/>
    <w:rsid w:val="2B2F6FF6"/>
    <w:rsid w:val="2B3008C3"/>
    <w:rsid w:val="2B320355"/>
    <w:rsid w:val="2B35052D"/>
    <w:rsid w:val="2B3719C5"/>
    <w:rsid w:val="2B391961"/>
    <w:rsid w:val="2B393102"/>
    <w:rsid w:val="2B394B81"/>
    <w:rsid w:val="2B396608"/>
    <w:rsid w:val="2B3A3CA1"/>
    <w:rsid w:val="2B3B3169"/>
    <w:rsid w:val="2B3F63F6"/>
    <w:rsid w:val="2B46548D"/>
    <w:rsid w:val="2B4955B4"/>
    <w:rsid w:val="2B4A5600"/>
    <w:rsid w:val="2B4A7790"/>
    <w:rsid w:val="2B4C1378"/>
    <w:rsid w:val="2B4C581C"/>
    <w:rsid w:val="2B514551"/>
    <w:rsid w:val="2B514BE0"/>
    <w:rsid w:val="2B520958"/>
    <w:rsid w:val="2B566E3C"/>
    <w:rsid w:val="2B58197D"/>
    <w:rsid w:val="2B5B47F7"/>
    <w:rsid w:val="2B5B5284"/>
    <w:rsid w:val="2B5C1CCD"/>
    <w:rsid w:val="2B5C6AF8"/>
    <w:rsid w:val="2B5D4807"/>
    <w:rsid w:val="2B5D499B"/>
    <w:rsid w:val="2B5D5072"/>
    <w:rsid w:val="2B5E10AB"/>
    <w:rsid w:val="2B5F1595"/>
    <w:rsid w:val="2B6279D1"/>
    <w:rsid w:val="2B6568DD"/>
    <w:rsid w:val="2B667C4B"/>
    <w:rsid w:val="2B69017C"/>
    <w:rsid w:val="2B6C37C8"/>
    <w:rsid w:val="2B6D185F"/>
    <w:rsid w:val="2B6D2C20"/>
    <w:rsid w:val="2B717030"/>
    <w:rsid w:val="2B717898"/>
    <w:rsid w:val="2B731848"/>
    <w:rsid w:val="2B732C1C"/>
    <w:rsid w:val="2B762899"/>
    <w:rsid w:val="2B774590"/>
    <w:rsid w:val="2B784CF4"/>
    <w:rsid w:val="2B795990"/>
    <w:rsid w:val="2B7B3A0B"/>
    <w:rsid w:val="2B7C650E"/>
    <w:rsid w:val="2B7E174D"/>
    <w:rsid w:val="2B7E643F"/>
    <w:rsid w:val="2B7F799F"/>
    <w:rsid w:val="2B8244B8"/>
    <w:rsid w:val="2B85488A"/>
    <w:rsid w:val="2B860FAC"/>
    <w:rsid w:val="2B8A1EA0"/>
    <w:rsid w:val="2B8F538B"/>
    <w:rsid w:val="2B960845"/>
    <w:rsid w:val="2B9920E3"/>
    <w:rsid w:val="2B9A02B2"/>
    <w:rsid w:val="2B9A31F1"/>
    <w:rsid w:val="2B9D6077"/>
    <w:rsid w:val="2BA1502D"/>
    <w:rsid w:val="2BA165A3"/>
    <w:rsid w:val="2BA56CDA"/>
    <w:rsid w:val="2BAA0794"/>
    <w:rsid w:val="2BAA2542"/>
    <w:rsid w:val="2BAC775A"/>
    <w:rsid w:val="2BB06DFC"/>
    <w:rsid w:val="2BB138D1"/>
    <w:rsid w:val="2BB1742D"/>
    <w:rsid w:val="2BB35FF8"/>
    <w:rsid w:val="2BB46F1D"/>
    <w:rsid w:val="2BB56876"/>
    <w:rsid w:val="2BB8369C"/>
    <w:rsid w:val="2BB92785"/>
    <w:rsid w:val="2BBA5C02"/>
    <w:rsid w:val="2BBB6CE9"/>
    <w:rsid w:val="2BBE7D9C"/>
    <w:rsid w:val="2BC1103E"/>
    <w:rsid w:val="2BC37160"/>
    <w:rsid w:val="2BC453B2"/>
    <w:rsid w:val="2BC92F3E"/>
    <w:rsid w:val="2BCA4992"/>
    <w:rsid w:val="2BCE0514"/>
    <w:rsid w:val="2BCF1FA9"/>
    <w:rsid w:val="2BD038F4"/>
    <w:rsid w:val="2BD6033D"/>
    <w:rsid w:val="2BD66E93"/>
    <w:rsid w:val="2BD77C54"/>
    <w:rsid w:val="2BDA2E28"/>
    <w:rsid w:val="2BDF5274"/>
    <w:rsid w:val="2BE05F64"/>
    <w:rsid w:val="2BE20899"/>
    <w:rsid w:val="2BE35B69"/>
    <w:rsid w:val="2BE52041"/>
    <w:rsid w:val="2BE5357A"/>
    <w:rsid w:val="2BED7ECA"/>
    <w:rsid w:val="2BEE0E1A"/>
    <w:rsid w:val="2BEE242F"/>
    <w:rsid w:val="2BEF13EC"/>
    <w:rsid w:val="2BF043F9"/>
    <w:rsid w:val="2BF05D1D"/>
    <w:rsid w:val="2BF21EB8"/>
    <w:rsid w:val="2BF27B31"/>
    <w:rsid w:val="2BF612E4"/>
    <w:rsid w:val="2BF65788"/>
    <w:rsid w:val="2BF67536"/>
    <w:rsid w:val="2BF72E69"/>
    <w:rsid w:val="2BFB2D9E"/>
    <w:rsid w:val="2BFB4D4F"/>
    <w:rsid w:val="2BFC0486"/>
    <w:rsid w:val="2BFD0966"/>
    <w:rsid w:val="2C015165"/>
    <w:rsid w:val="2C025EDA"/>
    <w:rsid w:val="2C076135"/>
    <w:rsid w:val="2C0C6D59"/>
    <w:rsid w:val="2C0D368A"/>
    <w:rsid w:val="2C0D45B7"/>
    <w:rsid w:val="2C126EBC"/>
    <w:rsid w:val="2C136339"/>
    <w:rsid w:val="2C147CBD"/>
    <w:rsid w:val="2C163734"/>
    <w:rsid w:val="2C176519"/>
    <w:rsid w:val="2C1B4842"/>
    <w:rsid w:val="2C1D252A"/>
    <w:rsid w:val="2C1E5F2C"/>
    <w:rsid w:val="2C1F0086"/>
    <w:rsid w:val="2C1F083A"/>
    <w:rsid w:val="2C212804"/>
    <w:rsid w:val="2C227152"/>
    <w:rsid w:val="2C2323A3"/>
    <w:rsid w:val="2C2440A3"/>
    <w:rsid w:val="2C28081E"/>
    <w:rsid w:val="2C2B3683"/>
    <w:rsid w:val="2C300C99"/>
    <w:rsid w:val="2C355CA9"/>
    <w:rsid w:val="2C371BF5"/>
    <w:rsid w:val="2C39115D"/>
    <w:rsid w:val="2C3A38C6"/>
    <w:rsid w:val="2C42277B"/>
    <w:rsid w:val="2C43774A"/>
    <w:rsid w:val="2C450B5D"/>
    <w:rsid w:val="2C46226B"/>
    <w:rsid w:val="2C46788F"/>
    <w:rsid w:val="2C4777D8"/>
    <w:rsid w:val="2C490B93"/>
    <w:rsid w:val="2C491D5B"/>
    <w:rsid w:val="2C4C57BC"/>
    <w:rsid w:val="2C500598"/>
    <w:rsid w:val="2C501861"/>
    <w:rsid w:val="2C513230"/>
    <w:rsid w:val="2C51382B"/>
    <w:rsid w:val="2C521ED3"/>
    <w:rsid w:val="2C5661E7"/>
    <w:rsid w:val="2C59335D"/>
    <w:rsid w:val="2C5A1872"/>
    <w:rsid w:val="2C5D79E9"/>
    <w:rsid w:val="2C610F17"/>
    <w:rsid w:val="2C622E1D"/>
    <w:rsid w:val="2C624ECD"/>
    <w:rsid w:val="2C6D5CCB"/>
    <w:rsid w:val="2C6E531E"/>
    <w:rsid w:val="2C7072E8"/>
    <w:rsid w:val="2C7825BA"/>
    <w:rsid w:val="2C7C3EDF"/>
    <w:rsid w:val="2C7C6DC5"/>
    <w:rsid w:val="2C80586C"/>
    <w:rsid w:val="2C82637F"/>
    <w:rsid w:val="2C8419A4"/>
    <w:rsid w:val="2C855549"/>
    <w:rsid w:val="2C861F08"/>
    <w:rsid w:val="2C866B0B"/>
    <w:rsid w:val="2C8903AA"/>
    <w:rsid w:val="2C8B0AF2"/>
    <w:rsid w:val="2C8B76DA"/>
    <w:rsid w:val="2C8E3C12"/>
    <w:rsid w:val="2C901198"/>
    <w:rsid w:val="2C9123E3"/>
    <w:rsid w:val="2C916BA7"/>
    <w:rsid w:val="2C931228"/>
    <w:rsid w:val="2C954115"/>
    <w:rsid w:val="2C961044"/>
    <w:rsid w:val="2C967776"/>
    <w:rsid w:val="2C970C46"/>
    <w:rsid w:val="2C9C727F"/>
    <w:rsid w:val="2C9D5C03"/>
    <w:rsid w:val="2C9F1932"/>
    <w:rsid w:val="2CA01811"/>
    <w:rsid w:val="2CA0531F"/>
    <w:rsid w:val="2CA0771A"/>
    <w:rsid w:val="2CA368AB"/>
    <w:rsid w:val="2CA55B19"/>
    <w:rsid w:val="2CA62020"/>
    <w:rsid w:val="2CA70830"/>
    <w:rsid w:val="2CA756A8"/>
    <w:rsid w:val="2CA927FA"/>
    <w:rsid w:val="2CAA59B4"/>
    <w:rsid w:val="2CAB6646"/>
    <w:rsid w:val="2CAC2B38"/>
    <w:rsid w:val="2CAC3FA5"/>
    <w:rsid w:val="2CAE7E10"/>
    <w:rsid w:val="2CB060CA"/>
    <w:rsid w:val="2CB06695"/>
    <w:rsid w:val="2CB142A9"/>
    <w:rsid w:val="2CB902B1"/>
    <w:rsid w:val="2CBB3DD6"/>
    <w:rsid w:val="2CBC077F"/>
    <w:rsid w:val="2CBE62A5"/>
    <w:rsid w:val="2CBF1752"/>
    <w:rsid w:val="2CC15D95"/>
    <w:rsid w:val="2CC35400"/>
    <w:rsid w:val="2CC45B1E"/>
    <w:rsid w:val="2CC61554"/>
    <w:rsid w:val="2CC633AC"/>
    <w:rsid w:val="2CC85428"/>
    <w:rsid w:val="2CC86E30"/>
    <w:rsid w:val="2CCB437E"/>
    <w:rsid w:val="2CCB6C14"/>
    <w:rsid w:val="2CCC5D17"/>
    <w:rsid w:val="2CD0658D"/>
    <w:rsid w:val="2CD14FA5"/>
    <w:rsid w:val="2CD21D51"/>
    <w:rsid w:val="2CD22E4B"/>
    <w:rsid w:val="2CD466CF"/>
    <w:rsid w:val="2CD5539D"/>
    <w:rsid w:val="2CDA0C05"/>
    <w:rsid w:val="2CDF38B7"/>
    <w:rsid w:val="2CE13D42"/>
    <w:rsid w:val="2CE33038"/>
    <w:rsid w:val="2CE33F5E"/>
    <w:rsid w:val="2CE43832"/>
    <w:rsid w:val="2CE53921"/>
    <w:rsid w:val="2CE81A18"/>
    <w:rsid w:val="2CED0B8C"/>
    <w:rsid w:val="2CED4FF2"/>
    <w:rsid w:val="2CF00429"/>
    <w:rsid w:val="2CF109F9"/>
    <w:rsid w:val="2CF5315F"/>
    <w:rsid w:val="2CF5718B"/>
    <w:rsid w:val="2CF61AC3"/>
    <w:rsid w:val="2CF80042"/>
    <w:rsid w:val="2CFA4A7E"/>
    <w:rsid w:val="2CFB12A7"/>
    <w:rsid w:val="2CFD602C"/>
    <w:rsid w:val="2CFE2B46"/>
    <w:rsid w:val="2D001CDF"/>
    <w:rsid w:val="2D012636"/>
    <w:rsid w:val="2D021CCF"/>
    <w:rsid w:val="2D0619FA"/>
    <w:rsid w:val="2D0A3299"/>
    <w:rsid w:val="2D0A39F6"/>
    <w:rsid w:val="2D0B1EF0"/>
    <w:rsid w:val="2D127FD2"/>
    <w:rsid w:val="2D1525F6"/>
    <w:rsid w:val="2D1C2FCC"/>
    <w:rsid w:val="2D1E55F0"/>
    <w:rsid w:val="2D1E6D44"/>
    <w:rsid w:val="2D1E73A5"/>
    <w:rsid w:val="2D1F486A"/>
    <w:rsid w:val="2D1F6B19"/>
    <w:rsid w:val="2D262D6D"/>
    <w:rsid w:val="2D2E2162"/>
    <w:rsid w:val="2D330D15"/>
    <w:rsid w:val="2D340315"/>
    <w:rsid w:val="2D346567"/>
    <w:rsid w:val="2D355E3C"/>
    <w:rsid w:val="2D376058"/>
    <w:rsid w:val="2D377E06"/>
    <w:rsid w:val="2D3A26F8"/>
    <w:rsid w:val="2D3A3673"/>
    <w:rsid w:val="2D3E1194"/>
    <w:rsid w:val="2D431043"/>
    <w:rsid w:val="2D43255A"/>
    <w:rsid w:val="2D4E2973"/>
    <w:rsid w:val="2D4E4957"/>
    <w:rsid w:val="2D4F03B2"/>
    <w:rsid w:val="2D510EC7"/>
    <w:rsid w:val="2D6055AE"/>
    <w:rsid w:val="2D60735C"/>
    <w:rsid w:val="2D627BA3"/>
    <w:rsid w:val="2D637B2E"/>
    <w:rsid w:val="2D6942AF"/>
    <w:rsid w:val="2D6A673B"/>
    <w:rsid w:val="2D6B7AAF"/>
    <w:rsid w:val="2D6C04B3"/>
    <w:rsid w:val="2D6D571E"/>
    <w:rsid w:val="2D6F4010"/>
    <w:rsid w:val="2D6F57F1"/>
    <w:rsid w:val="2D720E3E"/>
    <w:rsid w:val="2D747ADC"/>
    <w:rsid w:val="2D751467"/>
    <w:rsid w:val="2D79041E"/>
    <w:rsid w:val="2D80447A"/>
    <w:rsid w:val="2D83129D"/>
    <w:rsid w:val="2D83275B"/>
    <w:rsid w:val="2D832920"/>
    <w:rsid w:val="2D835246"/>
    <w:rsid w:val="2D855015"/>
    <w:rsid w:val="2D877ABB"/>
    <w:rsid w:val="2D89652A"/>
    <w:rsid w:val="2D8A36A0"/>
    <w:rsid w:val="2D8C0151"/>
    <w:rsid w:val="2D8D7A26"/>
    <w:rsid w:val="2D8E211C"/>
    <w:rsid w:val="2D917516"/>
    <w:rsid w:val="2D9454E8"/>
    <w:rsid w:val="2D96572A"/>
    <w:rsid w:val="2D9758B7"/>
    <w:rsid w:val="2D9E1BC4"/>
    <w:rsid w:val="2D9E1C33"/>
    <w:rsid w:val="2DA062D8"/>
    <w:rsid w:val="2DA21B44"/>
    <w:rsid w:val="2DA33405"/>
    <w:rsid w:val="2DA336ED"/>
    <w:rsid w:val="2DA97171"/>
    <w:rsid w:val="2DAA2131"/>
    <w:rsid w:val="2DAB007F"/>
    <w:rsid w:val="2DAC518D"/>
    <w:rsid w:val="2DAD1E76"/>
    <w:rsid w:val="2DAF2092"/>
    <w:rsid w:val="2DAF5BEE"/>
    <w:rsid w:val="2DB14A9A"/>
    <w:rsid w:val="2DB80F46"/>
    <w:rsid w:val="2DBD135C"/>
    <w:rsid w:val="2DBE5AC1"/>
    <w:rsid w:val="2DC0604D"/>
    <w:rsid w:val="2DC271A3"/>
    <w:rsid w:val="2DC55411"/>
    <w:rsid w:val="2DC86CB0"/>
    <w:rsid w:val="2DCC054E"/>
    <w:rsid w:val="2DD4649B"/>
    <w:rsid w:val="2DD62FEA"/>
    <w:rsid w:val="2DD67697"/>
    <w:rsid w:val="2DD903CD"/>
    <w:rsid w:val="2DD90EBD"/>
    <w:rsid w:val="2DD92044"/>
    <w:rsid w:val="2DDC2106"/>
    <w:rsid w:val="2DDD09AD"/>
    <w:rsid w:val="2DDD6A84"/>
    <w:rsid w:val="2DE2142E"/>
    <w:rsid w:val="2DE234DC"/>
    <w:rsid w:val="2DE24215"/>
    <w:rsid w:val="2DE25FC3"/>
    <w:rsid w:val="2DE35794"/>
    <w:rsid w:val="2DE55536"/>
    <w:rsid w:val="2DE81100"/>
    <w:rsid w:val="2DE97352"/>
    <w:rsid w:val="2DEA4BC9"/>
    <w:rsid w:val="2DF167A8"/>
    <w:rsid w:val="2DF17487"/>
    <w:rsid w:val="2DF346A1"/>
    <w:rsid w:val="2DF45413"/>
    <w:rsid w:val="2DF718F1"/>
    <w:rsid w:val="2DFA0D20"/>
    <w:rsid w:val="2DFD104F"/>
    <w:rsid w:val="2DFD467B"/>
    <w:rsid w:val="2DFF6B85"/>
    <w:rsid w:val="2E0079B9"/>
    <w:rsid w:val="2E026666"/>
    <w:rsid w:val="2E0363D2"/>
    <w:rsid w:val="2E0777D8"/>
    <w:rsid w:val="2E0C0AC9"/>
    <w:rsid w:val="2E0C0FC1"/>
    <w:rsid w:val="2E0E6DB8"/>
    <w:rsid w:val="2E152E3E"/>
    <w:rsid w:val="2E177DAE"/>
    <w:rsid w:val="2E1819E5"/>
    <w:rsid w:val="2E1B3283"/>
    <w:rsid w:val="2E1D10AC"/>
    <w:rsid w:val="2E1E019E"/>
    <w:rsid w:val="2E1E3349"/>
    <w:rsid w:val="2E201B9B"/>
    <w:rsid w:val="2E204742"/>
    <w:rsid w:val="2E230596"/>
    <w:rsid w:val="2E2314CF"/>
    <w:rsid w:val="2E2378A7"/>
    <w:rsid w:val="2E24038A"/>
    <w:rsid w:val="2E255EB0"/>
    <w:rsid w:val="2E263E03"/>
    <w:rsid w:val="2E27650C"/>
    <w:rsid w:val="2E2A5DF9"/>
    <w:rsid w:val="2E2C24AB"/>
    <w:rsid w:val="2E2C723F"/>
    <w:rsid w:val="2E2E1209"/>
    <w:rsid w:val="2E2E13CD"/>
    <w:rsid w:val="2E2E19E1"/>
    <w:rsid w:val="2E314855"/>
    <w:rsid w:val="2E341724"/>
    <w:rsid w:val="2E352C27"/>
    <w:rsid w:val="2E383E35"/>
    <w:rsid w:val="2E3B3926"/>
    <w:rsid w:val="2E3C1B78"/>
    <w:rsid w:val="2E3F6F72"/>
    <w:rsid w:val="2E410A3B"/>
    <w:rsid w:val="2E416B5D"/>
    <w:rsid w:val="2E42367F"/>
    <w:rsid w:val="2E440A2C"/>
    <w:rsid w:val="2E496E1A"/>
    <w:rsid w:val="2E4A0298"/>
    <w:rsid w:val="2E4F50DD"/>
    <w:rsid w:val="2E600769"/>
    <w:rsid w:val="2E605140"/>
    <w:rsid w:val="2E621051"/>
    <w:rsid w:val="2E6C1F54"/>
    <w:rsid w:val="2E6C3ADF"/>
    <w:rsid w:val="2E6D478D"/>
    <w:rsid w:val="2E6E3CFB"/>
    <w:rsid w:val="2E6F45D9"/>
    <w:rsid w:val="2E731470"/>
    <w:rsid w:val="2E734D74"/>
    <w:rsid w:val="2E7365FA"/>
    <w:rsid w:val="2E772BB0"/>
    <w:rsid w:val="2E782484"/>
    <w:rsid w:val="2E7A61FC"/>
    <w:rsid w:val="2E7B650F"/>
    <w:rsid w:val="2E7C6FAC"/>
    <w:rsid w:val="2E7F0A39"/>
    <w:rsid w:val="2E813A2E"/>
    <w:rsid w:val="2E821554"/>
    <w:rsid w:val="2E823302"/>
    <w:rsid w:val="2E8327FE"/>
    <w:rsid w:val="2E837EAD"/>
    <w:rsid w:val="2E861045"/>
    <w:rsid w:val="2E892163"/>
    <w:rsid w:val="2E8B665B"/>
    <w:rsid w:val="2E8C1CE8"/>
    <w:rsid w:val="2E903C71"/>
    <w:rsid w:val="2E927489"/>
    <w:rsid w:val="2E92792B"/>
    <w:rsid w:val="2E9328BC"/>
    <w:rsid w:val="2E9372BE"/>
    <w:rsid w:val="2E951288"/>
    <w:rsid w:val="2E9574DA"/>
    <w:rsid w:val="2E9630F6"/>
    <w:rsid w:val="2E9A689E"/>
    <w:rsid w:val="2E9A7890"/>
    <w:rsid w:val="2E9B5619"/>
    <w:rsid w:val="2E9E1585"/>
    <w:rsid w:val="2EA17C2D"/>
    <w:rsid w:val="2EA27501"/>
    <w:rsid w:val="2EA32D53"/>
    <w:rsid w:val="2EA339A5"/>
    <w:rsid w:val="2EA94D33"/>
    <w:rsid w:val="2EAC593B"/>
    <w:rsid w:val="2EAD409C"/>
    <w:rsid w:val="2EAE67C5"/>
    <w:rsid w:val="2EAE766D"/>
    <w:rsid w:val="2EB02457"/>
    <w:rsid w:val="2EB16957"/>
    <w:rsid w:val="2EB559FE"/>
    <w:rsid w:val="2EB57502"/>
    <w:rsid w:val="2EB62316"/>
    <w:rsid w:val="2EBA1F7D"/>
    <w:rsid w:val="2EBC7D67"/>
    <w:rsid w:val="2EBD433B"/>
    <w:rsid w:val="2EBE493E"/>
    <w:rsid w:val="2EBF00B3"/>
    <w:rsid w:val="2EBF4557"/>
    <w:rsid w:val="2EC1207D"/>
    <w:rsid w:val="2EC132D8"/>
    <w:rsid w:val="2EC13E2B"/>
    <w:rsid w:val="2EC274BB"/>
    <w:rsid w:val="2EC27BA3"/>
    <w:rsid w:val="2EC35DF5"/>
    <w:rsid w:val="2EC92CDF"/>
    <w:rsid w:val="2ECA751B"/>
    <w:rsid w:val="2ECB4ADC"/>
    <w:rsid w:val="2ECD0A22"/>
    <w:rsid w:val="2ECE02F6"/>
    <w:rsid w:val="2ECE07E8"/>
    <w:rsid w:val="2ECE1791"/>
    <w:rsid w:val="2ED0406E"/>
    <w:rsid w:val="2ED40002"/>
    <w:rsid w:val="2ED43E84"/>
    <w:rsid w:val="2ED55B28"/>
    <w:rsid w:val="2ED753FC"/>
    <w:rsid w:val="2ED85DFF"/>
    <w:rsid w:val="2EDA313F"/>
    <w:rsid w:val="2EDD1A09"/>
    <w:rsid w:val="2EE25C74"/>
    <w:rsid w:val="2EE33C75"/>
    <w:rsid w:val="2EE67D35"/>
    <w:rsid w:val="2EE91987"/>
    <w:rsid w:val="2EE970D8"/>
    <w:rsid w:val="2EEA16A4"/>
    <w:rsid w:val="2EEA6981"/>
    <w:rsid w:val="2EED2E72"/>
    <w:rsid w:val="2EED69CE"/>
    <w:rsid w:val="2EEF1DA8"/>
    <w:rsid w:val="2EF02962"/>
    <w:rsid w:val="2EF20488"/>
    <w:rsid w:val="2EF72809"/>
    <w:rsid w:val="2EF7784D"/>
    <w:rsid w:val="2EF91817"/>
    <w:rsid w:val="2EFE0BDB"/>
    <w:rsid w:val="2F012479"/>
    <w:rsid w:val="2F01691D"/>
    <w:rsid w:val="2F032695"/>
    <w:rsid w:val="2F033457"/>
    <w:rsid w:val="2F0604EA"/>
    <w:rsid w:val="2F063F34"/>
    <w:rsid w:val="2F083808"/>
    <w:rsid w:val="2F0B154A"/>
    <w:rsid w:val="2F0B4003"/>
    <w:rsid w:val="2F0D551A"/>
    <w:rsid w:val="2F0D58D6"/>
    <w:rsid w:val="2F1202AE"/>
    <w:rsid w:val="2F124686"/>
    <w:rsid w:val="2F1321AD"/>
    <w:rsid w:val="2F1403FE"/>
    <w:rsid w:val="2F1427F6"/>
    <w:rsid w:val="2F144C70"/>
    <w:rsid w:val="2F1F0C17"/>
    <w:rsid w:val="2F204FF5"/>
    <w:rsid w:val="2F2131FE"/>
    <w:rsid w:val="2F230642"/>
    <w:rsid w:val="2F25167F"/>
    <w:rsid w:val="2F261EE0"/>
    <w:rsid w:val="2F2820FC"/>
    <w:rsid w:val="2F283EAA"/>
    <w:rsid w:val="2F287C43"/>
    <w:rsid w:val="2F290AE7"/>
    <w:rsid w:val="2F313BF9"/>
    <w:rsid w:val="2F361BEB"/>
    <w:rsid w:val="2F362412"/>
    <w:rsid w:val="2F370591"/>
    <w:rsid w:val="2F371449"/>
    <w:rsid w:val="2F3740ED"/>
    <w:rsid w:val="2F3B1E2F"/>
    <w:rsid w:val="2F3C1703"/>
    <w:rsid w:val="2F3C38C1"/>
    <w:rsid w:val="2F3C5BA7"/>
    <w:rsid w:val="2F41392E"/>
    <w:rsid w:val="2F436F36"/>
    <w:rsid w:val="2F4800A8"/>
    <w:rsid w:val="2F485C6D"/>
    <w:rsid w:val="2F4A02C4"/>
    <w:rsid w:val="2F4D621C"/>
    <w:rsid w:val="2F4F58DB"/>
    <w:rsid w:val="2F5051AF"/>
    <w:rsid w:val="2F506C0B"/>
    <w:rsid w:val="2F5226F1"/>
    <w:rsid w:val="2F597B61"/>
    <w:rsid w:val="2F5A31A6"/>
    <w:rsid w:val="2F5B427F"/>
    <w:rsid w:val="2F625879"/>
    <w:rsid w:val="2F62678A"/>
    <w:rsid w:val="2F642A08"/>
    <w:rsid w:val="2F6C023B"/>
    <w:rsid w:val="2F6D1894"/>
    <w:rsid w:val="2F6D4E71"/>
    <w:rsid w:val="2F6E315F"/>
    <w:rsid w:val="2F6F1AD9"/>
    <w:rsid w:val="2F6F7D2B"/>
    <w:rsid w:val="2F706BC0"/>
    <w:rsid w:val="2F745341"/>
    <w:rsid w:val="2F75430C"/>
    <w:rsid w:val="2F776BDF"/>
    <w:rsid w:val="2F793DD9"/>
    <w:rsid w:val="2F796E3E"/>
    <w:rsid w:val="2F7C334A"/>
    <w:rsid w:val="2F7C580B"/>
    <w:rsid w:val="2F7D762B"/>
    <w:rsid w:val="2F807931"/>
    <w:rsid w:val="2F81555C"/>
    <w:rsid w:val="2F8337D6"/>
    <w:rsid w:val="2F844306"/>
    <w:rsid w:val="2F8512FC"/>
    <w:rsid w:val="2F854D15"/>
    <w:rsid w:val="2F86435C"/>
    <w:rsid w:val="2F866E22"/>
    <w:rsid w:val="2F891346"/>
    <w:rsid w:val="2F8B0911"/>
    <w:rsid w:val="2F8D1CE3"/>
    <w:rsid w:val="2F8D5A84"/>
    <w:rsid w:val="2F8E3583"/>
    <w:rsid w:val="2F904FA9"/>
    <w:rsid w:val="2F976BCF"/>
    <w:rsid w:val="2F994DA8"/>
    <w:rsid w:val="2F9C03F4"/>
    <w:rsid w:val="2F9C2329"/>
    <w:rsid w:val="2F9D6266"/>
    <w:rsid w:val="2F9E5F1A"/>
    <w:rsid w:val="2F9F4969"/>
    <w:rsid w:val="2FA15A0A"/>
    <w:rsid w:val="2FA17D26"/>
    <w:rsid w:val="2FA33530"/>
    <w:rsid w:val="2FA47EC9"/>
    <w:rsid w:val="2FA501C8"/>
    <w:rsid w:val="2FA5374C"/>
    <w:rsid w:val="2FA554FB"/>
    <w:rsid w:val="2FA56C96"/>
    <w:rsid w:val="2FA572A9"/>
    <w:rsid w:val="2FA60E34"/>
    <w:rsid w:val="2FA737E2"/>
    <w:rsid w:val="2FA9721F"/>
    <w:rsid w:val="2FAA48BF"/>
    <w:rsid w:val="2FAB0637"/>
    <w:rsid w:val="2FAC6889"/>
    <w:rsid w:val="2FB12364"/>
    <w:rsid w:val="2FB15C4D"/>
    <w:rsid w:val="2FB25C15"/>
    <w:rsid w:val="2FB51C20"/>
    <w:rsid w:val="2FB57563"/>
    <w:rsid w:val="2FBA37D4"/>
    <w:rsid w:val="2FBB4D1E"/>
    <w:rsid w:val="2FBB6ACC"/>
    <w:rsid w:val="2FBE7790"/>
    <w:rsid w:val="2FC31891"/>
    <w:rsid w:val="2FC31E25"/>
    <w:rsid w:val="2FC324F5"/>
    <w:rsid w:val="2FC33BD3"/>
    <w:rsid w:val="2FC47262"/>
    <w:rsid w:val="2FC93A69"/>
    <w:rsid w:val="2FC9786E"/>
    <w:rsid w:val="2FCC5CA8"/>
    <w:rsid w:val="2FCD60BF"/>
    <w:rsid w:val="2FCF4325"/>
    <w:rsid w:val="2FD17DC3"/>
    <w:rsid w:val="2FD23E16"/>
    <w:rsid w:val="2FD41AF9"/>
    <w:rsid w:val="2FD44032"/>
    <w:rsid w:val="2FD50B1F"/>
    <w:rsid w:val="2FD63E4A"/>
    <w:rsid w:val="2FDA422A"/>
    <w:rsid w:val="2FE029D7"/>
    <w:rsid w:val="2FE30E61"/>
    <w:rsid w:val="2FE51816"/>
    <w:rsid w:val="2FE53B49"/>
    <w:rsid w:val="2FE6306A"/>
    <w:rsid w:val="2FE71FC2"/>
    <w:rsid w:val="2FE73A14"/>
    <w:rsid w:val="2FE8289F"/>
    <w:rsid w:val="2FE83639"/>
    <w:rsid w:val="2FEA71B6"/>
    <w:rsid w:val="2FEE50F3"/>
    <w:rsid w:val="2FEE73C1"/>
    <w:rsid w:val="2FF05CE7"/>
    <w:rsid w:val="2FF14FCA"/>
    <w:rsid w:val="2FF2204B"/>
    <w:rsid w:val="2FF40230"/>
    <w:rsid w:val="2FF41FDE"/>
    <w:rsid w:val="2FF7387C"/>
    <w:rsid w:val="2FF853C2"/>
    <w:rsid w:val="2FF87D20"/>
    <w:rsid w:val="2FFA00AA"/>
    <w:rsid w:val="30004E27"/>
    <w:rsid w:val="3002591E"/>
    <w:rsid w:val="300356F2"/>
    <w:rsid w:val="300631C6"/>
    <w:rsid w:val="30073ABF"/>
    <w:rsid w:val="30085A89"/>
    <w:rsid w:val="30087837"/>
    <w:rsid w:val="3009345D"/>
    <w:rsid w:val="30095D55"/>
    <w:rsid w:val="300E12F2"/>
    <w:rsid w:val="300E271E"/>
    <w:rsid w:val="300E4CCE"/>
    <w:rsid w:val="30113252"/>
    <w:rsid w:val="30116076"/>
    <w:rsid w:val="30116ACD"/>
    <w:rsid w:val="301277B1"/>
    <w:rsid w:val="301663F8"/>
    <w:rsid w:val="301D4299"/>
    <w:rsid w:val="301D77EB"/>
    <w:rsid w:val="301E705B"/>
    <w:rsid w:val="30201025"/>
    <w:rsid w:val="30202F18"/>
    <w:rsid w:val="302735F7"/>
    <w:rsid w:val="30281C88"/>
    <w:rsid w:val="302B7F90"/>
    <w:rsid w:val="302D729E"/>
    <w:rsid w:val="302E254D"/>
    <w:rsid w:val="30330D58"/>
    <w:rsid w:val="30330DD3"/>
    <w:rsid w:val="3035383F"/>
    <w:rsid w:val="303625F7"/>
    <w:rsid w:val="3037034D"/>
    <w:rsid w:val="30372FDC"/>
    <w:rsid w:val="3038636F"/>
    <w:rsid w:val="303A20E7"/>
    <w:rsid w:val="303B19BB"/>
    <w:rsid w:val="303E14AB"/>
    <w:rsid w:val="303E33B2"/>
    <w:rsid w:val="303F3984"/>
    <w:rsid w:val="303F58CB"/>
    <w:rsid w:val="303F76FD"/>
    <w:rsid w:val="30416236"/>
    <w:rsid w:val="304269FB"/>
    <w:rsid w:val="30433578"/>
    <w:rsid w:val="304423D2"/>
    <w:rsid w:val="30466CDD"/>
    <w:rsid w:val="30473644"/>
    <w:rsid w:val="304940D8"/>
    <w:rsid w:val="304A6FE6"/>
    <w:rsid w:val="304B1CB5"/>
    <w:rsid w:val="304E0B54"/>
    <w:rsid w:val="304F36B8"/>
    <w:rsid w:val="30500B8B"/>
    <w:rsid w:val="30515A9D"/>
    <w:rsid w:val="30564A47"/>
    <w:rsid w:val="305A62BD"/>
    <w:rsid w:val="305B205D"/>
    <w:rsid w:val="305E0C36"/>
    <w:rsid w:val="305E56A9"/>
    <w:rsid w:val="305F1B4D"/>
    <w:rsid w:val="30610AF8"/>
    <w:rsid w:val="3062494B"/>
    <w:rsid w:val="30632D18"/>
    <w:rsid w:val="30640F12"/>
    <w:rsid w:val="30656A38"/>
    <w:rsid w:val="30742E3C"/>
    <w:rsid w:val="307A26B9"/>
    <w:rsid w:val="307F1C2B"/>
    <w:rsid w:val="307F5D4C"/>
    <w:rsid w:val="308205E1"/>
    <w:rsid w:val="30821944"/>
    <w:rsid w:val="308471EB"/>
    <w:rsid w:val="30882C76"/>
    <w:rsid w:val="30895A5B"/>
    <w:rsid w:val="30896BCA"/>
    <w:rsid w:val="308A1F1A"/>
    <w:rsid w:val="308A649E"/>
    <w:rsid w:val="308C311F"/>
    <w:rsid w:val="308C68A9"/>
    <w:rsid w:val="30916DC8"/>
    <w:rsid w:val="30921B96"/>
    <w:rsid w:val="309571CD"/>
    <w:rsid w:val="30977539"/>
    <w:rsid w:val="30977AE1"/>
    <w:rsid w:val="309D226A"/>
    <w:rsid w:val="30A25EDE"/>
    <w:rsid w:val="30A45917"/>
    <w:rsid w:val="30A47641"/>
    <w:rsid w:val="30AB7060"/>
    <w:rsid w:val="30B05F05"/>
    <w:rsid w:val="30B067AE"/>
    <w:rsid w:val="30B20654"/>
    <w:rsid w:val="30B33C47"/>
    <w:rsid w:val="30B40F5F"/>
    <w:rsid w:val="30B5176D"/>
    <w:rsid w:val="30B71989"/>
    <w:rsid w:val="30B73737"/>
    <w:rsid w:val="30B770B8"/>
    <w:rsid w:val="30BA4FD6"/>
    <w:rsid w:val="30BC4F91"/>
    <w:rsid w:val="30BF021B"/>
    <w:rsid w:val="30BF083E"/>
    <w:rsid w:val="30C10BD3"/>
    <w:rsid w:val="30C145B6"/>
    <w:rsid w:val="30C33A0A"/>
    <w:rsid w:val="30C61BCC"/>
    <w:rsid w:val="30C916BD"/>
    <w:rsid w:val="30CB0F91"/>
    <w:rsid w:val="30CD2F5B"/>
    <w:rsid w:val="30CE11A5"/>
    <w:rsid w:val="30DA494C"/>
    <w:rsid w:val="30DC4CA7"/>
    <w:rsid w:val="30DD25F8"/>
    <w:rsid w:val="30DE232F"/>
    <w:rsid w:val="30DF67EA"/>
    <w:rsid w:val="30E12562"/>
    <w:rsid w:val="30E16A06"/>
    <w:rsid w:val="30E3452C"/>
    <w:rsid w:val="30E54C2D"/>
    <w:rsid w:val="30E872AF"/>
    <w:rsid w:val="30E87D95"/>
    <w:rsid w:val="30E96F08"/>
    <w:rsid w:val="30EA0FE1"/>
    <w:rsid w:val="30EB1633"/>
    <w:rsid w:val="30F57DBC"/>
    <w:rsid w:val="30F87D91"/>
    <w:rsid w:val="30FD3114"/>
    <w:rsid w:val="30FE28F5"/>
    <w:rsid w:val="30FF7ED0"/>
    <w:rsid w:val="31022B2F"/>
    <w:rsid w:val="310263E1"/>
    <w:rsid w:val="31081922"/>
    <w:rsid w:val="310903C8"/>
    <w:rsid w:val="31097D0B"/>
    <w:rsid w:val="310B05E0"/>
    <w:rsid w:val="310D769E"/>
    <w:rsid w:val="310E063B"/>
    <w:rsid w:val="310E2568"/>
    <w:rsid w:val="310F4599"/>
    <w:rsid w:val="310F62FC"/>
    <w:rsid w:val="31103313"/>
    <w:rsid w:val="31124E12"/>
    <w:rsid w:val="3112618D"/>
    <w:rsid w:val="31130074"/>
    <w:rsid w:val="31130FA0"/>
    <w:rsid w:val="31131651"/>
    <w:rsid w:val="31132938"/>
    <w:rsid w:val="311346E6"/>
    <w:rsid w:val="3115045E"/>
    <w:rsid w:val="311D7312"/>
    <w:rsid w:val="312132A7"/>
    <w:rsid w:val="31244ED9"/>
    <w:rsid w:val="31245E27"/>
    <w:rsid w:val="31255A44"/>
    <w:rsid w:val="3126211C"/>
    <w:rsid w:val="31291E9E"/>
    <w:rsid w:val="312923BE"/>
    <w:rsid w:val="31295CB7"/>
    <w:rsid w:val="312A2C70"/>
    <w:rsid w:val="312C1B74"/>
    <w:rsid w:val="3133374C"/>
    <w:rsid w:val="31336D4F"/>
    <w:rsid w:val="31392270"/>
    <w:rsid w:val="313A1C72"/>
    <w:rsid w:val="313A6116"/>
    <w:rsid w:val="313B65BE"/>
    <w:rsid w:val="313D4858"/>
    <w:rsid w:val="313D6E78"/>
    <w:rsid w:val="313F0558"/>
    <w:rsid w:val="31411253"/>
    <w:rsid w:val="31456F95"/>
    <w:rsid w:val="314657DC"/>
    <w:rsid w:val="314825E1"/>
    <w:rsid w:val="3148438F"/>
    <w:rsid w:val="314A6113"/>
    <w:rsid w:val="314B3E80"/>
    <w:rsid w:val="314C6A09"/>
    <w:rsid w:val="314D06D0"/>
    <w:rsid w:val="314E564B"/>
    <w:rsid w:val="314E571E"/>
    <w:rsid w:val="3150593A"/>
    <w:rsid w:val="31512911"/>
    <w:rsid w:val="31530A22"/>
    <w:rsid w:val="31532D34"/>
    <w:rsid w:val="31533344"/>
    <w:rsid w:val="315544CF"/>
    <w:rsid w:val="31554CFE"/>
    <w:rsid w:val="315679FF"/>
    <w:rsid w:val="315C608D"/>
    <w:rsid w:val="315C7DFC"/>
    <w:rsid w:val="315C7E3B"/>
    <w:rsid w:val="315E0057"/>
    <w:rsid w:val="315E271C"/>
    <w:rsid w:val="315F198B"/>
    <w:rsid w:val="316124D7"/>
    <w:rsid w:val="3162252D"/>
    <w:rsid w:val="31640FCF"/>
    <w:rsid w:val="31642EB0"/>
    <w:rsid w:val="31662A68"/>
    <w:rsid w:val="31676933"/>
    <w:rsid w:val="31687767"/>
    <w:rsid w:val="316D029A"/>
    <w:rsid w:val="317433D6"/>
    <w:rsid w:val="31755DD2"/>
    <w:rsid w:val="31786BA7"/>
    <w:rsid w:val="31786C50"/>
    <w:rsid w:val="31790AD6"/>
    <w:rsid w:val="3179103E"/>
    <w:rsid w:val="317A71E1"/>
    <w:rsid w:val="317B22F3"/>
    <w:rsid w:val="317C08AD"/>
    <w:rsid w:val="31850C2F"/>
    <w:rsid w:val="318909C7"/>
    <w:rsid w:val="318B0A88"/>
    <w:rsid w:val="318B1EE3"/>
    <w:rsid w:val="318B24CE"/>
    <w:rsid w:val="318C7596"/>
    <w:rsid w:val="318D26EA"/>
    <w:rsid w:val="318D6246"/>
    <w:rsid w:val="31903F88"/>
    <w:rsid w:val="319375DC"/>
    <w:rsid w:val="31937D2D"/>
    <w:rsid w:val="31952337"/>
    <w:rsid w:val="3196684B"/>
    <w:rsid w:val="31975317"/>
    <w:rsid w:val="319770C5"/>
    <w:rsid w:val="3199108F"/>
    <w:rsid w:val="3199554C"/>
    <w:rsid w:val="319A4372"/>
    <w:rsid w:val="319B60D4"/>
    <w:rsid w:val="31A0241D"/>
    <w:rsid w:val="31A041CB"/>
    <w:rsid w:val="31A939D7"/>
    <w:rsid w:val="31AA6DF8"/>
    <w:rsid w:val="31AD01ED"/>
    <w:rsid w:val="31AD0696"/>
    <w:rsid w:val="31AE1987"/>
    <w:rsid w:val="31B1462B"/>
    <w:rsid w:val="31B416CA"/>
    <w:rsid w:val="31B9528D"/>
    <w:rsid w:val="31BA51E0"/>
    <w:rsid w:val="31BB4B77"/>
    <w:rsid w:val="31BB4D3B"/>
    <w:rsid w:val="31BC4D7D"/>
    <w:rsid w:val="31BE2C80"/>
    <w:rsid w:val="31C83745"/>
    <w:rsid w:val="31C84906"/>
    <w:rsid w:val="31C90632"/>
    <w:rsid w:val="31CB666B"/>
    <w:rsid w:val="31CC1D66"/>
    <w:rsid w:val="31CD0D39"/>
    <w:rsid w:val="31CD6F8B"/>
    <w:rsid w:val="31CE283B"/>
    <w:rsid w:val="31CF1E7D"/>
    <w:rsid w:val="31D2634F"/>
    <w:rsid w:val="31D6516E"/>
    <w:rsid w:val="31D976DD"/>
    <w:rsid w:val="31DD2BC1"/>
    <w:rsid w:val="31E06CBE"/>
    <w:rsid w:val="31E247E4"/>
    <w:rsid w:val="31E35884"/>
    <w:rsid w:val="31E774A5"/>
    <w:rsid w:val="31E8643F"/>
    <w:rsid w:val="31E96933"/>
    <w:rsid w:val="31EA2BE5"/>
    <w:rsid w:val="31F04C8F"/>
    <w:rsid w:val="31F369F1"/>
    <w:rsid w:val="31F56E0E"/>
    <w:rsid w:val="31F62EA1"/>
    <w:rsid w:val="31F716FA"/>
    <w:rsid w:val="31F808B1"/>
    <w:rsid w:val="31FD7F77"/>
    <w:rsid w:val="31FE2359"/>
    <w:rsid w:val="31FE7144"/>
    <w:rsid w:val="320131C0"/>
    <w:rsid w:val="32023E0D"/>
    <w:rsid w:val="32052280"/>
    <w:rsid w:val="32081D71"/>
    <w:rsid w:val="320C004F"/>
    <w:rsid w:val="320C0E0D"/>
    <w:rsid w:val="320C3E0B"/>
    <w:rsid w:val="320E6B78"/>
    <w:rsid w:val="321042DF"/>
    <w:rsid w:val="3211181E"/>
    <w:rsid w:val="32117772"/>
    <w:rsid w:val="32125567"/>
    <w:rsid w:val="321305F3"/>
    <w:rsid w:val="32130E41"/>
    <w:rsid w:val="321377A2"/>
    <w:rsid w:val="32156AB4"/>
    <w:rsid w:val="32157E73"/>
    <w:rsid w:val="321801C3"/>
    <w:rsid w:val="32192170"/>
    <w:rsid w:val="32195D2C"/>
    <w:rsid w:val="32197D13"/>
    <w:rsid w:val="321B5EB8"/>
    <w:rsid w:val="321F364F"/>
    <w:rsid w:val="32236BAB"/>
    <w:rsid w:val="32243BB9"/>
    <w:rsid w:val="32250B75"/>
    <w:rsid w:val="322913C6"/>
    <w:rsid w:val="322B4F51"/>
    <w:rsid w:val="322E42AD"/>
    <w:rsid w:val="322F0373"/>
    <w:rsid w:val="32302F53"/>
    <w:rsid w:val="32320699"/>
    <w:rsid w:val="323418DB"/>
    <w:rsid w:val="32342B66"/>
    <w:rsid w:val="32351684"/>
    <w:rsid w:val="3238710B"/>
    <w:rsid w:val="323922EC"/>
    <w:rsid w:val="323A7C04"/>
    <w:rsid w:val="323C7838"/>
    <w:rsid w:val="323E6274"/>
    <w:rsid w:val="323F2762"/>
    <w:rsid w:val="32407997"/>
    <w:rsid w:val="3244724D"/>
    <w:rsid w:val="32470AEB"/>
    <w:rsid w:val="324803BF"/>
    <w:rsid w:val="32496611"/>
    <w:rsid w:val="324A4A6D"/>
    <w:rsid w:val="324B7724"/>
    <w:rsid w:val="32540D14"/>
    <w:rsid w:val="3255145A"/>
    <w:rsid w:val="32566604"/>
    <w:rsid w:val="325776B2"/>
    <w:rsid w:val="32586854"/>
    <w:rsid w:val="325A081E"/>
    <w:rsid w:val="325B2EC3"/>
    <w:rsid w:val="325D2496"/>
    <w:rsid w:val="325D3E6B"/>
    <w:rsid w:val="325D4D96"/>
    <w:rsid w:val="32623A67"/>
    <w:rsid w:val="32660E4F"/>
    <w:rsid w:val="326A21EF"/>
    <w:rsid w:val="326B7F61"/>
    <w:rsid w:val="326D294D"/>
    <w:rsid w:val="326E6078"/>
    <w:rsid w:val="326E64EC"/>
    <w:rsid w:val="32700AA2"/>
    <w:rsid w:val="3271353A"/>
    <w:rsid w:val="32717916"/>
    <w:rsid w:val="3272451D"/>
    <w:rsid w:val="3273572B"/>
    <w:rsid w:val="327701E8"/>
    <w:rsid w:val="327A0EC0"/>
    <w:rsid w:val="327B1072"/>
    <w:rsid w:val="327D438A"/>
    <w:rsid w:val="327D62BB"/>
    <w:rsid w:val="327E27FF"/>
    <w:rsid w:val="327F2033"/>
    <w:rsid w:val="32803FFD"/>
    <w:rsid w:val="328121C7"/>
    <w:rsid w:val="328342A4"/>
    <w:rsid w:val="328546D3"/>
    <w:rsid w:val="32855714"/>
    <w:rsid w:val="328706A9"/>
    <w:rsid w:val="32894878"/>
    <w:rsid w:val="32894C60"/>
    <w:rsid w:val="3289766F"/>
    <w:rsid w:val="328C1CBA"/>
    <w:rsid w:val="328C78CD"/>
    <w:rsid w:val="328F6ADA"/>
    <w:rsid w:val="32911D66"/>
    <w:rsid w:val="32935ADE"/>
    <w:rsid w:val="3298755C"/>
    <w:rsid w:val="329A4048"/>
    <w:rsid w:val="329A50BF"/>
    <w:rsid w:val="329A5E1C"/>
    <w:rsid w:val="329B2656"/>
    <w:rsid w:val="329B26CA"/>
    <w:rsid w:val="329B2BE5"/>
    <w:rsid w:val="329C1450"/>
    <w:rsid w:val="329C17B7"/>
    <w:rsid w:val="329E4E89"/>
    <w:rsid w:val="329E6B24"/>
    <w:rsid w:val="32A24CFD"/>
    <w:rsid w:val="32A65305"/>
    <w:rsid w:val="32A658C5"/>
    <w:rsid w:val="32A72D1A"/>
    <w:rsid w:val="32A749B9"/>
    <w:rsid w:val="32A86B47"/>
    <w:rsid w:val="32A929FB"/>
    <w:rsid w:val="32A95302"/>
    <w:rsid w:val="32AA0FC0"/>
    <w:rsid w:val="32AC3044"/>
    <w:rsid w:val="32AD5CE9"/>
    <w:rsid w:val="32AE5EE4"/>
    <w:rsid w:val="32B02D54"/>
    <w:rsid w:val="32B31CDC"/>
    <w:rsid w:val="32B4254B"/>
    <w:rsid w:val="32B53C55"/>
    <w:rsid w:val="32B81E5E"/>
    <w:rsid w:val="32BC3287"/>
    <w:rsid w:val="32BC4F26"/>
    <w:rsid w:val="32C0366C"/>
    <w:rsid w:val="32C06ACF"/>
    <w:rsid w:val="32C24615"/>
    <w:rsid w:val="32C34C59"/>
    <w:rsid w:val="32C63EEA"/>
    <w:rsid w:val="32C7154E"/>
    <w:rsid w:val="32C760A7"/>
    <w:rsid w:val="32CB6699"/>
    <w:rsid w:val="32CE0689"/>
    <w:rsid w:val="32CF410D"/>
    <w:rsid w:val="32D305D1"/>
    <w:rsid w:val="32D35C10"/>
    <w:rsid w:val="32D4313D"/>
    <w:rsid w:val="32D4794B"/>
    <w:rsid w:val="32D54898"/>
    <w:rsid w:val="32D8097F"/>
    <w:rsid w:val="32DA0069"/>
    <w:rsid w:val="32DA370D"/>
    <w:rsid w:val="32DA4D9E"/>
    <w:rsid w:val="32DC2192"/>
    <w:rsid w:val="32DC56D7"/>
    <w:rsid w:val="32DC7EC9"/>
    <w:rsid w:val="32DE3338"/>
    <w:rsid w:val="32E11005"/>
    <w:rsid w:val="32E159D6"/>
    <w:rsid w:val="32E45794"/>
    <w:rsid w:val="32EC3440"/>
    <w:rsid w:val="32EE540A"/>
    <w:rsid w:val="32EE7677"/>
    <w:rsid w:val="32F21EFC"/>
    <w:rsid w:val="32F2354C"/>
    <w:rsid w:val="32F32879"/>
    <w:rsid w:val="32F742BF"/>
    <w:rsid w:val="32F756F3"/>
    <w:rsid w:val="32FA790B"/>
    <w:rsid w:val="32FD5D76"/>
    <w:rsid w:val="3301513E"/>
    <w:rsid w:val="33044C2E"/>
    <w:rsid w:val="33062754"/>
    <w:rsid w:val="3307027A"/>
    <w:rsid w:val="33086098"/>
    <w:rsid w:val="330864CC"/>
    <w:rsid w:val="33087974"/>
    <w:rsid w:val="33093EB2"/>
    <w:rsid w:val="330A3CD4"/>
    <w:rsid w:val="330B1B7A"/>
    <w:rsid w:val="330C5891"/>
    <w:rsid w:val="330F27A5"/>
    <w:rsid w:val="331127F2"/>
    <w:rsid w:val="331210F9"/>
    <w:rsid w:val="331671D1"/>
    <w:rsid w:val="331974C0"/>
    <w:rsid w:val="331D184C"/>
    <w:rsid w:val="3321758E"/>
    <w:rsid w:val="33220415"/>
    <w:rsid w:val="332350B4"/>
    <w:rsid w:val="33254B79"/>
    <w:rsid w:val="3327251A"/>
    <w:rsid w:val="33291F9F"/>
    <w:rsid w:val="332A426D"/>
    <w:rsid w:val="332F1BAB"/>
    <w:rsid w:val="33305A23"/>
    <w:rsid w:val="333077D1"/>
    <w:rsid w:val="33312D7C"/>
    <w:rsid w:val="33320184"/>
    <w:rsid w:val="33320517"/>
    <w:rsid w:val="33333B54"/>
    <w:rsid w:val="33381FDE"/>
    <w:rsid w:val="333B1EC9"/>
    <w:rsid w:val="333C1C2F"/>
    <w:rsid w:val="333D5A29"/>
    <w:rsid w:val="334212B2"/>
    <w:rsid w:val="33462B51"/>
    <w:rsid w:val="334E4804"/>
    <w:rsid w:val="33533102"/>
    <w:rsid w:val="33535560"/>
    <w:rsid w:val="33557238"/>
    <w:rsid w:val="33582884"/>
    <w:rsid w:val="33595B98"/>
    <w:rsid w:val="33596D28"/>
    <w:rsid w:val="335C05EB"/>
    <w:rsid w:val="335D4117"/>
    <w:rsid w:val="335D7E9A"/>
    <w:rsid w:val="335F6666"/>
    <w:rsid w:val="33624CA4"/>
    <w:rsid w:val="3362708B"/>
    <w:rsid w:val="33630E10"/>
    <w:rsid w:val="33631954"/>
    <w:rsid w:val="336401C2"/>
    <w:rsid w:val="336456CD"/>
    <w:rsid w:val="336574AE"/>
    <w:rsid w:val="336851BD"/>
    <w:rsid w:val="336A5F98"/>
    <w:rsid w:val="336B0809"/>
    <w:rsid w:val="336B30B0"/>
    <w:rsid w:val="33723946"/>
    <w:rsid w:val="337634BA"/>
    <w:rsid w:val="33770655"/>
    <w:rsid w:val="33775400"/>
    <w:rsid w:val="337A0A4C"/>
    <w:rsid w:val="337A531D"/>
    <w:rsid w:val="337D69FA"/>
    <w:rsid w:val="33802506"/>
    <w:rsid w:val="33814625"/>
    <w:rsid w:val="338354F6"/>
    <w:rsid w:val="338418CB"/>
    <w:rsid w:val="33883169"/>
    <w:rsid w:val="338876D3"/>
    <w:rsid w:val="33925D96"/>
    <w:rsid w:val="3393619C"/>
    <w:rsid w:val="3394744A"/>
    <w:rsid w:val="339975A5"/>
    <w:rsid w:val="339A0F8D"/>
    <w:rsid w:val="339F1C75"/>
    <w:rsid w:val="33A00454"/>
    <w:rsid w:val="33A03F2A"/>
    <w:rsid w:val="33A13B8F"/>
    <w:rsid w:val="33A15536"/>
    <w:rsid w:val="33A31D51"/>
    <w:rsid w:val="33A45AC9"/>
    <w:rsid w:val="33A47D6B"/>
    <w:rsid w:val="33AA195B"/>
    <w:rsid w:val="33AA4657"/>
    <w:rsid w:val="33AA48B7"/>
    <w:rsid w:val="33AB32FB"/>
    <w:rsid w:val="33AC3440"/>
    <w:rsid w:val="33AD497E"/>
    <w:rsid w:val="33B0446E"/>
    <w:rsid w:val="33B12885"/>
    <w:rsid w:val="33B14968"/>
    <w:rsid w:val="33B163B8"/>
    <w:rsid w:val="33B27072"/>
    <w:rsid w:val="33B757FC"/>
    <w:rsid w:val="33BB10A3"/>
    <w:rsid w:val="33BC51A9"/>
    <w:rsid w:val="33C0270A"/>
    <w:rsid w:val="33C148CD"/>
    <w:rsid w:val="33C33F98"/>
    <w:rsid w:val="33C441BE"/>
    <w:rsid w:val="33C4458B"/>
    <w:rsid w:val="33C527AD"/>
    <w:rsid w:val="33C53157"/>
    <w:rsid w:val="33C64568"/>
    <w:rsid w:val="33C7714E"/>
    <w:rsid w:val="33C85C5B"/>
    <w:rsid w:val="33C87A09"/>
    <w:rsid w:val="33CF2B46"/>
    <w:rsid w:val="33D91774"/>
    <w:rsid w:val="33D97E69"/>
    <w:rsid w:val="33DD4DCF"/>
    <w:rsid w:val="33E32377"/>
    <w:rsid w:val="33E430E8"/>
    <w:rsid w:val="33E60818"/>
    <w:rsid w:val="33E83915"/>
    <w:rsid w:val="33ED4215"/>
    <w:rsid w:val="33ED7EAF"/>
    <w:rsid w:val="33EE5FD8"/>
    <w:rsid w:val="33EF6D1C"/>
    <w:rsid w:val="33F151B2"/>
    <w:rsid w:val="33F22CD8"/>
    <w:rsid w:val="33F241B5"/>
    <w:rsid w:val="33F26834"/>
    <w:rsid w:val="33F55DA9"/>
    <w:rsid w:val="33F603C7"/>
    <w:rsid w:val="33F611CC"/>
    <w:rsid w:val="33F77D4D"/>
    <w:rsid w:val="33F81C3E"/>
    <w:rsid w:val="33FF36B7"/>
    <w:rsid w:val="340131AC"/>
    <w:rsid w:val="3402634D"/>
    <w:rsid w:val="340336C1"/>
    <w:rsid w:val="34060532"/>
    <w:rsid w:val="340622E0"/>
    <w:rsid w:val="34076CAB"/>
    <w:rsid w:val="340800F6"/>
    <w:rsid w:val="34084E28"/>
    <w:rsid w:val="3408599C"/>
    <w:rsid w:val="340E20B1"/>
    <w:rsid w:val="340E3279"/>
    <w:rsid w:val="340F355D"/>
    <w:rsid w:val="340F5638"/>
    <w:rsid w:val="34125129"/>
    <w:rsid w:val="3414469A"/>
    <w:rsid w:val="341478A5"/>
    <w:rsid w:val="341519F5"/>
    <w:rsid w:val="341C55D8"/>
    <w:rsid w:val="341E7704"/>
    <w:rsid w:val="34216FDA"/>
    <w:rsid w:val="3421711A"/>
    <w:rsid w:val="34246C11"/>
    <w:rsid w:val="34246C7C"/>
    <w:rsid w:val="3424709C"/>
    <w:rsid w:val="34254379"/>
    <w:rsid w:val="34254707"/>
    <w:rsid w:val="3426197C"/>
    <w:rsid w:val="34265B5E"/>
    <w:rsid w:val="342A2472"/>
    <w:rsid w:val="342A4220"/>
    <w:rsid w:val="342C3DFB"/>
    <w:rsid w:val="342D022D"/>
    <w:rsid w:val="34305E83"/>
    <w:rsid w:val="34321327"/>
    <w:rsid w:val="34346E4D"/>
    <w:rsid w:val="34354549"/>
    <w:rsid w:val="34362BC5"/>
    <w:rsid w:val="34366764"/>
    <w:rsid w:val="343706EB"/>
    <w:rsid w:val="34393031"/>
    <w:rsid w:val="34395D5D"/>
    <w:rsid w:val="343F10D3"/>
    <w:rsid w:val="34403A44"/>
    <w:rsid w:val="344060EA"/>
    <w:rsid w:val="3442156A"/>
    <w:rsid w:val="344352E2"/>
    <w:rsid w:val="3445548C"/>
    <w:rsid w:val="344572AC"/>
    <w:rsid w:val="34473A2A"/>
    <w:rsid w:val="3448024E"/>
    <w:rsid w:val="344828F8"/>
    <w:rsid w:val="344A6670"/>
    <w:rsid w:val="344D7F0F"/>
    <w:rsid w:val="345030A1"/>
    <w:rsid w:val="345117AD"/>
    <w:rsid w:val="34546A3D"/>
    <w:rsid w:val="34563267"/>
    <w:rsid w:val="34571F2B"/>
    <w:rsid w:val="34572B3B"/>
    <w:rsid w:val="34594CD4"/>
    <w:rsid w:val="34600A6F"/>
    <w:rsid w:val="346040E6"/>
    <w:rsid w:val="34627E5E"/>
    <w:rsid w:val="34640A9B"/>
    <w:rsid w:val="3464452F"/>
    <w:rsid w:val="346622A8"/>
    <w:rsid w:val="346B4841"/>
    <w:rsid w:val="346E05B1"/>
    <w:rsid w:val="34706020"/>
    <w:rsid w:val="34721D78"/>
    <w:rsid w:val="34735BC7"/>
    <w:rsid w:val="34766FF8"/>
    <w:rsid w:val="34771D23"/>
    <w:rsid w:val="347831DE"/>
    <w:rsid w:val="347C459C"/>
    <w:rsid w:val="34802092"/>
    <w:rsid w:val="34802822"/>
    <w:rsid w:val="3482092A"/>
    <w:rsid w:val="3483413B"/>
    <w:rsid w:val="34852299"/>
    <w:rsid w:val="34853B4C"/>
    <w:rsid w:val="34871673"/>
    <w:rsid w:val="3488295F"/>
    <w:rsid w:val="348953EB"/>
    <w:rsid w:val="348A1163"/>
    <w:rsid w:val="348A2565"/>
    <w:rsid w:val="348B0CDA"/>
    <w:rsid w:val="348B5C4C"/>
    <w:rsid w:val="348C2ED8"/>
    <w:rsid w:val="348C4EDB"/>
    <w:rsid w:val="348D0EF1"/>
    <w:rsid w:val="348D62CE"/>
    <w:rsid w:val="34915101"/>
    <w:rsid w:val="34931D9A"/>
    <w:rsid w:val="34936269"/>
    <w:rsid w:val="34943E48"/>
    <w:rsid w:val="34945BEE"/>
    <w:rsid w:val="34955F06"/>
    <w:rsid w:val="349618B6"/>
    <w:rsid w:val="349659BC"/>
    <w:rsid w:val="34983F01"/>
    <w:rsid w:val="349A13A6"/>
    <w:rsid w:val="349C2FC5"/>
    <w:rsid w:val="349E520D"/>
    <w:rsid w:val="34A108BC"/>
    <w:rsid w:val="34A71D15"/>
    <w:rsid w:val="34AF1B39"/>
    <w:rsid w:val="34B166F0"/>
    <w:rsid w:val="34B17850"/>
    <w:rsid w:val="34B561E0"/>
    <w:rsid w:val="34B57393"/>
    <w:rsid w:val="34B63C8D"/>
    <w:rsid w:val="34B95C8F"/>
    <w:rsid w:val="34B96C7C"/>
    <w:rsid w:val="34BA1402"/>
    <w:rsid w:val="34BD32E6"/>
    <w:rsid w:val="34BF11ED"/>
    <w:rsid w:val="34BF2BBB"/>
    <w:rsid w:val="34C01DAE"/>
    <w:rsid w:val="34C06933"/>
    <w:rsid w:val="34C74165"/>
    <w:rsid w:val="34C75F13"/>
    <w:rsid w:val="34C849E7"/>
    <w:rsid w:val="34CA155F"/>
    <w:rsid w:val="34CE61DD"/>
    <w:rsid w:val="34D16D92"/>
    <w:rsid w:val="34D3463E"/>
    <w:rsid w:val="34D4478E"/>
    <w:rsid w:val="34D914E0"/>
    <w:rsid w:val="34D96F7B"/>
    <w:rsid w:val="34DB19BE"/>
    <w:rsid w:val="34DB2549"/>
    <w:rsid w:val="34DB551B"/>
    <w:rsid w:val="34DF1062"/>
    <w:rsid w:val="34E30675"/>
    <w:rsid w:val="34E37753"/>
    <w:rsid w:val="34EA4EFB"/>
    <w:rsid w:val="34EB3858"/>
    <w:rsid w:val="34EE1A12"/>
    <w:rsid w:val="34F03F67"/>
    <w:rsid w:val="34F07218"/>
    <w:rsid w:val="34F34F5A"/>
    <w:rsid w:val="34F54E73"/>
    <w:rsid w:val="34F605A6"/>
    <w:rsid w:val="34F62354"/>
    <w:rsid w:val="34F87827"/>
    <w:rsid w:val="34F96D6B"/>
    <w:rsid w:val="34FA7127"/>
    <w:rsid w:val="34FB1589"/>
    <w:rsid w:val="34FB6918"/>
    <w:rsid w:val="35025600"/>
    <w:rsid w:val="35040F14"/>
    <w:rsid w:val="35064A4C"/>
    <w:rsid w:val="35064C8D"/>
    <w:rsid w:val="35074561"/>
    <w:rsid w:val="35074973"/>
    <w:rsid w:val="35080AA4"/>
    <w:rsid w:val="35092088"/>
    <w:rsid w:val="350A3514"/>
    <w:rsid w:val="35101668"/>
    <w:rsid w:val="35111896"/>
    <w:rsid w:val="35123632"/>
    <w:rsid w:val="351321AD"/>
    <w:rsid w:val="35154ED0"/>
    <w:rsid w:val="351722DF"/>
    <w:rsid w:val="351849C1"/>
    <w:rsid w:val="351F7AFD"/>
    <w:rsid w:val="352178BC"/>
    <w:rsid w:val="352271C7"/>
    <w:rsid w:val="35240677"/>
    <w:rsid w:val="35245113"/>
    <w:rsid w:val="35252F8A"/>
    <w:rsid w:val="3529272A"/>
    <w:rsid w:val="352944D8"/>
    <w:rsid w:val="352A26BE"/>
    <w:rsid w:val="352B6F67"/>
    <w:rsid w:val="352D705A"/>
    <w:rsid w:val="353177BD"/>
    <w:rsid w:val="35333B3F"/>
    <w:rsid w:val="35335357"/>
    <w:rsid w:val="353807B7"/>
    <w:rsid w:val="35385E67"/>
    <w:rsid w:val="35386E11"/>
    <w:rsid w:val="353A0493"/>
    <w:rsid w:val="353A4937"/>
    <w:rsid w:val="353C420B"/>
    <w:rsid w:val="353D45DC"/>
    <w:rsid w:val="35415CC5"/>
    <w:rsid w:val="3543677F"/>
    <w:rsid w:val="35475D30"/>
    <w:rsid w:val="35480E83"/>
    <w:rsid w:val="35487054"/>
    <w:rsid w:val="35490CA1"/>
    <w:rsid w:val="35492712"/>
    <w:rsid w:val="35494B7A"/>
    <w:rsid w:val="354D6418"/>
    <w:rsid w:val="355552CD"/>
    <w:rsid w:val="35563D07"/>
    <w:rsid w:val="35564A6A"/>
    <w:rsid w:val="35583F68"/>
    <w:rsid w:val="355A28E3"/>
    <w:rsid w:val="355A6694"/>
    <w:rsid w:val="355F2EA0"/>
    <w:rsid w:val="355F3D26"/>
    <w:rsid w:val="35624F4C"/>
    <w:rsid w:val="35650039"/>
    <w:rsid w:val="3566572C"/>
    <w:rsid w:val="35676363"/>
    <w:rsid w:val="356B01E3"/>
    <w:rsid w:val="356B3EB4"/>
    <w:rsid w:val="356E45E1"/>
    <w:rsid w:val="35721433"/>
    <w:rsid w:val="35777939"/>
    <w:rsid w:val="35780E62"/>
    <w:rsid w:val="357A6BFE"/>
    <w:rsid w:val="357D4824"/>
    <w:rsid w:val="357D647B"/>
    <w:rsid w:val="35811C14"/>
    <w:rsid w:val="35822EB1"/>
    <w:rsid w:val="35831E3A"/>
    <w:rsid w:val="3589607F"/>
    <w:rsid w:val="358B6666"/>
    <w:rsid w:val="358C2592"/>
    <w:rsid w:val="358F7856"/>
    <w:rsid w:val="359009FB"/>
    <w:rsid w:val="35926521"/>
    <w:rsid w:val="35942E06"/>
    <w:rsid w:val="35974B6D"/>
    <w:rsid w:val="35981E20"/>
    <w:rsid w:val="3599165E"/>
    <w:rsid w:val="359978AF"/>
    <w:rsid w:val="359C73A0"/>
    <w:rsid w:val="35A136FA"/>
    <w:rsid w:val="35A428FB"/>
    <w:rsid w:val="35A63D7A"/>
    <w:rsid w:val="35A63EC4"/>
    <w:rsid w:val="35A93699"/>
    <w:rsid w:val="35AA5C6B"/>
    <w:rsid w:val="35AB1FCE"/>
    <w:rsid w:val="35AB2FB9"/>
    <w:rsid w:val="35B05A74"/>
    <w:rsid w:val="35B06055"/>
    <w:rsid w:val="35B3638F"/>
    <w:rsid w:val="35B83468"/>
    <w:rsid w:val="35B83E7B"/>
    <w:rsid w:val="35B85BE0"/>
    <w:rsid w:val="35BA15D4"/>
    <w:rsid w:val="35BA456B"/>
    <w:rsid w:val="35BA4AAF"/>
    <w:rsid w:val="35BC17F0"/>
    <w:rsid w:val="35BD1D6B"/>
    <w:rsid w:val="35BD2437"/>
    <w:rsid w:val="35C3492C"/>
    <w:rsid w:val="35C506A4"/>
    <w:rsid w:val="35C91817"/>
    <w:rsid w:val="35CD1307"/>
    <w:rsid w:val="35D03BC2"/>
    <w:rsid w:val="35D257AB"/>
    <w:rsid w:val="35D54660"/>
    <w:rsid w:val="35D63A58"/>
    <w:rsid w:val="35DE565D"/>
    <w:rsid w:val="35E01229"/>
    <w:rsid w:val="35E0362A"/>
    <w:rsid w:val="35E11188"/>
    <w:rsid w:val="35E11256"/>
    <w:rsid w:val="35E21285"/>
    <w:rsid w:val="35E328D9"/>
    <w:rsid w:val="35ED478A"/>
    <w:rsid w:val="35EF63ED"/>
    <w:rsid w:val="35EF74CF"/>
    <w:rsid w:val="35F1149A"/>
    <w:rsid w:val="35F164D3"/>
    <w:rsid w:val="35F44AE6"/>
    <w:rsid w:val="35F66AB0"/>
    <w:rsid w:val="35F75F21"/>
    <w:rsid w:val="35F8357B"/>
    <w:rsid w:val="35FA1FB3"/>
    <w:rsid w:val="35FC3237"/>
    <w:rsid w:val="35FE73A5"/>
    <w:rsid w:val="36062A6B"/>
    <w:rsid w:val="36080591"/>
    <w:rsid w:val="36086D3F"/>
    <w:rsid w:val="36094C4D"/>
    <w:rsid w:val="360A60B7"/>
    <w:rsid w:val="360B3AA3"/>
    <w:rsid w:val="360E2FFA"/>
    <w:rsid w:val="36107B82"/>
    <w:rsid w:val="361231BE"/>
    <w:rsid w:val="3614475C"/>
    <w:rsid w:val="36173D86"/>
    <w:rsid w:val="36174DC2"/>
    <w:rsid w:val="361909F0"/>
    <w:rsid w:val="36197BA0"/>
    <w:rsid w:val="361E7DB5"/>
    <w:rsid w:val="361F010B"/>
    <w:rsid w:val="36260A17"/>
    <w:rsid w:val="36266C69"/>
    <w:rsid w:val="362A675A"/>
    <w:rsid w:val="362B4792"/>
    <w:rsid w:val="362C28BF"/>
    <w:rsid w:val="362C6827"/>
    <w:rsid w:val="362D1DA6"/>
    <w:rsid w:val="362E286B"/>
    <w:rsid w:val="362F5B1E"/>
    <w:rsid w:val="363001A5"/>
    <w:rsid w:val="36301342"/>
    <w:rsid w:val="36305255"/>
    <w:rsid w:val="36312F86"/>
    <w:rsid w:val="36332189"/>
    <w:rsid w:val="363371FB"/>
    <w:rsid w:val="363475D8"/>
    <w:rsid w:val="36387814"/>
    <w:rsid w:val="3639526A"/>
    <w:rsid w:val="363C3E41"/>
    <w:rsid w:val="363E0457"/>
    <w:rsid w:val="363F34AE"/>
    <w:rsid w:val="36401917"/>
    <w:rsid w:val="364032B8"/>
    <w:rsid w:val="364041CF"/>
    <w:rsid w:val="3640502D"/>
    <w:rsid w:val="3647684A"/>
    <w:rsid w:val="364A1055"/>
    <w:rsid w:val="364A49F0"/>
    <w:rsid w:val="364C2B74"/>
    <w:rsid w:val="3651018A"/>
    <w:rsid w:val="36511F38"/>
    <w:rsid w:val="36513CE6"/>
    <w:rsid w:val="3652180C"/>
    <w:rsid w:val="3653297A"/>
    <w:rsid w:val="3654172E"/>
    <w:rsid w:val="36541A28"/>
    <w:rsid w:val="36542681"/>
    <w:rsid w:val="36574265"/>
    <w:rsid w:val="36575075"/>
    <w:rsid w:val="36581519"/>
    <w:rsid w:val="36581D87"/>
    <w:rsid w:val="365A4972"/>
    <w:rsid w:val="365D6B2F"/>
    <w:rsid w:val="365F1467"/>
    <w:rsid w:val="365F2F3B"/>
    <w:rsid w:val="366161B9"/>
    <w:rsid w:val="36633A19"/>
    <w:rsid w:val="36664FD3"/>
    <w:rsid w:val="366B0335"/>
    <w:rsid w:val="366B69BB"/>
    <w:rsid w:val="366C7333"/>
    <w:rsid w:val="366F0610"/>
    <w:rsid w:val="36717D3C"/>
    <w:rsid w:val="36770937"/>
    <w:rsid w:val="36785717"/>
    <w:rsid w:val="3679323D"/>
    <w:rsid w:val="367D2D2D"/>
    <w:rsid w:val="367F2948"/>
    <w:rsid w:val="36826596"/>
    <w:rsid w:val="36832A05"/>
    <w:rsid w:val="36835E6A"/>
    <w:rsid w:val="36842CA1"/>
    <w:rsid w:val="368708D6"/>
    <w:rsid w:val="368816D2"/>
    <w:rsid w:val="36890266"/>
    <w:rsid w:val="368A3845"/>
    <w:rsid w:val="368C4D1E"/>
    <w:rsid w:val="368C6197"/>
    <w:rsid w:val="368E1752"/>
    <w:rsid w:val="3690026D"/>
    <w:rsid w:val="36914A2B"/>
    <w:rsid w:val="36951890"/>
    <w:rsid w:val="369576CB"/>
    <w:rsid w:val="369A4025"/>
    <w:rsid w:val="369A4E21"/>
    <w:rsid w:val="369A5D50"/>
    <w:rsid w:val="369B7657"/>
    <w:rsid w:val="369F0189"/>
    <w:rsid w:val="36A040D2"/>
    <w:rsid w:val="36A06A1C"/>
    <w:rsid w:val="36A22794"/>
    <w:rsid w:val="36A275BB"/>
    <w:rsid w:val="36A4650C"/>
    <w:rsid w:val="36A67A82"/>
    <w:rsid w:val="36AB08BB"/>
    <w:rsid w:val="36AC5AC1"/>
    <w:rsid w:val="36AC7C22"/>
    <w:rsid w:val="36AE42BD"/>
    <w:rsid w:val="36B27F14"/>
    <w:rsid w:val="36B45784"/>
    <w:rsid w:val="36B55CDA"/>
    <w:rsid w:val="36B6623F"/>
    <w:rsid w:val="36BF217E"/>
    <w:rsid w:val="36BF3346"/>
    <w:rsid w:val="36C00E6C"/>
    <w:rsid w:val="36C011D6"/>
    <w:rsid w:val="36C0343A"/>
    <w:rsid w:val="36C50230"/>
    <w:rsid w:val="36CE3589"/>
    <w:rsid w:val="36CF72FA"/>
    <w:rsid w:val="36D14D21"/>
    <w:rsid w:val="36D16BD5"/>
    <w:rsid w:val="36D176E9"/>
    <w:rsid w:val="36D308E5"/>
    <w:rsid w:val="36D6243D"/>
    <w:rsid w:val="36D72A86"/>
    <w:rsid w:val="36DD536D"/>
    <w:rsid w:val="36DF3D38"/>
    <w:rsid w:val="36DF5796"/>
    <w:rsid w:val="36E72B79"/>
    <w:rsid w:val="36E7464B"/>
    <w:rsid w:val="36E93EAC"/>
    <w:rsid w:val="36EB413B"/>
    <w:rsid w:val="36EB5544"/>
    <w:rsid w:val="36EC7EB3"/>
    <w:rsid w:val="36EE2C92"/>
    <w:rsid w:val="36EE6BA7"/>
    <w:rsid w:val="36EF3D09"/>
    <w:rsid w:val="36F2359B"/>
    <w:rsid w:val="36F2576A"/>
    <w:rsid w:val="36F40B16"/>
    <w:rsid w:val="36F44920"/>
    <w:rsid w:val="36F56D67"/>
    <w:rsid w:val="36F6663C"/>
    <w:rsid w:val="36F7087E"/>
    <w:rsid w:val="36F91EEB"/>
    <w:rsid w:val="36FE54C3"/>
    <w:rsid w:val="37016A8B"/>
    <w:rsid w:val="370648D4"/>
    <w:rsid w:val="370A0339"/>
    <w:rsid w:val="370A771C"/>
    <w:rsid w:val="370D7369"/>
    <w:rsid w:val="3710081C"/>
    <w:rsid w:val="37112DBC"/>
    <w:rsid w:val="37114600"/>
    <w:rsid w:val="37125BE2"/>
    <w:rsid w:val="37131FFA"/>
    <w:rsid w:val="371375B3"/>
    <w:rsid w:val="371405D4"/>
    <w:rsid w:val="37164086"/>
    <w:rsid w:val="371708BA"/>
    <w:rsid w:val="37183B35"/>
    <w:rsid w:val="371B136A"/>
    <w:rsid w:val="371B1F99"/>
    <w:rsid w:val="371D02B1"/>
    <w:rsid w:val="372633C5"/>
    <w:rsid w:val="37265173"/>
    <w:rsid w:val="372A73DC"/>
    <w:rsid w:val="37350EE7"/>
    <w:rsid w:val="37355BF1"/>
    <w:rsid w:val="3737663A"/>
    <w:rsid w:val="373830F8"/>
    <w:rsid w:val="373F02A8"/>
    <w:rsid w:val="373F7FE3"/>
    <w:rsid w:val="37402EE3"/>
    <w:rsid w:val="37432042"/>
    <w:rsid w:val="374414CA"/>
    <w:rsid w:val="374455F9"/>
    <w:rsid w:val="374750E9"/>
    <w:rsid w:val="37476E97"/>
    <w:rsid w:val="374A5A0B"/>
    <w:rsid w:val="374B2E2B"/>
    <w:rsid w:val="374C7C87"/>
    <w:rsid w:val="374D0BAA"/>
    <w:rsid w:val="37511204"/>
    <w:rsid w:val="375B08FF"/>
    <w:rsid w:val="375B7C0A"/>
    <w:rsid w:val="37620175"/>
    <w:rsid w:val="37621045"/>
    <w:rsid w:val="37665FB5"/>
    <w:rsid w:val="3768258F"/>
    <w:rsid w:val="376B527C"/>
    <w:rsid w:val="376D2DA2"/>
    <w:rsid w:val="376E08C8"/>
    <w:rsid w:val="376F2C93"/>
    <w:rsid w:val="37702892"/>
    <w:rsid w:val="3772660A"/>
    <w:rsid w:val="37727E92"/>
    <w:rsid w:val="3773505B"/>
    <w:rsid w:val="37763507"/>
    <w:rsid w:val="37767E85"/>
    <w:rsid w:val="377834F5"/>
    <w:rsid w:val="377A46B2"/>
    <w:rsid w:val="377D0B0B"/>
    <w:rsid w:val="377F53A8"/>
    <w:rsid w:val="378002F1"/>
    <w:rsid w:val="378105FB"/>
    <w:rsid w:val="3782165E"/>
    <w:rsid w:val="37843C58"/>
    <w:rsid w:val="37847BF0"/>
    <w:rsid w:val="378639D6"/>
    <w:rsid w:val="37865C12"/>
    <w:rsid w:val="37884AE7"/>
    <w:rsid w:val="378A731C"/>
    <w:rsid w:val="378B1D73"/>
    <w:rsid w:val="378C5945"/>
    <w:rsid w:val="378E2D18"/>
    <w:rsid w:val="379142C8"/>
    <w:rsid w:val="37944641"/>
    <w:rsid w:val="37962C2A"/>
    <w:rsid w:val="37970F11"/>
    <w:rsid w:val="379C485B"/>
    <w:rsid w:val="379D22CA"/>
    <w:rsid w:val="379D2F5B"/>
    <w:rsid w:val="37A3390F"/>
    <w:rsid w:val="37A4734E"/>
    <w:rsid w:val="37A724E2"/>
    <w:rsid w:val="37A86A81"/>
    <w:rsid w:val="37A92E9E"/>
    <w:rsid w:val="37A97B52"/>
    <w:rsid w:val="37AB4837"/>
    <w:rsid w:val="37AD730F"/>
    <w:rsid w:val="37B00EE0"/>
    <w:rsid w:val="37B2422A"/>
    <w:rsid w:val="37B55E4A"/>
    <w:rsid w:val="37B564F7"/>
    <w:rsid w:val="37B671A6"/>
    <w:rsid w:val="37BC7885"/>
    <w:rsid w:val="37BD7C4C"/>
    <w:rsid w:val="37C042AC"/>
    <w:rsid w:val="37C0490E"/>
    <w:rsid w:val="37C860F7"/>
    <w:rsid w:val="37CB1876"/>
    <w:rsid w:val="37CC2438"/>
    <w:rsid w:val="37CD0BA7"/>
    <w:rsid w:val="37CE7EB4"/>
    <w:rsid w:val="37CF5A49"/>
    <w:rsid w:val="37D050DF"/>
    <w:rsid w:val="37D32D0E"/>
    <w:rsid w:val="37D34FF4"/>
    <w:rsid w:val="37D3581A"/>
    <w:rsid w:val="37D6455E"/>
    <w:rsid w:val="37D7646D"/>
    <w:rsid w:val="37DA7C33"/>
    <w:rsid w:val="37DC7F27"/>
    <w:rsid w:val="37DE3683"/>
    <w:rsid w:val="37DE77FC"/>
    <w:rsid w:val="37DF3574"/>
    <w:rsid w:val="37DF4C71"/>
    <w:rsid w:val="37DF58CA"/>
    <w:rsid w:val="37E31189"/>
    <w:rsid w:val="37E40B8A"/>
    <w:rsid w:val="37E42938"/>
    <w:rsid w:val="37E961A0"/>
    <w:rsid w:val="37EB1F18"/>
    <w:rsid w:val="37EB3CC7"/>
    <w:rsid w:val="37EE502E"/>
    <w:rsid w:val="37F10623"/>
    <w:rsid w:val="37F25055"/>
    <w:rsid w:val="37F4125D"/>
    <w:rsid w:val="37F52D97"/>
    <w:rsid w:val="37F97FCE"/>
    <w:rsid w:val="37FE1C4C"/>
    <w:rsid w:val="37FE3856"/>
    <w:rsid w:val="37FE7E20"/>
    <w:rsid w:val="37FF7772"/>
    <w:rsid w:val="38075DA7"/>
    <w:rsid w:val="380F5C07"/>
    <w:rsid w:val="38107BD1"/>
    <w:rsid w:val="381305FB"/>
    <w:rsid w:val="38142A64"/>
    <w:rsid w:val="381557D6"/>
    <w:rsid w:val="38182A13"/>
    <w:rsid w:val="381B0A50"/>
    <w:rsid w:val="382673F4"/>
    <w:rsid w:val="382B0567"/>
    <w:rsid w:val="382B67B9"/>
    <w:rsid w:val="382C5E49"/>
    <w:rsid w:val="382E5B98"/>
    <w:rsid w:val="382F62A9"/>
    <w:rsid w:val="383323A6"/>
    <w:rsid w:val="38342E0E"/>
    <w:rsid w:val="383513E6"/>
    <w:rsid w:val="383554E9"/>
    <w:rsid w:val="383A0932"/>
    <w:rsid w:val="383C389C"/>
    <w:rsid w:val="383C4522"/>
    <w:rsid w:val="3846098C"/>
    <w:rsid w:val="384635F3"/>
    <w:rsid w:val="38464C8A"/>
    <w:rsid w:val="3848736B"/>
    <w:rsid w:val="384A03D5"/>
    <w:rsid w:val="384A30E3"/>
    <w:rsid w:val="384A4E91"/>
    <w:rsid w:val="384B0908"/>
    <w:rsid w:val="384D672F"/>
    <w:rsid w:val="384F6612"/>
    <w:rsid w:val="3853641F"/>
    <w:rsid w:val="38543602"/>
    <w:rsid w:val="38591578"/>
    <w:rsid w:val="38594A38"/>
    <w:rsid w:val="385B52F0"/>
    <w:rsid w:val="385D6C29"/>
    <w:rsid w:val="385E74CA"/>
    <w:rsid w:val="38601642"/>
    <w:rsid w:val="38602906"/>
    <w:rsid w:val="386121DB"/>
    <w:rsid w:val="3862667F"/>
    <w:rsid w:val="38652B44"/>
    <w:rsid w:val="38675A43"/>
    <w:rsid w:val="386D6DD1"/>
    <w:rsid w:val="386F51E1"/>
    <w:rsid w:val="38705294"/>
    <w:rsid w:val="38740160"/>
    <w:rsid w:val="387463B2"/>
    <w:rsid w:val="3877321B"/>
    <w:rsid w:val="3878154D"/>
    <w:rsid w:val="387B14EE"/>
    <w:rsid w:val="387C7014"/>
    <w:rsid w:val="387E2D8D"/>
    <w:rsid w:val="388166C1"/>
    <w:rsid w:val="388332C3"/>
    <w:rsid w:val="38846DA1"/>
    <w:rsid w:val="388B0A6E"/>
    <w:rsid w:val="388D1185"/>
    <w:rsid w:val="388D2C18"/>
    <w:rsid w:val="388E3D8D"/>
    <w:rsid w:val="388F6D48"/>
    <w:rsid w:val="3890394B"/>
    <w:rsid w:val="3894064C"/>
    <w:rsid w:val="3894435E"/>
    <w:rsid w:val="389628B7"/>
    <w:rsid w:val="389A407A"/>
    <w:rsid w:val="389B4C19"/>
    <w:rsid w:val="389B749B"/>
    <w:rsid w:val="389C5B17"/>
    <w:rsid w:val="389C7F90"/>
    <w:rsid w:val="389E51DD"/>
    <w:rsid w:val="389E6F8B"/>
    <w:rsid w:val="38A02D03"/>
    <w:rsid w:val="38A345A1"/>
    <w:rsid w:val="38A547BD"/>
    <w:rsid w:val="38AA5930"/>
    <w:rsid w:val="38AB7897"/>
    <w:rsid w:val="38B01D9A"/>
    <w:rsid w:val="38B14F10"/>
    <w:rsid w:val="38B22427"/>
    <w:rsid w:val="38B44A00"/>
    <w:rsid w:val="38B82A09"/>
    <w:rsid w:val="38B955D1"/>
    <w:rsid w:val="38BB067F"/>
    <w:rsid w:val="38BD6541"/>
    <w:rsid w:val="38BE6611"/>
    <w:rsid w:val="38C25A72"/>
    <w:rsid w:val="38C2711D"/>
    <w:rsid w:val="38C40971"/>
    <w:rsid w:val="38C55449"/>
    <w:rsid w:val="38C7415A"/>
    <w:rsid w:val="38C81D58"/>
    <w:rsid w:val="38C855FA"/>
    <w:rsid w:val="38CC5C31"/>
    <w:rsid w:val="38CD256E"/>
    <w:rsid w:val="38D46E50"/>
    <w:rsid w:val="38D53FCC"/>
    <w:rsid w:val="38D66725"/>
    <w:rsid w:val="38D96215"/>
    <w:rsid w:val="38D97FC3"/>
    <w:rsid w:val="38DD5D05"/>
    <w:rsid w:val="38E30E42"/>
    <w:rsid w:val="38E36C34"/>
    <w:rsid w:val="38E5234F"/>
    <w:rsid w:val="38E5315D"/>
    <w:rsid w:val="38E72873"/>
    <w:rsid w:val="38E76B84"/>
    <w:rsid w:val="38E83363"/>
    <w:rsid w:val="38E946AA"/>
    <w:rsid w:val="38ED6823"/>
    <w:rsid w:val="38EE0F44"/>
    <w:rsid w:val="38F065C1"/>
    <w:rsid w:val="38F216EA"/>
    <w:rsid w:val="38F512A1"/>
    <w:rsid w:val="38F614DB"/>
    <w:rsid w:val="38F848ED"/>
    <w:rsid w:val="38FB4804"/>
    <w:rsid w:val="38FD1F03"/>
    <w:rsid w:val="38FE79F0"/>
    <w:rsid w:val="39002DFE"/>
    <w:rsid w:val="390058AF"/>
    <w:rsid w:val="39047736"/>
    <w:rsid w:val="390630BC"/>
    <w:rsid w:val="390859B6"/>
    <w:rsid w:val="39086CD9"/>
    <w:rsid w:val="390A63CE"/>
    <w:rsid w:val="390B1BCA"/>
    <w:rsid w:val="390B458F"/>
    <w:rsid w:val="39107D36"/>
    <w:rsid w:val="39110AB6"/>
    <w:rsid w:val="39113C01"/>
    <w:rsid w:val="391159AF"/>
    <w:rsid w:val="3911775D"/>
    <w:rsid w:val="39127C1B"/>
    <w:rsid w:val="39172B76"/>
    <w:rsid w:val="39173115"/>
    <w:rsid w:val="39191598"/>
    <w:rsid w:val="391C6E6E"/>
    <w:rsid w:val="391D07F7"/>
    <w:rsid w:val="3922078C"/>
    <w:rsid w:val="39253208"/>
    <w:rsid w:val="39276F80"/>
    <w:rsid w:val="39287377"/>
    <w:rsid w:val="39292CF8"/>
    <w:rsid w:val="392C04C3"/>
    <w:rsid w:val="392C27E9"/>
    <w:rsid w:val="392C4EE0"/>
    <w:rsid w:val="392D1B7A"/>
    <w:rsid w:val="392E2DE3"/>
    <w:rsid w:val="392F7D4D"/>
    <w:rsid w:val="39316051"/>
    <w:rsid w:val="39334084"/>
    <w:rsid w:val="39365415"/>
    <w:rsid w:val="39385333"/>
    <w:rsid w:val="393E0ED7"/>
    <w:rsid w:val="393F42CA"/>
    <w:rsid w:val="393F61F3"/>
    <w:rsid w:val="394144E6"/>
    <w:rsid w:val="3942261B"/>
    <w:rsid w:val="394415F5"/>
    <w:rsid w:val="39445D84"/>
    <w:rsid w:val="394739C2"/>
    <w:rsid w:val="394E4D1F"/>
    <w:rsid w:val="39510932"/>
    <w:rsid w:val="39516811"/>
    <w:rsid w:val="39537D75"/>
    <w:rsid w:val="39581C2E"/>
    <w:rsid w:val="395B2AF0"/>
    <w:rsid w:val="395C4C76"/>
    <w:rsid w:val="395D29A2"/>
    <w:rsid w:val="395F671A"/>
    <w:rsid w:val="39616936"/>
    <w:rsid w:val="396401D4"/>
    <w:rsid w:val="39667AEA"/>
    <w:rsid w:val="39671A73"/>
    <w:rsid w:val="39673CFB"/>
    <w:rsid w:val="396932DD"/>
    <w:rsid w:val="39693A3D"/>
    <w:rsid w:val="39694891"/>
    <w:rsid w:val="396978CE"/>
    <w:rsid w:val="396A608E"/>
    <w:rsid w:val="396C52DB"/>
    <w:rsid w:val="396E3959"/>
    <w:rsid w:val="396F46AA"/>
    <w:rsid w:val="39761CB6"/>
    <w:rsid w:val="39767AFA"/>
    <w:rsid w:val="39772A69"/>
    <w:rsid w:val="39795027"/>
    <w:rsid w:val="39797298"/>
    <w:rsid w:val="397B14C4"/>
    <w:rsid w:val="397E1BBA"/>
    <w:rsid w:val="39802EAA"/>
    <w:rsid w:val="39820A82"/>
    <w:rsid w:val="39822409"/>
    <w:rsid w:val="39847293"/>
    <w:rsid w:val="39861EF9"/>
    <w:rsid w:val="398A0EDF"/>
    <w:rsid w:val="398E279D"/>
    <w:rsid w:val="39910B7C"/>
    <w:rsid w:val="39932BD7"/>
    <w:rsid w:val="399740C3"/>
    <w:rsid w:val="399834E3"/>
    <w:rsid w:val="399903B0"/>
    <w:rsid w:val="399A40C1"/>
    <w:rsid w:val="399D3212"/>
    <w:rsid w:val="399F601F"/>
    <w:rsid w:val="399F745E"/>
    <w:rsid w:val="39A669CD"/>
    <w:rsid w:val="39A87FFA"/>
    <w:rsid w:val="39AB415A"/>
    <w:rsid w:val="39AC3D82"/>
    <w:rsid w:val="39AD1B7B"/>
    <w:rsid w:val="39AD58C4"/>
    <w:rsid w:val="39AD6407"/>
    <w:rsid w:val="39AE417D"/>
    <w:rsid w:val="39B12CEE"/>
    <w:rsid w:val="39B26D23"/>
    <w:rsid w:val="39B278A4"/>
    <w:rsid w:val="39B31C82"/>
    <w:rsid w:val="39B43143"/>
    <w:rsid w:val="39B747A8"/>
    <w:rsid w:val="39BA1BA2"/>
    <w:rsid w:val="39BB240F"/>
    <w:rsid w:val="39BB474E"/>
    <w:rsid w:val="39BD1208"/>
    <w:rsid w:val="39BD175E"/>
    <w:rsid w:val="39BF1EEE"/>
    <w:rsid w:val="39BF540B"/>
    <w:rsid w:val="39C26370"/>
    <w:rsid w:val="39C5483D"/>
    <w:rsid w:val="39C944DB"/>
    <w:rsid w:val="39CA4947"/>
    <w:rsid w:val="39CD470B"/>
    <w:rsid w:val="39CE7DB8"/>
    <w:rsid w:val="39CF029E"/>
    <w:rsid w:val="39D22B9C"/>
    <w:rsid w:val="39D2513E"/>
    <w:rsid w:val="39D32C64"/>
    <w:rsid w:val="39D4074C"/>
    <w:rsid w:val="39D85AA6"/>
    <w:rsid w:val="39DD464B"/>
    <w:rsid w:val="39DE16A4"/>
    <w:rsid w:val="39DE7837"/>
    <w:rsid w:val="39DF5AAD"/>
    <w:rsid w:val="39E135D3"/>
    <w:rsid w:val="39E15381"/>
    <w:rsid w:val="39E15489"/>
    <w:rsid w:val="39E20F05"/>
    <w:rsid w:val="39E35599"/>
    <w:rsid w:val="39E44E71"/>
    <w:rsid w:val="39E66CEE"/>
    <w:rsid w:val="39E70E18"/>
    <w:rsid w:val="39E82BB3"/>
    <w:rsid w:val="39EA4B4A"/>
    <w:rsid w:val="39EB26A4"/>
    <w:rsid w:val="39EB7113"/>
    <w:rsid w:val="39EC3D26"/>
    <w:rsid w:val="39EF3F42"/>
    <w:rsid w:val="39F0423F"/>
    <w:rsid w:val="39F33306"/>
    <w:rsid w:val="39F67867"/>
    <w:rsid w:val="39F74BA5"/>
    <w:rsid w:val="39F867E2"/>
    <w:rsid w:val="39F95C15"/>
    <w:rsid w:val="39FA4695"/>
    <w:rsid w:val="39FE3450"/>
    <w:rsid w:val="39FF3A59"/>
    <w:rsid w:val="3A012FE7"/>
    <w:rsid w:val="3A015A23"/>
    <w:rsid w:val="3A022510"/>
    <w:rsid w:val="3A0346DE"/>
    <w:rsid w:val="3A06128C"/>
    <w:rsid w:val="3A061378"/>
    <w:rsid w:val="3A064DE8"/>
    <w:rsid w:val="3A08187B"/>
    <w:rsid w:val="3A0D6176"/>
    <w:rsid w:val="3A0D6AC6"/>
    <w:rsid w:val="3A120D2D"/>
    <w:rsid w:val="3A13195F"/>
    <w:rsid w:val="3A180559"/>
    <w:rsid w:val="3A1953EC"/>
    <w:rsid w:val="3A1E0383"/>
    <w:rsid w:val="3A231AA9"/>
    <w:rsid w:val="3A231E3E"/>
    <w:rsid w:val="3A2439D2"/>
    <w:rsid w:val="3A257964"/>
    <w:rsid w:val="3A260578"/>
    <w:rsid w:val="3A26387F"/>
    <w:rsid w:val="3A26548A"/>
    <w:rsid w:val="3A323E2F"/>
    <w:rsid w:val="3A341A17"/>
    <w:rsid w:val="3A347BA7"/>
    <w:rsid w:val="3A351B95"/>
    <w:rsid w:val="3A361B71"/>
    <w:rsid w:val="3A373C17"/>
    <w:rsid w:val="3A3814BB"/>
    <w:rsid w:val="3A396F6B"/>
    <w:rsid w:val="3A3C6A5B"/>
    <w:rsid w:val="3A3E31A0"/>
    <w:rsid w:val="3A3E6C77"/>
    <w:rsid w:val="3A40499B"/>
    <w:rsid w:val="3A406579"/>
    <w:rsid w:val="3A4433B2"/>
    <w:rsid w:val="3A4B6C9E"/>
    <w:rsid w:val="3A4E0FA2"/>
    <w:rsid w:val="3A501F38"/>
    <w:rsid w:val="3A505159"/>
    <w:rsid w:val="3A5325A6"/>
    <w:rsid w:val="3A555D6F"/>
    <w:rsid w:val="3A557B1D"/>
    <w:rsid w:val="3A59760D"/>
    <w:rsid w:val="3A5A43D8"/>
    <w:rsid w:val="3A5A5BBB"/>
    <w:rsid w:val="3A5D1F7C"/>
    <w:rsid w:val="3A5E7E31"/>
    <w:rsid w:val="3A6002EC"/>
    <w:rsid w:val="3A600C5E"/>
    <w:rsid w:val="3A616053"/>
    <w:rsid w:val="3A616BC6"/>
    <w:rsid w:val="3A62290C"/>
    <w:rsid w:val="3A632615"/>
    <w:rsid w:val="3A6366DE"/>
    <w:rsid w:val="3A64597F"/>
    <w:rsid w:val="3A6A181A"/>
    <w:rsid w:val="3A6F06DC"/>
    <w:rsid w:val="3A6F0BDF"/>
    <w:rsid w:val="3A713E42"/>
    <w:rsid w:val="3A744447"/>
    <w:rsid w:val="3A757B9F"/>
    <w:rsid w:val="3A774212"/>
    <w:rsid w:val="3A777A93"/>
    <w:rsid w:val="3A780F0C"/>
    <w:rsid w:val="3A7A5BC1"/>
    <w:rsid w:val="3A7B3A28"/>
    <w:rsid w:val="3A7C154E"/>
    <w:rsid w:val="3A7C282F"/>
    <w:rsid w:val="3A7F1C11"/>
    <w:rsid w:val="3A7F56AC"/>
    <w:rsid w:val="3A81364C"/>
    <w:rsid w:val="3A830B2E"/>
    <w:rsid w:val="3A867D14"/>
    <w:rsid w:val="3A8D375B"/>
    <w:rsid w:val="3A8F6B2B"/>
    <w:rsid w:val="3A8F750B"/>
    <w:rsid w:val="3A900B55"/>
    <w:rsid w:val="3A953A6A"/>
    <w:rsid w:val="3A976388"/>
    <w:rsid w:val="3A97751D"/>
    <w:rsid w:val="3A99477A"/>
    <w:rsid w:val="3A9A588F"/>
    <w:rsid w:val="3A9A7170"/>
    <w:rsid w:val="3A9C7089"/>
    <w:rsid w:val="3A9D3AA7"/>
    <w:rsid w:val="3A9E7716"/>
    <w:rsid w:val="3AA018F6"/>
    <w:rsid w:val="3AA11F39"/>
    <w:rsid w:val="3AA37D19"/>
    <w:rsid w:val="3AA41F00"/>
    <w:rsid w:val="3AA52AA8"/>
    <w:rsid w:val="3AA65E51"/>
    <w:rsid w:val="3AA73A6E"/>
    <w:rsid w:val="3AAB598F"/>
    <w:rsid w:val="3AAD28A5"/>
    <w:rsid w:val="3AAF722D"/>
    <w:rsid w:val="3AB46F3A"/>
    <w:rsid w:val="3AB652C4"/>
    <w:rsid w:val="3AB72586"/>
    <w:rsid w:val="3AB83B1B"/>
    <w:rsid w:val="3AB900AC"/>
    <w:rsid w:val="3ABB2E8F"/>
    <w:rsid w:val="3ABB7681"/>
    <w:rsid w:val="3ABC0B80"/>
    <w:rsid w:val="3ABC194A"/>
    <w:rsid w:val="3ABE4CA2"/>
    <w:rsid w:val="3AC161F9"/>
    <w:rsid w:val="3AC16F61"/>
    <w:rsid w:val="3AC23405"/>
    <w:rsid w:val="3AC65B15"/>
    <w:rsid w:val="3AC802EF"/>
    <w:rsid w:val="3AC87137"/>
    <w:rsid w:val="3ACC7DDF"/>
    <w:rsid w:val="3AD06868"/>
    <w:rsid w:val="3AD27368"/>
    <w:rsid w:val="3AD60C5E"/>
    <w:rsid w:val="3AD73785"/>
    <w:rsid w:val="3AD76784"/>
    <w:rsid w:val="3AD82FF0"/>
    <w:rsid w:val="3AD924FC"/>
    <w:rsid w:val="3AD97171"/>
    <w:rsid w:val="3ADA4C97"/>
    <w:rsid w:val="3ADB2718"/>
    <w:rsid w:val="3ADD3BE2"/>
    <w:rsid w:val="3ADE01B9"/>
    <w:rsid w:val="3ADE7B13"/>
    <w:rsid w:val="3AEA64B7"/>
    <w:rsid w:val="3AEC5024"/>
    <w:rsid w:val="3AEE244B"/>
    <w:rsid w:val="3AEF1D20"/>
    <w:rsid w:val="3AF15A98"/>
    <w:rsid w:val="3AF34BAD"/>
    <w:rsid w:val="3AF37A62"/>
    <w:rsid w:val="3AF64E5C"/>
    <w:rsid w:val="3AF87FB3"/>
    <w:rsid w:val="3AF92233"/>
    <w:rsid w:val="3AF92B9E"/>
    <w:rsid w:val="3AFA0DF0"/>
    <w:rsid w:val="3AFB6916"/>
    <w:rsid w:val="3AFD1061"/>
    <w:rsid w:val="3AFD268F"/>
    <w:rsid w:val="3AFD61EB"/>
    <w:rsid w:val="3AFF6407"/>
    <w:rsid w:val="3B00217F"/>
    <w:rsid w:val="3B0032BA"/>
    <w:rsid w:val="3B021720"/>
    <w:rsid w:val="3B021A53"/>
    <w:rsid w:val="3B027CA5"/>
    <w:rsid w:val="3B0555C7"/>
    <w:rsid w:val="3B07411C"/>
    <w:rsid w:val="3B084B8F"/>
    <w:rsid w:val="3B0A4C9C"/>
    <w:rsid w:val="3B0D0049"/>
    <w:rsid w:val="3B0E03F8"/>
    <w:rsid w:val="3B0F5F1E"/>
    <w:rsid w:val="3B0F6950"/>
    <w:rsid w:val="3B1114B4"/>
    <w:rsid w:val="3B12042D"/>
    <w:rsid w:val="3B1479D8"/>
    <w:rsid w:val="3B170CB5"/>
    <w:rsid w:val="3B1874C8"/>
    <w:rsid w:val="3B190C7F"/>
    <w:rsid w:val="3B190D74"/>
    <w:rsid w:val="3B1C766C"/>
    <w:rsid w:val="3B1D4ADF"/>
    <w:rsid w:val="3B1F145B"/>
    <w:rsid w:val="3B1F7135"/>
    <w:rsid w:val="3B20012B"/>
    <w:rsid w:val="3B246A26"/>
    <w:rsid w:val="3B247C1B"/>
    <w:rsid w:val="3B29323F"/>
    <w:rsid w:val="3B2C6648"/>
    <w:rsid w:val="3B3140E6"/>
    <w:rsid w:val="3B345AAB"/>
    <w:rsid w:val="3B347C84"/>
    <w:rsid w:val="3B347EEF"/>
    <w:rsid w:val="3B350E3B"/>
    <w:rsid w:val="3B36423E"/>
    <w:rsid w:val="3B364D29"/>
    <w:rsid w:val="3B4200A1"/>
    <w:rsid w:val="3B424545"/>
    <w:rsid w:val="3B4B4232"/>
    <w:rsid w:val="3B4F0A10"/>
    <w:rsid w:val="3B51052D"/>
    <w:rsid w:val="3B525E2C"/>
    <w:rsid w:val="3B57535D"/>
    <w:rsid w:val="3B576EDA"/>
    <w:rsid w:val="3B584ECD"/>
    <w:rsid w:val="3B5927FB"/>
    <w:rsid w:val="3B5A363D"/>
    <w:rsid w:val="3B5B38D6"/>
    <w:rsid w:val="3B625A71"/>
    <w:rsid w:val="3B684F7E"/>
    <w:rsid w:val="3B6A64E0"/>
    <w:rsid w:val="3B6B584A"/>
    <w:rsid w:val="3B6E533A"/>
    <w:rsid w:val="3B6F0183"/>
    <w:rsid w:val="3B717470"/>
    <w:rsid w:val="3B7225FD"/>
    <w:rsid w:val="3B742225"/>
    <w:rsid w:val="3B742FF2"/>
    <w:rsid w:val="3B750477"/>
    <w:rsid w:val="3B762441"/>
    <w:rsid w:val="3B781405"/>
    <w:rsid w:val="3B783AC3"/>
    <w:rsid w:val="3B784F66"/>
    <w:rsid w:val="3B797609"/>
    <w:rsid w:val="3B7B35B3"/>
    <w:rsid w:val="3B7C0ACF"/>
    <w:rsid w:val="3B7F0AC1"/>
    <w:rsid w:val="3B7F1665"/>
    <w:rsid w:val="3B800BCA"/>
    <w:rsid w:val="3B824942"/>
    <w:rsid w:val="3B8253CF"/>
    <w:rsid w:val="3B8306CE"/>
    <w:rsid w:val="3B850053"/>
    <w:rsid w:val="3B8701AA"/>
    <w:rsid w:val="3B873A82"/>
    <w:rsid w:val="3B8C0126"/>
    <w:rsid w:val="3B8C2D10"/>
    <w:rsid w:val="3B8E6864"/>
    <w:rsid w:val="3B8E767F"/>
    <w:rsid w:val="3B9052B1"/>
    <w:rsid w:val="3B912895"/>
    <w:rsid w:val="3B914D85"/>
    <w:rsid w:val="3B922D1B"/>
    <w:rsid w:val="3B954FF7"/>
    <w:rsid w:val="3B95762E"/>
    <w:rsid w:val="3B985F13"/>
    <w:rsid w:val="3B990155"/>
    <w:rsid w:val="3B9A281B"/>
    <w:rsid w:val="3B9B65DC"/>
    <w:rsid w:val="3B9C0229"/>
    <w:rsid w:val="3BA42B0A"/>
    <w:rsid w:val="3BAA3AA3"/>
    <w:rsid w:val="3BAA5C47"/>
    <w:rsid w:val="3BAB2075"/>
    <w:rsid w:val="3BAC7A40"/>
    <w:rsid w:val="3BAD44F6"/>
    <w:rsid w:val="3BAE7E57"/>
    <w:rsid w:val="3BAF22F3"/>
    <w:rsid w:val="3BB00B62"/>
    <w:rsid w:val="3BB02F09"/>
    <w:rsid w:val="3BB05D03"/>
    <w:rsid w:val="3BB0778C"/>
    <w:rsid w:val="3BB2429B"/>
    <w:rsid w:val="3BB30F9F"/>
    <w:rsid w:val="3BB524DF"/>
    <w:rsid w:val="3BB606A8"/>
    <w:rsid w:val="3BB72EBA"/>
    <w:rsid w:val="3BB74739"/>
    <w:rsid w:val="3BBA4284"/>
    <w:rsid w:val="3BBB7F3B"/>
    <w:rsid w:val="3BBC3B27"/>
    <w:rsid w:val="3BC136BC"/>
    <w:rsid w:val="3BC223C0"/>
    <w:rsid w:val="3BC227F7"/>
    <w:rsid w:val="3BC367C1"/>
    <w:rsid w:val="3BC43975"/>
    <w:rsid w:val="3BC60CD2"/>
    <w:rsid w:val="3BC6271B"/>
    <w:rsid w:val="3BCB453B"/>
    <w:rsid w:val="3BCB70C7"/>
    <w:rsid w:val="3BCD44B1"/>
    <w:rsid w:val="3BCE3970"/>
    <w:rsid w:val="3BD11425"/>
    <w:rsid w:val="3BD40016"/>
    <w:rsid w:val="3BD42B6E"/>
    <w:rsid w:val="3BD53AD3"/>
    <w:rsid w:val="3BD827B4"/>
    <w:rsid w:val="3BDD66BF"/>
    <w:rsid w:val="3BE24F16"/>
    <w:rsid w:val="3BE312FA"/>
    <w:rsid w:val="3BE36346"/>
    <w:rsid w:val="3BE42F0B"/>
    <w:rsid w:val="3BE473AB"/>
    <w:rsid w:val="3BE86E9B"/>
    <w:rsid w:val="3BEB485F"/>
    <w:rsid w:val="3BED5EDB"/>
    <w:rsid w:val="3BF03FA1"/>
    <w:rsid w:val="3BF07AFD"/>
    <w:rsid w:val="3BF55114"/>
    <w:rsid w:val="3BF86CCF"/>
    <w:rsid w:val="3BF910A8"/>
    <w:rsid w:val="3BF9223E"/>
    <w:rsid w:val="3C000448"/>
    <w:rsid w:val="3C045B88"/>
    <w:rsid w:val="3C0B0DDB"/>
    <w:rsid w:val="3C0B2B89"/>
    <w:rsid w:val="3C0C5D23"/>
    <w:rsid w:val="3C0D06AF"/>
    <w:rsid w:val="3C101F85"/>
    <w:rsid w:val="3C110A75"/>
    <w:rsid w:val="3C126447"/>
    <w:rsid w:val="3C126A29"/>
    <w:rsid w:val="3C1317DC"/>
    <w:rsid w:val="3C16141A"/>
    <w:rsid w:val="3C1934F8"/>
    <w:rsid w:val="3C1A2DCC"/>
    <w:rsid w:val="3C1B10AA"/>
    <w:rsid w:val="3C1C17B1"/>
    <w:rsid w:val="3C1F5ABA"/>
    <w:rsid w:val="3C211F85"/>
    <w:rsid w:val="3C224AC9"/>
    <w:rsid w:val="3C261771"/>
    <w:rsid w:val="3C2679C3"/>
    <w:rsid w:val="3C291261"/>
    <w:rsid w:val="3C295E53"/>
    <w:rsid w:val="3C2B7832"/>
    <w:rsid w:val="3C2C49CA"/>
    <w:rsid w:val="3C2D0D52"/>
    <w:rsid w:val="3C314AE6"/>
    <w:rsid w:val="3C335C3C"/>
    <w:rsid w:val="3C340332"/>
    <w:rsid w:val="3C342C35"/>
    <w:rsid w:val="3C3C08E1"/>
    <w:rsid w:val="3C3D62FA"/>
    <w:rsid w:val="3C3E4878"/>
    <w:rsid w:val="3C3F0A85"/>
    <w:rsid w:val="3C3F0DA6"/>
    <w:rsid w:val="3C3F116D"/>
    <w:rsid w:val="3C3F2833"/>
    <w:rsid w:val="3C3F7097"/>
    <w:rsid w:val="3C431D0B"/>
    <w:rsid w:val="3C44609B"/>
    <w:rsid w:val="3C460065"/>
    <w:rsid w:val="3C475772"/>
    <w:rsid w:val="3C4936B2"/>
    <w:rsid w:val="3C4944FC"/>
    <w:rsid w:val="3C4A29EA"/>
    <w:rsid w:val="3C4E4C54"/>
    <w:rsid w:val="3C4E79EC"/>
    <w:rsid w:val="3C5210B5"/>
    <w:rsid w:val="3C526A0A"/>
    <w:rsid w:val="3C552351"/>
    <w:rsid w:val="3C561365"/>
    <w:rsid w:val="3C574020"/>
    <w:rsid w:val="3C5848E0"/>
    <w:rsid w:val="3C597D99"/>
    <w:rsid w:val="3C5C0401"/>
    <w:rsid w:val="3C5C5193"/>
    <w:rsid w:val="3C5F3611"/>
    <w:rsid w:val="3C6278E4"/>
    <w:rsid w:val="3C644E63"/>
    <w:rsid w:val="3C691E71"/>
    <w:rsid w:val="3C6A430B"/>
    <w:rsid w:val="3C6A5B02"/>
    <w:rsid w:val="3C6B5032"/>
    <w:rsid w:val="3C6C5540"/>
    <w:rsid w:val="3C6D3DAF"/>
    <w:rsid w:val="3C6E565A"/>
    <w:rsid w:val="3C7050E2"/>
    <w:rsid w:val="3C7548E9"/>
    <w:rsid w:val="3C77021F"/>
    <w:rsid w:val="3C7703E5"/>
    <w:rsid w:val="3C791571"/>
    <w:rsid w:val="3C7C3A87"/>
    <w:rsid w:val="3C8343DC"/>
    <w:rsid w:val="3C864337"/>
    <w:rsid w:val="3C876996"/>
    <w:rsid w:val="3C8C2C72"/>
    <w:rsid w:val="3C8F37BA"/>
    <w:rsid w:val="3C92251C"/>
    <w:rsid w:val="3C9362C8"/>
    <w:rsid w:val="3C9C1A33"/>
    <w:rsid w:val="3C9E03C2"/>
    <w:rsid w:val="3C9F3754"/>
    <w:rsid w:val="3CA11242"/>
    <w:rsid w:val="3CA31014"/>
    <w:rsid w:val="3CA628B2"/>
    <w:rsid w:val="3CA901C3"/>
    <w:rsid w:val="3CAB413A"/>
    <w:rsid w:val="3CAE51F4"/>
    <w:rsid w:val="3CB52639"/>
    <w:rsid w:val="3CB556C7"/>
    <w:rsid w:val="3CB609AC"/>
    <w:rsid w:val="3CBA010B"/>
    <w:rsid w:val="3CBA3F22"/>
    <w:rsid w:val="3CBB048A"/>
    <w:rsid w:val="3CBB3AD8"/>
    <w:rsid w:val="3CBC3E83"/>
    <w:rsid w:val="3CBD0327"/>
    <w:rsid w:val="3CBE5E4E"/>
    <w:rsid w:val="3CC02115"/>
    <w:rsid w:val="3CC2593E"/>
    <w:rsid w:val="3CC35212"/>
    <w:rsid w:val="3CC37D38"/>
    <w:rsid w:val="3CC5154E"/>
    <w:rsid w:val="3CC66AB0"/>
    <w:rsid w:val="3CC956E1"/>
    <w:rsid w:val="3CCB40C7"/>
    <w:rsid w:val="3CCC056A"/>
    <w:rsid w:val="3CCD3038"/>
    <w:rsid w:val="3CD411CD"/>
    <w:rsid w:val="3CD413B5"/>
    <w:rsid w:val="3CD52BBF"/>
    <w:rsid w:val="3CD62FCB"/>
    <w:rsid w:val="3CDC4521"/>
    <w:rsid w:val="3CDD6189"/>
    <w:rsid w:val="3CDF5051"/>
    <w:rsid w:val="3CE3096B"/>
    <w:rsid w:val="3CE460CB"/>
    <w:rsid w:val="3CEC29BB"/>
    <w:rsid w:val="3CED04E1"/>
    <w:rsid w:val="3CED693F"/>
    <w:rsid w:val="3CF03A70"/>
    <w:rsid w:val="3CF141D3"/>
    <w:rsid w:val="3CF17FD1"/>
    <w:rsid w:val="3CF24274"/>
    <w:rsid w:val="3CF56666"/>
    <w:rsid w:val="3CF932BA"/>
    <w:rsid w:val="3CF95E13"/>
    <w:rsid w:val="3CFB098C"/>
    <w:rsid w:val="3CFC24D2"/>
    <w:rsid w:val="3CFD45D1"/>
    <w:rsid w:val="3CFF39C2"/>
    <w:rsid w:val="3CFF5492"/>
    <w:rsid w:val="3D0103BA"/>
    <w:rsid w:val="3D021290"/>
    <w:rsid w:val="3D042809"/>
    <w:rsid w:val="3D05582A"/>
    <w:rsid w:val="3D073351"/>
    <w:rsid w:val="3D0750E2"/>
    <w:rsid w:val="3D0808D3"/>
    <w:rsid w:val="3D09356D"/>
    <w:rsid w:val="3D0A1093"/>
    <w:rsid w:val="3D0A2E41"/>
    <w:rsid w:val="3D0A5745"/>
    <w:rsid w:val="3D0B67FB"/>
    <w:rsid w:val="3D0C6BB9"/>
    <w:rsid w:val="3D0D46DF"/>
    <w:rsid w:val="3D0E7990"/>
    <w:rsid w:val="3D1002DF"/>
    <w:rsid w:val="3D120102"/>
    <w:rsid w:val="3D136199"/>
    <w:rsid w:val="3D156633"/>
    <w:rsid w:val="3D197528"/>
    <w:rsid w:val="3D1E0F00"/>
    <w:rsid w:val="3D1E51D9"/>
    <w:rsid w:val="3D210470"/>
    <w:rsid w:val="3D23052A"/>
    <w:rsid w:val="3D255494"/>
    <w:rsid w:val="3D2739F3"/>
    <w:rsid w:val="3D283517"/>
    <w:rsid w:val="3D2A1D03"/>
    <w:rsid w:val="3D2A5291"/>
    <w:rsid w:val="3D2C1009"/>
    <w:rsid w:val="3D2D127C"/>
    <w:rsid w:val="3D2D7F39"/>
    <w:rsid w:val="3D3103CE"/>
    <w:rsid w:val="3D324146"/>
    <w:rsid w:val="3D332398"/>
    <w:rsid w:val="3D3879AE"/>
    <w:rsid w:val="3D3B53B1"/>
    <w:rsid w:val="3D402D06"/>
    <w:rsid w:val="3D406863"/>
    <w:rsid w:val="3D45031D"/>
    <w:rsid w:val="3D4C3459"/>
    <w:rsid w:val="3D4C36AB"/>
    <w:rsid w:val="3D4D31F1"/>
    <w:rsid w:val="3D511462"/>
    <w:rsid w:val="3D51281E"/>
    <w:rsid w:val="3D5227F9"/>
    <w:rsid w:val="3D540560"/>
    <w:rsid w:val="3D54685A"/>
    <w:rsid w:val="3D565731"/>
    <w:rsid w:val="3D57034B"/>
    <w:rsid w:val="3D596E25"/>
    <w:rsid w:val="3D5971D9"/>
    <w:rsid w:val="3D601CD7"/>
    <w:rsid w:val="3D6167B6"/>
    <w:rsid w:val="3D632551"/>
    <w:rsid w:val="3D633667"/>
    <w:rsid w:val="3D7301EA"/>
    <w:rsid w:val="3D7A6218"/>
    <w:rsid w:val="3D7C0ACA"/>
    <w:rsid w:val="3D7D0A34"/>
    <w:rsid w:val="3D7D4653"/>
    <w:rsid w:val="3D7F1CBD"/>
    <w:rsid w:val="3D7F6840"/>
    <w:rsid w:val="3D8250CD"/>
    <w:rsid w:val="3D85696B"/>
    <w:rsid w:val="3D861CE3"/>
    <w:rsid w:val="3D8746DC"/>
    <w:rsid w:val="3D897CE3"/>
    <w:rsid w:val="3D8B21D4"/>
    <w:rsid w:val="3D8C5F4C"/>
    <w:rsid w:val="3D8D29F2"/>
    <w:rsid w:val="3D913C2B"/>
    <w:rsid w:val="3D934BE4"/>
    <w:rsid w:val="3D952175"/>
    <w:rsid w:val="3D952B40"/>
    <w:rsid w:val="3D954E00"/>
    <w:rsid w:val="3D965D4D"/>
    <w:rsid w:val="3D97487F"/>
    <w:rsid w:val="3D990ED7"/>
    <w:rsid w:val="3D992C39"/>
    <w:rsid w:val="3D9B618F"/>
    <w:rsid w:val="3D9E6D1A"/>
    <w:rsid w:val="3DA02290"/>
    <w:rsid w:val="3DA05553"/>
    <w:rsid w:val="3DA23079"/>
    <w:rsid w:val="3DA45043"/>
    <w:rsid w:val="3DA6032B"/>
    <w:rsid w:val="3DA6700D"/>
    <w:rsid w:val="3DAC13D4"/>
    <w:rsid w:val="3DB039E8"/>
    <w:rsid w:val="3DB3791C"/>
    <w:rsid w:val="3DB44BE7"/>
    <w:rsid w:val="3DB57251"/>
    <w:rsid w:val="3DB72607"/>
    <w:rsid w:val="3DB80AEF"/>
    <w:rsid w:val="3DB8289D"/>
    <w:rsid w:val="3DBB238D"/>
    <w:rsid w:val="3DBD6105"/>
    <w:rsid w:val="3DBF7931"/>
    <w:rsid w:val="3DC41B69"/>
    <w:rsid w:val="3DC456E6"/>
    <w:rsid w:val="3DC50BBC"/>
    <w:rsid w:val="3DC56D68"/>
    <w:rsid w:val="3DC943A2"/>
    <w:rsid w:val="3DCC5577"/>
    <w:rsid w:val="3DD2309B"/>
    <w:rsid w:val="3DD34A04"/>
    <w:rsid w:val="3DD61392"/>
    <w:rsid w:val="3DD940E3"/>
    <w:rsid w:val="3DDB3D1C"/>
    <w:rsid w:val="3DDD023F"/>
    <w:rsid w:val="3DDE2F12"/>
    <w:rsid w:val="3DDF1D90"/>
    <w:rsid w:val="3DDF7E2A"/>
    <w:rsid w:val="3DE9514C"/>
    <w:rsid w:val="3DEF1564"/>
    <w:rsid w:val="3DF00CDD"/>
    <w:rsid w:val="3DF02037"/>
    <w:rsid w:val="3DF24001"/>
    <w:rsid w:val="3DF338D5"/>
    <w:rsid w:val="3DF35EAC"/>
    <w:rsid w:val="3DF37D79"/>
    <w:rsid w:val="3DF62333"/>
    <w:rsid w:val="3DF633C5"/>
    <w:rsid w:val="3DFC06B5"/>
    <w:rsid w:val="3DFE622D"/>
    <w:rsid w:val="3E017CEA"/>
    <w:rsid w:val="3E027EEC"/>
    <w:rsid w:val="3E035938"/>
    <w:rsid w:val="3E09759C"/>
    <w:rsid w:val="3E0F087C"/>
    <w:rsid w:val="3E0F46B5"/>
    <w:rsid w:val="3E126451"/>
    <w:rsid w:val="3E13071A"/>
    <w:rsid w:val="3E1322DB"/>
    <w:rsid w:val="3E133F77"/>
    <w:rsid w:val="3E151A9D"/>
    <w:rsid w:val="3E1578AE"/>
    <w:rsid w:val="3E16263D"/>
    <w:rsid w:val="3E1A0D44"/>
    <w:rsid w:val="3E1A5306"/>
    <w:rsid w:val="3E1C107E"/>
    <w:rsid w:val="3E1C2E2C"/>
    <w:rsid w:val="3E1D0952"/>
    <w:rsid w:val="3E1D6BD1"/>
    <w:rsid w:val="3E220650"/>
    <w:rsid w:val="3E2241BA"/>
    <w:rsid w:val="3E246496"/>
    <w:rsid w:val="3E263CAA"/>
    <w:rsid w:val="3E280BF5"/>
    <w:rsid w:val="3E285C74"/>
    <w:rsid w:val="3E295549"/>
    <w:rsid w:val="3E2D2449"/>
    <w:rsid w:val="3E2D55BB"/>
    <w:rsid w:val="3E306EA3"/>
    <w:rsid w:val="3E335D4C"/>
    <w:rsid w:val="3E3B7B31"/>
    <w:rsid w:val="3E3E40BC"/>
    <w:rsid w:val="3E3E7246"/>
    <w:rsid w:val="3E3F2FBE"/>
    <w:rsid w:val="3E3F4D6C"/>
    <w:rsid w:val="3E400A58"/>
    <w:rsid w:val="3E41662A"/>
    <w:rsid w:val="3E430B0A"/>
    <w:rsid w:val="3E4378D3"/>
    <w:rsid w:val="3E44020E"/>
    <w:rsid w:val="3E444130"/>
    <w:rsid w:val="3E4533F7"/>
    <w:rsid w:val="3E483328"/>
    <w:rsid w:val="3E495BEB"/>
    <w:rsid w:val="3E4B454D"/>
    <w:rsid w:val="3E4B6FD5"/>
    <w:rsid w:val="3E4F10C4"/>
    <w:rsid w:val="3E507DED"/>
    <w:rsid w:val="3E5500EC"/>
    <w:rsid w:val="3E55633E"/>
    <w:rsid w:val="3E5700E5"/>
    <w:rsid w:val="3E582361"/>
    <w:rsid w:val="3E587BDC"/>
    <w:rsid w:val="3E587D8E"/>
    <w:rsid w:val="3E5C2694"/>
    <w:rsid w:val="3E5C76CC"/>
    <w:rsid w:val="3E5F5B91"/>
    <w:rsid w:val="3E612F34"/>
    <w:rsid w:val="3E626828"/>
    <w:rsid w:val="3E6350CC"/>
    <w:rsid w:val="3E66054B"/>
    <w:rsid w:val="3E6678A1"/>
    <w:rsid w:val="3E682515"/>
    <w:rsid w:val="3E6870DE"/>
    <w:rsid w:val="3E692F0F"/>
    <w:rsid w:val="3E693FFC"/>
    <w:rsid w:val="3E6F38A3"/>
    <w:rsid w:val="3E727AB2"/>
    <w:rsid w:val="3E734775"/>
    <w:rsid w:val="3E777381"/>
    <w:rsid w:val="3E7A5DA4"/>
    <w:rsid w:val="3E7C365D"/>
    <w:rsid w:val="3E7E5827"/>
    <w:rsid w:val="3E7F0CA2"/>
    <w:rsid w:val="3E8135D7"/>
    <w:rsid w:val="3E86299B"/>
    <w:rsid w:val="3E88226F"/>
    <w:rsid w:val="3E8926E5"/>
    <w:rsid w:val="3E895FE7"/>
    <w:rsid w:val="3E8A248B"/>
    <w:rsid w:val="3E8A7D45"/>
    <w:rsid w:val="3E8B1AA9"/>
    <w:rsid w:val="3E8D5AD7"/>
    <w:rsid w:val="3E8E0D90"/>
    <w:rsid w:val="3E8F7AA2"/>
    <w:rsid w:val="3E917169"/>
    <w:rsid w:val="3E931F04"/>
    <w:rsid w:val="3E94330A"/>
    <w:rsid w:val="3E957527"/>
    <w:rsid w:val="3E961913"/>
    <w:rsid w:val="3E976956"/>
    <w:rsid w:val="3E9A01F4"/>
    <w:rsid w:val="3E9A0E65"/>
    <w:rsid w:val="3E9A574D"/>
    <w:rsid w:val="3E9C21BE"/>
    <w:rsid w:val="3EA01CAF"/>
    <w:rsid w:val="3EAA24E1"/>
    <w:rsid w:val="3EAA48DB"/>
    <w:rsid w:val="3EAB10DB"/>
    <w:rsid w:val="3EB571D9"/>
    <w:rsid w:val="3EB7252A"/>
    <w:rsid w:val="3EB81426"/>
    <w:rsid w:val="3EBA1F95"/>
    <w:rsid w:val="3EBD52C2"/>
    <w:rsid w:val="3EBF7C5B"/>
    <w:rsid w:val="3EC37272"/>
    <w:rsid w:val="3EC62D97"/>
    <w:rsid w:val="3EC71472"/>
    <w:rsid w:val="3EC908E6"/>
    <w:rsid w:val="3EC96D30"/>
    <w:rsid w:val="3ECB124E"/>
    <w:rsid w:val="3ECB3D43"/>
    <w:rsid w:val="3ECE7D74"/>
    <w:rsid w:val="3ECF4342"/>
    <w:rsid w:val="3ED01E68"/>
    <w:rsid w:val="3ED03C16"/>
    <w:rsid w:val="3ED0433F"/>
    <w:rsid w:val="3ED21305"/>
    <w:rsid w:val="3ED27F72"/>
    <w:rsid w:val="3ED43E21"/>
    <w:rsid w:val="3ED519E6"/>
    <w:rsid w:val="3ED56766"/>
    <w:rsid w:val="3ED65871"/>
    <w:rsid w:val="3ED93508"/>
    <w:rsid w:val="3EE14A8D"/>
    <w:rsid w:val="3EE15E23"/>
    <w:rsid w:val="3EE33B7E"/>
    <w:rsid w:val="3EE426D9"/>
    <w:rsid w:val="3EE44EA9"/>
    <w:rsid w:val="3EE651E8"/>
    <w:rsid w:val="3EE80F60"/>
    <w:rsid w:val="3EE871B2"/>
    <w:rsid w:val="3EEA3466"/>
    <w:rsid w:val="3EEC4EF4"/>
    <w:rsid w:val="3EED17D0"/>
    <w:rsid w:val="3EF1102C"/>
    <w:rsid w:val="3EF1250A"/>
    <w:rsid w:val="3EF21DDE"/>
    <w:rsid w:val="3EF45B57"/>
    <w:rsid w:val="3EF67B21"/>
    <w:rsid w:val="3EF73558"/>
    <w:rsid w:val="3EF76659"/>
    <w:rsid w:val="3EF94F0D"/>
    <w:rsid w:val="3EFA0666"/>
    <w:rsid w:val="3EFC0A98"/>
    <w:rsid w:val="3EFD0EAF"/>
    <w:rsid w:val="3EFE69D5"/>
    <w:rsid w:val="3F0034A7"/>
    <w:rsid w:val="3F036AD5"/>
    <w:rsid w:val="3F042BB6"/>
    <w:rsid w:val="3F071C45"/>
    <w:rsid w:val="3F08396E"/>
    <w:rsid w:val="3F0A15FD"/>
    <w:rsid w:val="3F0A35CC"/>
    <w:rsid w:val="3F0D09C6"/>
    <w:rsid w:val="3F0E2FE7"/>
    <w:rsid w:val="3F101631"/>
    <w:rsid w:val="3F104BA9"/>
    <w:rsid w:val="3F147FA7"/>
    <w:rsid w:val="3F19380F"/>
    <w:rsid w:val="3F1F78AB"/>
    <w:rsid w:val="3F2006FA"/>
    <w:rsid w:val="3F226537"/>
    <w:rsid w:val="3F2A5A1C"/>
    <w:rsid w:val="3F2D17F6"/>
    <w:rsid w:val="3F3017D0"/>
    <w:rsid w:val="3F307EC0"/>
    <w:rsid w:val="3F350424"/>
    <w:rsid w:val="3F373C95"/>
    <w:rsid w:val="3F3C45EB"/>
    <w:rsid w:val="3F3D6612"/>
    <w:rsid w:val="3F3D74FE"/>
    <w:rsid w:val="3F3E7A1A"/>
    <w:rsid w:val="3F3F299D"/>
    <w:rsid w:val="3F424B14"/>
    <w:rsid w:val="3F433A71"/>
    <w:rsid w:val="3F454604"/>
    <w:rsid w:val="3F456A6E"/>
    <w:rsid w:val="3F4C585B"/>
    <w:rsid w:val="3F4C7741"/>
    <w:rsid w:val="3F4F16AA"/>
    <w:rsid w:val="3F527621"/>
    <w:rsid w:val="3F53135C"/>
    <w:rsid w:val="3F542A99"/>
    <w:rsid w:val="3F566811"/>
    <w:rsid w:val="3F5A2E54"/>
    <w:rsid w:val="3F5B3E28"/>
    <w:rsid w:val="3F5C26CF"/>
    <w:rsid w:val="3F5F65A0"/>
    <w:rsid w:val="3F626F64"/>
    <w:rsid w:val="3F6F51DD"/>
    <w:rsid w:val="3F731171"/>
    <w:rsid w:val="3F755B1D"/>
    <w:rsid w:val="3F7614BA"/>
    <w:rsid w:val="3F76656C"/>
    <w:rsid w:val="3F7904C7"/>
    <w:rsid w:val="3F793A8C"/>
    <w:rsid w:val="3F7B3322"/>
    <w:rsid w:val="3F7D3D9E"/>
    <w:rsid w:val="3F7D4F84"/>
    <w:rsid w:val="3F7D78FA"/>
    <w:rsid w:val="3F7F2B3A"/>
    <w:rsid w:val="3F7F64A7"/>
    <w:rsid w:val="3F80563C"/>
    <w:rsid w:val="3F82696B"/>
    <w:rsid w:val="3F88660A"/>
    <w:rsid w:val="3F8B7DBC"/>
    <w:rsid w:val="3F8F762D"/>
    <w:rsid w:val="3F9904AC"/>
    <w:rsid w:val="3F9C0A07"/>
    <w:rsid w:val="3F9D00C6"/>
    <w:rsid w:val="3FA2029E"/>
    <w:rsid w:val="3FA255B3"/>
    <w:rsid w:val="3FA431BC"/>
    <w:rsid w:val="3FA54EFD"/>
    <w:rsid w:val="3FA55980"/>
    <w:rsid w:val="3FA90543"/>
    <w:rsid w:val="3FAC1490"/>
    <w:rsid w:val="3FAE3F57"/>
    <w:rsid w:val="3FAE4191"/>
    <w:rsid w:val="3FB13A48"/>
    <w:rsid w:val="3FB1558E"/>
    <w:rsid w:val="3FB377C0"/>
    <w:rsid w:val="3FB43BE3"/>
    <w:rsid w:val="3FB57208"/>
    <w:rsid w:val="3FB65943"/>
    <w:rsid w:val="3FB84DD6"/>
    <w:rsid w:val="3FB9538C"/>
    <w:rsid w:val="3FBB0422"/>
    <w:rsid w:val="3FBE6ABC"/>
    <w:rsid w:val="3FC100DA"/>
    <w:rsid w:val="3FC1012F"/>
    <w:rsid w:val="3FC268EA"/>
    <w:rsid w:val="3FC449B7"/>
    <w:rsid w:val="3FC5312E"/>
    <w:rsid w:val="3FC96FE3"/>
    <w:rsid w:val="3FCC33C2"/>
    <w:rsid w:val="3FCD1238"/>
    <w:rsid w:val="3FCD3C54"/>
    <w:rsid w:val="3FCE63A8"/>
    <w:rsid w:val="3FD020C9"/>
    <w:rsid w:val="3FD30A0C"/>
    <w:rsid w:val="3FD31C10"/>
    <w:rsid w:val="3FD37E62"/>
    <w:rsid w:val="3FD55988"/>
    <w:rsid w:val="3FD56B68"/>
    <w:rsid w:val="3FD57736"/>
    <w:rsid w:val="3FD6525C"/>
    <w:rsid w:val="3FD730B5"/>
    <w:rsid w:val="3FD73536"/>
    <w:rsid w:val="3FDA518F"/>
    <w:rsid w:val="3FDD65EB"/>
    <w:rsid w:val="3FDF05B5"/>
    <w:rsid w:val="3FE060DB"/>
    <w:rsid w:val="3FE07E89"/>
    <w:rsid w:val="3FE200A5"/>
    <w:rsid w:val="3FE45BCB"/>
    <w:rsid w:val="3FE553C6"/>
    <w:rsid w:val="3FE6074A"/>
    <w:rsid w:val="3FE735C1"/>
    <w:rsid w:val="3FEE07F8"/>
    <w:rsid w:val="3FF676AC"/>
    <w:rsid w:val="3FF73B50"/>
    <w:rsid w:val="3FFB75F5"/>
    <w:rsid w:val="3FFD4647"/>
    <w:rsid w:val="3FFD6C8D"/>
    <w:rsid w:val="400016AC"/>
    <w:rsid w:val="4003735A"/>
    <w:rsid w:val="400669F4"/>
    <w:rsid w:val="400923C0"/>
    <w:rsid w:val="400973E0"/>
    <w:rsid w:val="400A40D6"/>
    <w:rsid w:val="400C5122"/>
    <w:rsid w:val="400E1746"/>
    <w:rsid w:val="400E7614"/>
    <w:rsid w:val="40101C85"/>
    <w:rsid w:val="401069C0"/>
    <w:rsid w:val="40153FD6"/>
    <w:rsid w:val="40160806"/>
    <w:rsid w:val="40182916"/>
    <w:rsid w:val="40185F8D"/>
    <w:rsid w:val="401B7113"/>
    <w:rsid w:val="4021297B"/>
    <w:rsid w:val="402266F3"/>
    <w:rsid w:val="40287789"/>
    <w:rsid w:val="40297A82"/>
    <w:rsid w:val="402A2033"/>
    <w:rsid w:val="402B52D2"/>
    <w:rsid w:val="402E6007"/>
    <w:rsid w:val="40307062"/>
    <w:rsid w:val="40330901"/>
    <w:rsid w:val="4033445D"/>
    <w:rsid w:val="403527DC"/>
    <w:rsid w:val="40361281"/>
    <w:rsid w:val="403635C5"/>
    <w:rsid w:val="40375C8C"/>
    <w:rsid w:val="40380F6A"/>
    <w:rsid w:val="403A7684"/>
    <w:rsid w:val="403C0572"/>
    <w:rsid w:val="403C5A15"/>
    <w:rsid w:val="403E1AF3"/>
    <w:rsid w:val="403F72A5"/>
    <w:rsid w:val="40436D96"/>
    <w:rsid w:val="4046683B"/>
    <w:rsid w:val="404843AC"/>
    <w:rsid w:val="404E62E0"/>
    <w:rsid w:val="40503261"/>
    <w:rsid w:val="405143B5"/>
    <w:rsid w:val="40526FD9"/>
    <w:rsid w:val="40536180"/>
    <w:rsid w:val="40557E80"/>
    <w:rsid w:val="405710D9"/>
    <w:rsid w:val="405A7C3B"/>
    <w:rsid w:val="405B02ED"/>
    <w:rsid w:val="40600461"/>
    <w:rsid w:val="40621AEC"/>
    <w:rsid w:val="40683F38"/>
    <w:rsid w:val="406960D0"/>
    <w:rsid w:val="40731D31"/>
    <w:rsid w:val="407415A6"/>
    <w:rsid w:val="407430B4"/>
    <w:rsid w:val="40750486"/>
    <w:rsid w:val="40754464"/>
    <w:rsid w:val="407B04B9"/>
    <w:rsid w:val="407E229A"/>
    <w:rsid w:val="407F23BC"/>
    <w:rsid w:val="407F5DD9"/>
    <w:rsid w:val="407F60FD"/>
    <w:rsid w:val="40830F63"/>
    <w:rsid w:val="40833636"/>
    <w:rsid w:val="40852CDD"/>
    <w:rsid w:val="408A49C4"/>
    <w:rsid w:val="408B3189"/>
    <w:rsid w:val="408C0A89"/>
    <w:rsid w:val="408D0011"/>
    <w:rsid w:val="408D4F0B"/>
    <w:rsid w:val="408E3D89"/>
    <w:rsid w:val="408F5D13"/>
    <w:rsid w:val="408F7977"/>
    <w:rsid w:val="408F7E07"/>
    <w:rsid w:val="40907B01"/>
    <w:rsid w:val="40922673"/>
    <w:rsid w:val="40925084"/>
    <w:rsid w:val="409273D5"/>
    <w:rsid w:val="409475F1"/>
    <w:rsid w:val="40952EBB"/>
    <w:rsid w:val="40956EC5"/>
    <w:rsid w:val="4098175E"/>
    <w:rsid w:val="409A0B3F"/>
    <w:rsid w:val="409A297C"/>
    <w:rsid w:val="409B5EE2"/>
    <w:rsid w:val="409C0254"/>
    <w:rsid w:val="409E3E0A"/>
    <w:rsid w:val="40A12F70"/>
    <w:rsid w:val="40A13ABC"/>
    <w:rsid w:val="40A30D21"/>
    <w:rsid w:val="40A4535A"/>
    <w:rsid w:val="40A610D2"/>
    <w:rsid w:val="40A67324"/>
    <w:rsid w:val="40A86BF9"/>
    <w:rsid w:val="40AB0497"/>
    <w:rsid w:val="40AB493B"/>
    <w:rsid w:val="40AD37E2"/>
    <w:rsid w:val="40B04662"/>
    <w:rsid w:val="40B34A27"/>
    <w:rsid w:val="40B41A41"/>
    <w:rsid w:val="40B76E3C"/>
    <w:rsid w:val="40B841A9"/>
    <w:rsid w:val="40BC6B48"/>
    <w:rsid w:val="40BD119A"/>
    <w:rsid w:val="40C70518"/>
    <w:rsid w:val="40C90CF4"/>
    <w:rsid w:val="40C90D7D"/>
    <w:rsid w:val="40CA3013"/>
    <w:rsid w:val="40CD5CF7"/>
    <w:rsid w:val="40CF23D7"/>
    <w:rsid w:val="40CF79FB"/>
    <w:rsid w:val="40D63F13"/>
    <w:rsid w:val="40D6649A"/>
    <w:rsid w:val="40D83CC8"/>
    <w:rsid w:val="40D87734"/>
    <w:rsid w:val="40DC2D46"/>
    <w:rsid w:val="40DE1664"/>
    <w:rsid w:val="40DF238F"/>
    <w:rsid w:val="40E165AE"/>
    <w:rsid w:val="40E17200"/>
    <w:rsid w:val="40E24016"/>
    <w:rsid w:val="40E63BC5"/>
    <w:rsid w:val="40E8432E"/>
    <w:rsid w:val="40E85247"/>
    <w:rsid w:val="40EA52B1"/>
    <w:rsid w:val="40EB11DB"/>
    <w:rsid w:val="40EB3449"/>
    <w:rsid w:val="40EB4FBC"/>
    <w:rsid w:val="40ED6D01"/>
    <w:rsid w:val="40EF64F1"/>
    <w:rsid w:val="40F053F7"/>
    <w:rsid w:val="40F30A1D"/>
    <w:rsid w:val="40F4251C"/>
    <w:rsid w:val="40FA31CC"/>
    <w:rsid w:val="40FA4F7A"/>
    <w:rsid w:val="40FA626B"/>
    <w:rsid w:val="40FB49B5"/>
    <w:rsid w:val="40FD69A3"/>
    <w:rsid w:val="40FE2CBD"/>
    <w:rsid w:val="41010626"/>
    <w:rsid w:val="41013A16"/>
    <w:rsid w:val="4101455B"/>
    <w:rsid w:val="4102333F"/>
    <w:rsid w:val="41031B51"/>
    <w:rsid w:val="41046336"/>
    <w:rsid w:val="41071265"/>
    <w:rsid w:val="410B2029"/>
    <w:rsid w:val="410B71F0"/>
    <w:rsid w:val="410C28BC"/>
    <w:rsid w:val="410C362B"/>
    <w:rsid w:val="41140732"/>
    <w:rsid w:val="411502A2"/>
    <w:rsid w:val="41164AEC"/>
    <w:rsid w:val="41173D7E"/>
    <w:rsid w:val="411A6E01"/>
    <w:rsid w:val="411B5976"/>
    <w:rsid w:val="411E7700"/>
    <w:rsid w:val="412253A9"/>
    <w:rsid w:val="41232723"/>
    <w:rsid w:val="412332B9"/>
    <w:rsid w:val="412A3AB2"/>
    <w:rsid w:val="412E1467"/>
    <w:rsid w:val="41326AED"/>
    <w:rsid w:val="41351E23"/>
    <w:rsid w:val="41382B0D"/>
    <w:rsid w:val="413A01F7"/>
    <w:rsid w:val="413F3436"/>
    <w:rsid w:val="41412BA9"/>
    <w:rsid w:val="4142237C"/>
    <w:rsid w:val="41424928"/>
    <w:rsid w:val="414271E6"/>
    <w:rsid w:val="4143128E"/>
    <w:rsid w:val="41432768"/>
    <w:rsid w:val="41432DC5"/>
    <w:rsid w:val="414C5402"/>
    <w:rsid w:val="414E17CA"/>
    <w:rsid w:val="41506A46"/>
    <w:rsid w:val="41543515"/>
    <w:rsid w:val="4156086C"/>
    <w:rsid w:val="415671A8"/>
    <w:rsid w:val="415D5411"/>
    <w:rsid w:val="4160324B"/>
    <w:rsid w:val="416074D3"/>
    <w:rsid w:val="4163460E"/>
    <w:rsid w:val="41652D3C"/>
    <w:rsid w:val="416C033F"/>
    <w:rsid w:val="416F3B36"/>
    <w:rsid w:val="417155D5"/>
    <w:rsid w:val="41744D2D"/>
    <w:rsid w:val="41746C90"/>
    <w:rsid w:val="41767814"/>
    <w:rsid w:val="417A4C61"/>
    <w:rsid w:val="417C0CF5"/>
    <w:rsid w:val="41801923"/>
    <w:rsid w:val="418327BE"/>
    <w:rsid w:val="41881A54"/>
    <w:rsid w:val="41884BEC"/>
    <w:rsid w:val="418C02C8"/>
    <w:rsid w:val="418D373F"/>
    <w:rsid w:val="41912858"/>
    <w:rsid w:val="41933FD4"/>
    <w:rsid w:val="4194268D"/>
    <w:rsid w:val="419453CF"/>
    <w:rsid w:val="4195439C"/>
    <w:rsid w:val="41954D8C"/>
    <w:rsid w:val="41966632"/>
    <w:rsid w:val="419B201D"/>
    <w:rsid w:val="419E7FFC"/>
    <w:rsid w:val="41A151D1"/>
    <w:rsid w:val="41A33677"/>
    <w:rsid w:val="41A5138A"/>
    <w:rsid w:val="41A82F2F"/>
    <w:rsid w:val="41A970CC"/>
    <w:rsid w:val="41AA17D5"/>
    <w:rsid w:val="41AC44C7"/>
    <w:rsid w:val="41AE6569"/>
    <w:rsid w:val="41B11ADD"/>
    <w:rsid w:val="41B15CEC"/>
    <w:rsid w:val="41B16DB7"/>
    <w:rsid w:val="41B66436"/>
    <w:rsid w:val="41B811FB"/>
    <w:rsid w:val="41B93670"/>
    <w:rsid w:val="41B95CFE"/>
    <w:rsid w:val="41BB06AA"/>
    <w:rsid w:val="41BB6E00"/>
    <w:rsid w:val="41BC51F9"/>
    <w:rsid w:val="41BE41FA"/>
    <w:rsid w:val="41BF7B35"/>
    <w:rsid w:val="41C061C4"/>
    <w:rsid w:val="41C21F3C"/>
    <w:rsid w:val="41C23182"/>
    <w:rsid w:val="41C34F47"/>
    <w:rsid w:val="41C757A4"/>
    <w:rsid w:val="41C90680"/>
    <w:rsid w:val="41C932CA"/>
    <w:rsid w:val="41CB47B7"/>
    <w:rsid w:val="41CB669E"/>
    <w:rsid w:val="41CD223F"/>
    <w:rsid w:val="41CE268F"/>
    <w:rsid w:val="41CE6E54"/>
    <w:rsid w:val="41D07FED"/>
    <w:rsid w:val="41D13F2D"/>
    <w:rsid w:val="41D22621"/>
    <w:rsid w:val="41D67795"/>
    <w:rsid w:val="41D91034"/>
    <w:rsid w:val="41DA1C92"/>
    <w:rsid w:val="41DD6EB8"/>
    <w:rsid w:val="41DE6F73"/>
    <w:rsid w:val="41DF2AEE"/>
    <w:rsid w:val="41E00E31"/>
    <w:rsid w:val="41E33C60"/>
    <w:rsid w:val="41E35787"/>
    <w:rsid w:val="41E40104"/>
    <w:rsid w:val="41E5524E"/>
    <w:rsid w:val="41EC167D"/>
    <w:rsid w:val="41F1637D"/>
    <w:rsid w:val="41F23385"/>
    <w:rsid w:val="41F55873"/>
    <w:rsid w:val="41FF7F1A"/>
    <w:rsid w:val="42021C48"/>
    <w:rsid w:val="4205007B"/>
    <w:rsid w:val="42061226"/>
    <w:rsid w:val="42073A89"/>
    <w:rsid w:val="42073DF3"/>
    <w:rsid w:val="42081115"/>
    <w:rsid w:val="42084341"/>
    <w:rsid w:val="42092979"/>
    <w:rsid w:val="42095582"/>
    <w:rsid w:val="420B38E3"/>
    <w:rsid w:val="420E1A66"/>
    <w:rsid w:val="420F2CA7"/>
    <w:rsid w:val="42100EF9"/>
    <w:rsid w:val="42116A20"/>
    <w:rsid w:val="421370EC"/>
    <w:rsid w:val="42181B5C"/>
    <w:rsid w:val="421A3400"/>
    <w:rsid w:val="421A5544"/>
    <w:rsid w:val="421B33FA"/>
    <w:rsid w:val="42207EC8"/>
    <w:rsid w:val="42210A2F"/>
    <w:rsid w:val="42231EEB"/>
    <w:rsid w:val="42266C34"/>
    <w:rsid w:val="422C164C"/>
    <w:rsid w:val="422E058B"/>
    <w:rsid w:val="422E1118"/>
    <w:rsid w:val="422E666B"/>
    <w:rsid w:val="4231292E"/>
    <w:rsid w:val="42346A95"/>
    <w:rsid w:val="423B66B0"/>
    <w:rsid w:val="423D6D47"/>
    <w:rsid w:val="423E3346"/>
    <w:rsid w:val="424066E3"/>
    <w:rsid w:val="42424E2B"/>
    <w:rsid w:val="42430A78"/>
    <w:rsid w:val="42442951"/>
    <w:rsid w:val="42470575"/>
    <w:rsid w:val="424A0CC5"/>
    <w:rsid w:val="424C2C1C"/>
    <w:rsid w:val="424C7A58"/>
    <w:rsid w:val="424D245E"/>
    <w:rsid w:val="42520C0B"/>
    <w:rsid w:val="42530DE6"/>
    <w:rsid w:val="42542F76"/>
    <w:rsid w:val="42547DAF"/>
    <w:rsid w:val="42552FF0"/>
    <w:rsid w:val="425A468C"/>
    <w:rsid w:val="425A6618"/>
    <w:rsid w:val="425B3511"/>
    <w:rsid w:val="425C413F"/>
    <w:rsid w:val="425D7BB5"/>
    <w:rsid w:val="425E0253"/>
    <w:rsid w:val="425F1C78"/>
    <w:rsid w:val="425F70C9"/>
    <w:rsid w:val="42614D8F"/>
    <w:rsid w:val="4263645E"/>
    <w:rsid w:val="42641188"/>
    <w:rsid w:val="42672A11"/>
    <w:rsid w:val="4267365F"/>
    <w:rsid w:val="426A3F90"/>
    <w:rsid w:val="426B25D4"/>
    <w:rsid w:val="426D6463"/>
    <w:rsid w:val="426E5C20"/>
    <w:rsid w:val="426F5DC4"/>
    <w:rsid w:val="42703746"/>
    <w:rsid w:val="42707BEA"/>
    <w:rsid w:val="42750D5C"/>
    <w:rsid w:val="42766738"/>
    <w:rsid w:val="4278084D"/>
    <w:rsid w:val="427A7F6A"/>
    <w:rsid w:val="427B4475"/>
    <w:rsid w:val="427C4671"/>
    <w:rsid w:val="427F7E2D"/>
    <w:rsid w:val="428216CB"/>
    <w:rsid w:val="428224EC"/>
    <w:rsid w:val="428407D0"/>
    <w:rsid w:val="428408DA"/>
    <w:rsid w:val="42843695"/>
    <w:rsid w:val="42845443"/>
    <w:rsid w:val="42867166"/>
    <w:rsid w:val="42870A90"/>
    <w:rsid w:val="42870F07"/>
    <w:rsid w:val="428A217B"/>
    <w:rsid w:val="428B0C38"/>
    <w:rsid w:val="428B0F11"/>
    <w:rsid w:val="428B4A24"/>
    <w:rsid w:val="428C6CC5"/>
    <w:rsid w:val="428E1E1E"/>
    <w:rsid w:val="42905B96"/>
    <w:rsid w:val="429338D8"/>
    <w:rsid w:val="429513FF"/>
    <w:rsid w:val="42984F7B"/>
    <w:rsid w:val="429B3DB9"/>
    <w:rsid w:val="429C79FA"/>
    <w:rsid w:val="429C7FAF"/>
    <w:rsid w:val="429F18AB"/>
    <w:rsid w:val="42A31D6D"/>
    <w:rsid w:val="42A56F6B"/>
    <w:rsid w:val="42B060CF"/>
    <w:rsid w:val="42B31885"/>
    <w:rsid w:val="42B41F8B"/>
    <w:rsid w:val="42B51AA1"/>
    <w:rsid w:val="42B56742"/>
    <w:rsid w:val="42B775C7"/>
    <w:rsid w:val="42B850ED"/>
    <w:rsid w:val="42B8752D"/>
    <w:rsid w:val="42B91CA2"/>
    <w:rsid w:val="42BE197E"/>
    <w:rsid w:val="42BF46CD"/>
    <w:rsid w:val="42C27D1A"/>
    <w:rsid w:val="42C338F7"/>
    <w:rsid w:val="42C427AA"/>
    <w:rsid w:val="42CF2B62"/>
    <w:rsid w:val="42D261AF"/>
    <w:rsid w:val="42D35034"/>
    <w:rsid w:val="42D53EF1"/>
    <w:rsid w:val="42D545B7"/>
    <w:rsid w:val="42D55C9F"/>
    <w:rsid w:val="42DC0850"/>
    <w:rsid w:val="42DC702D"/>
    <w:rsid w:val="42DE0FF8"/>
    <w:rsid w:val="42DE4B54"/>
    <w:rsid w:val="42DE7B88"/>
    <w:rsid w:val="42DF08CC"/>
    <w:rsid w:val="42E46CAD"/>
    <w:rsid w:val="42E61C5A"/>
    <w:rsid w:val="42E83C24"/>
    <w:rsid w:val="42E911B6"/>
    <w:rsid w:val="42E96211"/>
    <w:rsid w:val="42EA174A"/>
    <w:rsid w:val="42EC5AF2"/>
    <w:rsid w:val="42ED121C"/>
    <w:rsid w:val="42ED2FE9"/>
    <w:rsid w:val="42ED4213"/>
    <w:rsid w:val="42F02AD9"/>
    <w:rsid w:val="42F21772"/>
    <w:rsid w:val="42F22D3D"/>
    <w:rsid w:val="42F36125"/>
    <w:rsid w:val="42F645DF"/>
    <w:rsid w:val="42FA30E7"/>
    <w:rsid w:val="42FC0FBB"/>
    <w:rsid w:val="42FC4195"/>
    <w:rsid w:val="42FC7797"/>
    <w:rsid w:val="42FF2D1C"/>
    <w:rsid w:val="430065C2"/>
    <w:rsid w:val="430D5439"/>
    <w:rsid w:val="431062FD"/>
    <w:rsid w:val="43120CA1"/>
    <w:rsid w:val="43140117"/>
    <w:rsid w:val="43140575"/>
    <w:rsid w:val="43142C7C"/>
    <w:rsid w:val="43142F7D"/>
    <w:rsid w:val="431467C7"/>
    <w:rsid w:val="43171E14"/>
    <w:rsid w:val="43186280"/>
    <w:rsid w:val="431A1904"/>
    <w:rsid w:val="431B2532"/>
    <w:rsid w:val="431C567C"/>
    <w:rsid w:val="431D40CF"/>
    <w:rsid w:val="431D774E"/>
    <w:rsid w:val="4320516C"/>
    <w:rsid w:val="43251F69"/>
    <w:rsid w:val="432B321D"/>
    <w:rsid w:val="432C103C"/>
    <w:rsid w:val="432D2A0A"/>
    <w:rsid w:val="432E14C3"/>
    <w:rsid w:val="432E514F"/>
    <w:rsid w:val="43312B6F"/>
    <w:rsid w:val="43324E9F"/>
    <w:rsid w:val="433429C6"/>
    <w:rsid w:val="4335673E"/>
    <w:rsid w:val="43361A71"/>
    <w:rsid w:val="43364E5E"/>
    <w:rsid w:val="4339622E"/>
    <w:rsid w:val="433B360A"/>
    <w:rsid w:val="433B6B87"/>
    <w:rsid w:val="433F3F2B"/>
    <w:rsid w:val="43456995"/>
    <w:rsid w:val="4347029F"/>
    <w:rsid w:val="43484E07"/>
    <w:rsid w:val="434D0E40"/>
    <w:rsid w:val="43506BF8"/>
    <w:rsid w:val="4351436A"/>
    <w:rsid w:val="43544E16"/>
    <w:rsid w:val="435710A2"/>
    <w:rsid w:val="43572FF3"/>
    <w:rsid w:val="43574906"/>
    <w:rsid w:val="4358241B"/>
    <w:rsid w:val="4359348E"/>
    <w:rsid w:val="435A387B"/>
    <w:rsid w:val="435A775B"/>
    <w:rsid w:val="435E4DD8"/>
    <w:rsid w:val="435E7354"/>
    <w:rsid w:val="43601A0D"/>
    <w:rsid w:val="436858D4"/>
    <w:rsid w:val="436B215F"/>
    <w:rsid w:val="436D5ED7"/>
    <w:rsid w:val="436E30C1"/>
    <w:rsid w:val="43781E55"/>
    <w:rsid w:val="437B23A2"/>
    <w:rsid w:val="437C555D"/>
    <w:rsid w:val="437C7B3E"/>
    <w:rsid w:val="438036DF"/>
    <w:rsid w:val="4381239B"/>
    <w:rsid w:val="43841B70"/>
    <w:rsid w:val="43851C29"/>
    <w:rsid w:val="43853221"/>
    <w:rsid w:val="43866F99"/>
    <w:rsid w:val="438A6A89"/>
    <w:rsid w:val="43904F41"/>
    <w:rsid w:val="4391606A"/>
    <w:rsid w:val="439212EE"/>
    <w:rsid w:val="4392593E"/>
    <w:rsid w:val="439740E8"/>
    <w:rsid w:val="439924D6"/>
    <w:rsid w:val="439B0C97"/>
    <w:rsid w:val="439C070C"/>
    <w:rsid w:val="439C497D"/>
    <w:rsid w:val="439E0645"/>
    <w:rsid w:val="439E68BC"/>
    <w:rsid w:val="43A07564"/>
    <w:rsid w:val="43A4774D"/>
    <w:rsid w:val="43A50917"/>
    <w:rsid w:val="43A608FF"/>
    <w:rsid w:val="43A61460"/>
    <w:rsid w:val="43A63197"/>
    <w:rsid w:val="43AA712C"/>
    <w:rsid w:val="43AC6A00"/>
    <w:rsid w:val="43AF4742"/>
    <w:rsid w:val="43B033A7"/>
    <w:rsid w:val="43B104BA"/>
    <w:rsid w:val="43B27D8E"/>
    <w:rsid w:val="43B34232"/>
    <w:rsid w:val="43B35FE0"/>
    <w:rsid w:val="43B369AC"/>
    <w:rsid w:val="43B65AD0"/>
    <w:rsid w:val="43B6787E"/>
    <w:rsid w:val="43B84C3A"/>
    <w:rsid w:val="43BB4E95"/>
    <w:rsid w:val="43BB6C43"/>
    <w:rsid w:val="43BE4985"/>
    <w:rsid w:val="43BF5519"/>
    <w:rsid w:val="43C01675"/>
    <w:rsid w:val="43C22DE7"/>
    <w:rsid w:val="43C24475"/>
    <w:rsid w:val="43C255EA"/>
    <w:rsid w:val="43C33B9A"/>
    <w:rsid w:val="43C81360"/>
    <w:rsid w:val="43C867AC"/>
    <w:rsid w:val="43CD2C34"/>
    <w:rsid w:val="43D359E1"/>
    <w:rsid w:val="43D441A9"/>
    <w:rsid w:val="43D574F8"/>
    <w:rsid w:val="43D63A7D"/>
    <w:rsid w:val="43D64F1C"/>
    <w:rsid w:val="43D67B94"/>
    <w:rsid w:val="43DB1093"/>
    <w:rsid w:val="43DB2051"/>
    <w:rsid w:val="43DE2931"/>
    <w:rsid w:val="43DE73EA"/>
    <w:rsid w:val="43DF5027"/>
    <w:rsid w:val="43E00BD2"/>
    <w:rsid w:val="43E1121B"/>
    <w:rsid w:val="43E22422"/>
    <w:rsid w:val="43E47905"/>
    <w:rsid w:val="43E50164"/>
    <w:rsid w:val="43E53CC0"/>
    <w:rsid w:val="43E61D35"/>
    <w:rsid w:val="43E770AD"/>
    <w:rsid w:val="43E77A87"/>
    <w:rsid w:val="43E907CA"/>
    <w:rsid w:val="43EA0FDD"/>
    <w:rsid w:val="43EA3894"/>
    <w:rsid w:val="43EA577A"/>
    <w:rsid w:val="43F02780"/>
    <w:rsid w:val="43F031A4"/>
    <w:rsid w:val="43F202D8"/>
    <w:rsid w:val="43F5512B"/>
    <w:rsid w:val="43F63FFD"/>
    <w:rsid w:val="43F80BBA"/>
    <w:rsid w:val="43F902AF"/>
    <w:rsid w:val="43FB03ED"/>
    <w:rsid w:val="43FB34E3"/>
    <w:rsid w:val="43FF4A32"/>
    <w:rsid w:val="44020D16"/>
    <w:rsid w:val="440A1978"/>
    <w:rsid w:val="440A3726"/>
    <w:rsid w:val="440C56F0"/>
    <w:rsid w:val="440E76BA"/>
    <w:rsid w:val="440F51E1"/>
    <w:rsid w:val="4410721F"/>
    <w:rsid w:val="44116137"/>
    <w:rsid w:val="4413082D"/>
    <w:rsid w:val="441B2C89"/>
    <w:rsid w:val="441D78FE"/>
    <w:rsid w:val="442228D4"/>
    <w:rsid w:val="442229E7"/>
    <w:rsid w:val="44224F59"/>
    <w:rsid w:val="44240E0B"/>
    <w:rsid w:val="442511D6"/>
    <w:rsid w:val="4427077C"/>
    <w:rsid w:val="442B0E36"/>
    <w:rsid w:val="442C3A4A"/>
    <w:rsid w:val="44327E91"/>
    <w:rsid w:val="443833A3"/>
    <w:rsid w:val="4439722E"/>
    <w:rsid w:val="443D7A34"/>
    <w:rsid w:val="44407D6F"/>
    <w:rsid w:val="44445363"/>
    <w:rsid w:val="444844CB"/>
    <w:rsid w:val="444922CF"/>
    <w:rsid w:val="444C01E3"/>
    <w:rsid w:val="44525062"/>
    <w:rsid w:val="44537679"/>
    <w:rsid w:val="44552ECF"/>
    <w:rsid w:val="44561585"/>
    <w:rsid w:val="44567F13"/>
    <w:rsid w:val="44574B66"/>
    <w:rsid w:val="44582500"/>
    <w:rsid w:val="445C50FE"/>
    <w:rsid w:val="445E2702"/>
    <w:rsid w:val="446077EA"/>
    <w:rsid w:val="44674EF9"/>
    <w:rsid w:val="44676DCB"/>
    <w:rsid w:val="44692727"/>
    <w:rsid w:val="4469744D"/>
    <w:rsid w:val="446D3631"/>
    <w:rsid w:val="446D6703"/>
    <w:rsid w:val="446F69B6"/>
    <w:rsid w:val="4472052E"/>
    <w:rsid w:val="4473734B"/>
    <w:rsid w:val="44741AD9"/>
    <w:rsid w:val="4475773A"/>
    <w:rsid w:val="44764FAB"/>
    <w:rsid w:val="4476700E"/>
    <w:rsid w:val="44781F8B"/>
    <w:rsid w:val="447B63D2"/>
    <w:rsid w:val="447C2876"/>
    <w:rsid w:val="447F4114"/>
    <w:rsid w:val="447F5EC2"/>
    <w:rsid w:val="44832D8E"/>
    <w:rsid w:val="44866D64"/>
    <w:rsid w:val="44872FC9"/>
    <w:rsid w:val="44873BD2"/>
    <w:rsid w:val="44885FBC"/>
    <w:rsid w:val="448D14FC"/>
    <w:rsid w:val="448E4357"/>
    <w:rsid w:val="448F7DDB"/>
    <w:rsid w:val="449000D0"/>
    <w:rsid w:val="44912792"/>
    <w:rsid w:val="44915BF6"/>
    <w:rsid w:val="44932709"/>
    <w:rsid w:val="44944B08"/>
    <w:rsid w:val="449A71A0"/>
    <w:rsid w:val="449B1E09"/>
    <w:rsid w:val="449B3859"/>
    <w:rsid w:val="449D297B"/>
    <w:rsid w:val="449D3174"/>
    <w:rsid w:val="449D36D8"/>
    <w:rsid w:val="44A27E03"/>
    <w:rsid w:val="44A45929"/>
    <w:rsid w:val="44A50010"/>
    <w:rsid w:val="44A65B45"/>
    <w:rsid w:val="44AA2587"/>
    <w:rsid w:val="44AE49FA"/>
    <w:rsid w:val="44B27F41"/>
    <w:rsid w:val="44B32010"/>
    <w:rsid w:val="44B32BF6"/>
    <w:rsid w:val="44B342D4"/>
    <w:rsid w:val="44B443AA"/>
    <w:rsid w:val="44B73CC9"/>
    <w:rsid w:val="44B9036B"/>
    <w:rsid w:val="44B92E42"/>
    <w:rsid w:val="44C1472D"/>
    <w:rsid w:val="44C55076"/>
    <w:rsid w:val="44C57C22"/>
    <w:rsid w:val="44CD30D2"/>
    <w:rsid w:val="44CD6BCA"/>
    <w:rsid w:val="44CF63EA"/>
    <w:rsid w:val="44D04970"/>
    <w:rsid w:val="44D206E8"/>
    <w:rsid w:val="44D2693A"/>
    <w:rsid w:val="44D30B0A"/>
    <w:rsid w:val="44D53D34"/>
    <w:rsid w:val="44D677B2"/>
    <w:rsid w:val="44D73F50"/>
    <w:rsid w:val="44D81A76"/>
    <w:rsid w:val="44D9323B"/>
    <w:rsid w:val="44DA134B"/>
    <w:rsid w:val="44DA57EF"/>
    <w:rsid w:val="44DC44D8"/>
    <w:rsid w:val="44DE708D"/>
    <w:rsid w:val="44E07450"/>
    <w:rsid w:val="44E126BB"/>
    <w:rsid w:val="44E87F0C"/>
    <w:rsid w:val="44E9255A"/>
    <w:rsid w:val="44EA4792"/>
    <w:rsid w:val="44EC107E"/>
    <w:rsid w:val="44EC46E6"/>
    <w:rsid w:val="44EE3048"/>
    <w:rsid w:val="44EF1DE0"/>
    <w:rsid w:val="44F3240C"/>
    <w:rsid w:val="44F47B79"/>
    <w:rsid w:val="44FA2024"/>
    <w:rsid w:val="44FA379B"/>
    <w:rsid w:val="44FA4235"/>
    <w:rsid w:val="44FA4FE8"/>
    <w:rsid w:val="44FA6A0D"/>
    <w:rsid w:val="45012D7B"/>
    <w:rsid w:val="45023AF1"/>
    <w:rsid w:val="45041BFE"/>
    <w:rsid w:val="450A2708"/>
    <w:rsid w:val="450D028A"/>
    <w:rsid w:val="450E2D47"/>
    <w:rsid w:val="450E5498"/>
    <w:rsid w:val="45134BC4"/>
    <w:rsid w:val="45153590"/>
    <w:rsid w:val="45156827"/>
    <w:rsid w:val="45166E0F"/>
    <w:rsid w:val="45181E73"/>
    <w:rsid w:val="451975BA"/>
    <w:rsid w:val="451B2245"/>
    <w:rsid w:val="45210165"/>
    <w:rsid w:val="45231F99"/>
    <w:rsid w:val="452436A4"/>
    <w:rsid w:val="452725C1"/>
    <w:rsid w:val="4528177D"/>
    <w:rsid w:val="45281CDD"/>
    <w:rsid w:val="452C2931"/>
    <w:rsid w:val="452C39B2"/>
    <w:rsid w:val="452F474A"/>
    <w:rsid w:val="452F78E8"/>
    <w:rsid w:val="45311DC9"/>
    <w:rsid w:val="453301B9"/>
    <w:rsid w:val="45350C77"/>
    <w:rsid w:val="4535743B"/>
    <w:rsid w:val="45374644"/>
    <w:rsid w:val="45394F57"/>
    <w:rsid w:val="45397670"/>
    <w:rsid w:val="453D30B5"/>
    <w:rsid w:val="454055A1"/>
    <w:rsid w:val="45412BC0"/>
    <w:rsid w:val="454347E2"/>
    <w:rsid w:val="4544387E"/>
    <w:rsid w:val="4545701A"/>
    <w:rsid w:val="45462D89"/>
    <w:rsid w:val="45464563"/>
    <w:rsid w:val="45464C32"/>
    <w:rsid w:val="45477CC6"/>
    <w:rsid w:val="45482EA7"/>
    <w:rsid w:val="45485BF1"/>
    <w:rsid w:val="45486BFC"/>
    <w:rsid w:val="454C3CB1"/>
    <w:rsid w:val="454F5053"/>
    <w:rsid w:val="4550160D"/>
    <w:rsid w:val="45513D03"/>
    <w:rsid w:val="455501C8"/>
    <w:rsid w:val="45551D16"/>
    <w:rsid w:val="4557299B"/>
    <w:rsid w:val="45585D0D"/>
    <w:rsid w:val="455A06DD"/>
    <w:rsid w:val="455B7ED7"/>
    <w:rsid w:val="455C6204"/>
    <w:rsid w:val="45603F46"/>
    <w:rsid w:val="45637592"/>
    <w:rsid w:val="45654C8F"/>
    <w:rsid w:val="45676DA7"/>
    <w:rsid w:val="45681C7D"/>
    <w:rsid w:val="456F527B"/>
    <w:rsid w:val="4572368E"/>
    <w:rsid w:val="457277D5"/>
    <w:rsid w:val="457479F1"/>
    <w:rsid w:val="45760096"/>
    <w:rsid w:val="45772A5A"/>
    <w:rsid w:val="45773E2D"/>
    <w:rsid w:val="45792E3C"/>
    <w:rsid w:val="45792FD7"/>
    <w:rsid w:val="457D260A"/>
    <w:rsid w:val="457E6EDA"/>
    <w:rsid w:val="45815C6A"/>
    <w:rsid w:val="458579F6"/>
    <w:rsid w:val="45875279"/>
    <w:rsid w:val="45880B27"/>
    <w:rsid w:val="45885841"/>
    <w:rsid w:val="45887EC0"/>
    <w:rsid w:val="458B0897"/>
    <w:rsid w:val="458E4BD4"/>
    <w:rsid w:val="459050A5"/>
    <w:rsid w:val="45905EAD"/>
    <w:rsid w:val="45943EE9"/>
    <w:rsid w:val="459820BE"/>
    <w:rsid w:val="45992BA6"/>
    <w:rsid w:val="45997675"/>
    <w:rsid w:val="459A3FE4"/>
    <w:rsid w:val="459C4FC5"/>
    <w:rsid w:val="459E4A6E"/>
    <w:rsid w:val="45A26912"/>
    <w:rsid w:val="45A357E7"/>
    <w:rsid w:val="45A64168"/>
    <w:rsid w:val="45AC3002"/>
    <w:rsid w:val="45AD2F03"/>
    <w:rsid w:val="45AD7BC6"/>
    <w:rsid w:val="45AE00C8"/>
    <w:rsid w:val="45AF46DF"/>
    <w:rsid w:val="45B2355D"/>
    <w:rsid w:val="45B2682E"/>
    <w:rsid w:val="45B27FED"/>
    <w:rsid w:val="45B47DEE"/>
    <w:rsid w:val="45B55914"/>
    <w:rsid w:val="45B63B66"/>
    <w:rsid w:val="45B918A8"/>
    <w:rsid w:val="45BC567F"/>
    <w:rsid w:val="45BD3146"/>
    <w:rsid w:val="45BE514E"/>
    <w:rsid w:val="45C30031"/>
    <w:rsid w:val="45C3677A"/>
    <w:rsid w:val="45C51FFB"/>
    <w:rsid w:val="45C67B21"/>
    <w:rsid w:val="45C8510F"/>
    <w:rsid w:val="45CA13BF"/>
    <w:rsid w:val="45CD226D"/>
    <w:rsid w:val="45CE6AF9"/>
    <w:rsid w:val="45D043A9"/>
    <w:rsid w:val="45D34506"/>
    <w:rsid w:val="45D4044B"/>
    <w:rsid w:val="45D466E2"/>
    <w:rsid w:val="45D640DC"/>
    <w:rsid w:val="45D94043"/>
    <w:rsid w:val="45D97854"/>
    <w:rsid w:val="45DC0B6D"/>
    <w:rsid w:val="45DE30BD"/>
    <w:rsid w:val="45E04FF4"/>
    <w:rsid w:val="45E32240"/>
    <w:rsid w:val="45E33411"/>
    <w:rsid w:val="45E42C1A"/>
    <w:rsid w:val="45E57883"/>
    <w:rsid w:val="45E76415"/>
    <w:rsid w:val="45E9577D"/>
    <w:rsid w:val="45EB0647"/>
    <w:rsid w:val="45EB7C91"/>
    <w:rsid w:val="45EE77A4"/>
    <w:rsid w:val="45EF4355"/>
    <w:rsid w:val="45EF52CA"/>
    <w:rsid w:val="45F47704"/>
    <w:rsid w:val="45F8417E"/>
    <w:rsid w:val="45FC3543"/>
    <w:rsid w:val="46020B59"/>
    <w:rsid w:val="46032B23"/>
    <w:rsid w:val="460348D1"/>
    <w:rsid w:val="46046414"/>
    <w:rsid w:val="4607616F"/>
    <w:rsid w:val="46081EE8"/>
    <w:rsid w:val="4609638B"/>
    <w:rsid w:val="460A3EB2"/>
    <w:rsid w:val="460C39AB"/>
    <w:rsid w:val="4612476D"/>
    <w:rsid w:val="46133F3F"/>
    <w:rsid w:val="46160790"/>
    <w:rsid w:val="46195EA3"/>
    <w:rsid w:val="461A134B"/>
    <w:rsid w:val="461A1F91"/>
    <w:rsid w:val="461B7E6D"/>
    <w:rsid w:val="461D5993"/>
    <w:rsid w:val="461F46C4"/>
    <w:rsid w:val="461F5BAF"/>
    <w:rsid w:val="46205483"/>
    <w:rsid w:val="46206466"/>
    <w:rsid w:val="4622744D"/>
    <w:rsid w:val="46230E40"/>
    <w:rsid w:val="4628723D"/>
    <w:rsid w:val="462C02CC"/>
    <w:rsid w:val="462C0608"/>
    <w:rsid w:val="462C7B1B"/>
    <w:rsid w:val="462D194E"/>
    <w:rsid w:val="462D5FE1"/>
    <w:rsid w:val="462F04B2"/>
    <w:rsid w:val="463407A6"/>
    <w:rsid w:val="46357180"/>
    <w:rsid w:val="463926E5"/>
    <w:rsid w:val="46426740"/>
    <w:rsid w:val="46454EEA"/>
    <w:rsid w:val="46475ACC"/>
    <w:rsid w:val="46496ED5"/>
    <w:rsid w:val="46497F38"/>
    <w:rsid w:val="464C6278"/>
    <w:rsid w:val="464C73FC"/>
    <w:rsid w:val="464E3D9E"/>
    <w:rsid w:val="465007C2"/>
    <w:rsid w:val="46537607"/>
    <w:rsid w:val="465A0995"/>
    <w:rsid w:val="46601042"/>
    <w:rsid w:val="46625096"/>
    <w:rsid w:val="466A1160"/>
    <w:rsid w:val="466A4950"/>
    <w:rsid w:val="466B15DF"/>
    <w:rsid w:val="466C2476"/>
    <w:rsid w:val="466D4E9C"/>
    <w:rsid w:val="467001B9"/>
    <w:rsid w:val="46701595"/>
    <w:rsid w:val="46710B63"/>
    <w:rsid w:val="46712183"/>
    <w:rsid w:val="46737CA9"/>
    <w:rsid w:val="467C5D24"/>
    <w:rsid w:val="467E3D73"/>
    <w:rsid w:val="467F16D4"/>
    <w:rsid w:val="467F61E9"/>
    <w:rsid w:val="46804174"/>
    <w:rsid w:val="46823EF6"/>
    <w:rsid w:val="46827EEC"/>
    <w:rsid w:val="46845A12"/>
    <w:rsid w:val="468925B0"/>
    <w:rsid w:val="468A085A"/>
    <w:rsid w:val="468C48C7"/>
    <w:rsid w:val="469065C6"/>
    <w:rsid w:val="46921AAD"/>
    <w:rsid w:val="46933EA7"/>
    <w:rsid w:val="46935C55"/>
    <w:rsid w:val="46957399"/>
    <w:rsid w:val="46991214"/>
    <w:rsid w:val="469A3487"/>
    <w:rsid w:val="469B2D5C"/>
    <w:rsid w:val="469D2F78"/>
    <w:rsid w:val="469E0C05"/>
    <w:rsid w:val="469F0A9E"/>
    <w:rsid w:val="469F333D"/>
    <w:rsid w:val="46A312F1"/>
    <w:rsid w:val="46A41C10"/>
    <w:rsid w:val="46A47E62"/>
    <w:rsid w:val="46A936CA"/>
    <w:rsid w:val="46AE7B45"/>
    <w:rsid w:val="46B126E9"/>
    <w:rsid w:val="46B226AF"/>
    <w:rsid w:val="46B22E54"/>
    <w:rsid w:val="46B26ACF"/>
    <w:rsid w:val="46B300A5"/>
    <w:rsid w:val="46BA22B1"/>
    <w:rsid w:val="46BB569A"/>
    <w:rsid w:val="46BC73D6"/>
    <w:rsid w:val="46BE6B5C"/>
    <w:rsid w:val="46BF019C"/>
    <w:rsid w:val="46BF2EEE"/>
    <w:rsid w:val="46C36B78"/>
    <w:rsid w:val="46C416D4"/>
    <w:rsid w:val="46C459CB"/>
    <w:rsid w:val="46C6602A"/>
    <w:rsid w:val="46C87590"/>
    <w:rsid w:val="46CA5237"/>
    <w:rsid w:val="46CA7307"/>
    <w:rsid w:val="46CB0ACF"/>
    <w:rsid w:val="46CB2736"/>
    <w:rsid w:val="46CB2B7D"/>
    <w:rsid w:val="46CC41E6"/>
    <w:rsid w:val="46CE4EDF"/>
    <w:rsid w:val="46CF04EF"/>
    <w:rsid w:val="46CF0D21"/>
    <w:rsid w:val="46D20DB1"/>
    <w:rsid w:val="46D34AC2"/>
    <w:rsid w:val="46D40810"/>
    <w:rsid w:val="46D544C0"/>
    <w:rsid w:val="46D64180"/>
    <w:rsid w:val="46D851D9"/>
    <w:rsid w:val="46DA7D28"/>
    <w:rsid w:val="46DB0D8E"/>
    <w:rsid w:val="46DB16D8"/>
    <w:rsid w:val="46DC57FC"/>
    <w:rsid w:val="46DD3374"/>
    <w:rsid w:val="46DE49F4"/>
    <w:rsid w:val="46E06372"/>
    <w:rsid w:val="46E110B6"/>
    <w:rsid w:val="46E11AEF"/>
    <w:rsid w:val="46E36B23"/>
    <w:rsid w:val="46EC2DE4"/>
    <w:rsid w:val="46EE732F"/>
    <w:rsid w:val="46F030A7"/>
    <w:rsid w:val="46F221FE"/>
    <w:rsid w:val="46F5246C"/>
    <w:rsid w:val="46F64597"/>
    <w:rsid w:val="46F76E5A"/>
    <w:rsid w:val="46F862D9"/>
    <w:rsid w:val="46FB7DC6"/>
    <w:rsid w:val="46FD7572"/>
    <w:rsid w:val="46FE5315"/>
    <w:rsid w:val="46FF778E"/>
    <w:rsid w:val="47013507"/>
    <w:rsid w:val="470152B5"/>
    <w:rsid w:val="47025EAF"/>
    <w:rsid w:val="47040901"/>
    <w:rsid w:val="47053186"/>
    <w:rsid w:val="470628CB"/>
    <w:rsid w:val="47067E2F"/>
    <w:rsid w:val="4707219F"/>
    <w:rsid w:val="47136D96"/>
    <w:rsid w:val="47150D60"/>
    <w:rsid w:val="4715415A"/>
    <w:rsid w:val="4715762B"/>
    <w:rsid w:val="47186B04"/>
    <w:rsid w:val="471A1ED2"/>
    <w:rsid w:val="471C6572"/>
    <w:rsid w:val="471C7BBC"/>
    <w:rsid w:val="4721085E"/>
    <w:rsid w:val="472262A2"/>
    <w:rsid w:val="47240FA3"/>
    <w:rsid w:val="47257C78"/>
    <w:rsid w:val="47270B60"/>
    <w:rsid w:val="472D4832"/>
    <w:rsid w:val="472F5E25"/>
    <w:rsid w:val="473016F6"/>
    <w:rsid w:val="47376E54"/>
    <w:rsid w:val="473A2575"/>
    <w:rsid w:val="473C453F"/>
    <w:rsid w:val="473D3E13"/>
    <w:rsid w:val="47461488"/>
    <w:rsid w:val="474653BD"/>
    <w:rsid w:val="4746716B"/>
    <w:rsid w:val="4747159B"/>
    <w:rsid w:val="47480EF6"/>
    <w:rsid w:val="47492709"/>
    <w:rsid w:val="474927B8"/>
    <w:rsid w:val="474D22A8"/>
    <w:rsid w:val="474E29A2"/>
    <w:rsid w:val="474E3665"/>
    <w:rsid w:val="474F4272"/>
    <w:rsid w:val="47520785"/>
    <w:rsid w:val="475278BE"/>
    <w:rsid w:val="47527A52"/>
    <w:rsid w:val="4753410B"/>
    <w:rsid w:val="4755115C"/>
    <w:rsid w:val="47571378"/>
    <w:rsid w:val="475817F3"/>
    <w:rsid w:val="475871CF"/>
    <w:rsid w:val="475A6773"/>
    <w:rsid w:val="475F022D"/>
    <w:rsid w:val="475F1FDB"/>
    <w:rsid w:val="47605D7C"/>
    <w:rsid w:val="4760647F"/>
    <w:rsid w:val="47615D53"/>
    <w:rsid w:val="4763153D"/>
    <w:rsid w:val="47637D1D"/>
    <w:rsid w:val="476475F1"/>
    <w:rsid w:val="47662D3D"/>
    <w:rsid w:val="4766336A"/>
    <w:rsid w:val="47685216"/>
    <w:rsid w:val="476870E2"/>
    <w:rsid w:val="476937DB"/>
    <w:rsid w:val="476A2E5A"/>
    <w:rsid w:val="476E4BC8"/>
    <w:rsid w:val="47700ADD"/>
    <w:rsid w:val="47730DD5"/>
    <w:rsid w:val="47781D39"/>
    <w:rsid w:val="477912EF"/>
    <w:rsid w:val="477A0BC3"/>
    <w:rsid w:val="477A32C7"/>
    <w:rsid w:val="477A5DC2"/>
    <w:rsid w:val="477A65FA"/>
    <w:rsid w:val="477B46DA"/>
    <w:rsid w:val="477C3E4E"/>
    <w:rsid w:val="47841A42"/>
    <w:rsid w:val="47897465"/>
    <w:rsid w:val="47944677"/>
    <w:rsid w:val="47953C4F"/>
    <w:rsid w:val="47961EA1"/>
    <w:rsid w:val="479667B8"/>
    <w:rsid w:val="47975C19"/>
    <w:rsid w:val="479906AB"/>
    <w:rsid w:val="47992A50"/>
    <w:rsid w:val="479954ED"/>
    <w:rsid w:val="479B3DFD"/>
    <w:rsid w:val="479B740B"/>
    <w:rsid w:val="479F1057"/>
    <w:rsid w:val="47A0687C"/>
    <w:rsid w:val="47AA76FA"/>
    <w:rsid w:val="47AB4709"/>
    <w:rsid w:val="47AD0D2F"/>
    <w:rsid w:val="47AD4418"/>
    <w:rsid w:val="47AE3E11"/>
    <w:rsid w:val="47B16CDB"/>
    <w:rsid w:val="47B36F9E"/>
    <w:rsid w:val="47B510B6"/>
    <w:rsid w:val="47B93F9E"/>
    <w:rsid w:val="47BA3A44"/>
    <w:rsid w:val="47BD052D"/>
    <w:rsid w:val="47BD5887"/>
    <w:rsid w:val="47BE4F54"/>
    <w:rsid w:val="47C22C96"/>
    <w:rsid w:val="47C6205A"/>
    <w:rsid w:val="47C94BC8"/>
    <w:rsid w:val="47CB0DA4"/>
    <w:rsid w:val="47CF0C30"/>
    <w:rsid w:val="47CF53B3"/>
    <w:rsid w:val="47D37310"/>
    <w:rsid w:val="47D5010B"/>
    <w:rsid w:val="47D639F7"/>
    <w:rsid w:val="47D71DD0"/>
    <w:rsid w:val="47DB4F0C"/>
    <w:rsid w:val="47DB5B06"/>
    <w:rsid w:val="47DC187E"/>
    <w:rsid w:val="47DC26DD"/>
    <w:rsid w:val="47DC362C"/>
    <w:rsid w:val="47DD0C80"/>
    <w:rsid w:val="47DE79FD"/>
    <w:rsid w:val="47E04D61"/>
    <w:rsid w:val="47E1141E"/>
    <w:rsid w:val="47E36B3D"/>
    <w:rsid w:val="47E744AA"/>
    <w:rsid w:val="47ED75E7"/>
    <w:rsid w:val="47EE7652"/>
    <w:rsid w:val="47F34A67"/>
    <w:rsid w:val="47F60B91"/>
    <w:rsid w:val="47F81FF6"/>
    <w:rsid w:val="47FC2C37"/>
    <w:rsid w:val="47FF3F08"/>
    <w:rsid w:val="4800556C"/>
    <w:rsid w:val="48025917"/>
    <w:rsid w:val="48074B4D"/>
    <w:rsid w:val="48075845"/>
    <w:rsid w:val="480845E4"/>
    <w:rsid w:val="4809126A"/>
    <w:rsid w:val="480B2EED"/>
    <w:rsid w:val="480E695D"/>
    <w:rsid w:val="48150D81"/>
    <w:rsid w:val="481600B7"/>
    <w:rsid w:val="48164D90"/>
    <w:rsid w:val="48180B08"/>
    <w:rsid w:val="48183D4F"/>
    <w:rsid w:val="48185E64"/>
    <w:rsid w:val="481C3744"/>
    <w:rsid w:val="481C4BF5"/>
    <w:rsid w:val="481C5974"/>
    <w:rsid w:val="481F6EB1"/>
    <w:rsid w:val="482148DC"/>
    <w:rsid w:val="4823125B"/>
    <w:rsid w:val="48284AC3"/>
    <w:rsid w:val="482B6732"/>
    <w:rsid w:val="482C45B3"/>
    <w:rsid w:val="482E032B"/>
    <w:rsid w:val="483030DC"/>
    <w:rsid w:val="48307293"/>
    <w:rsid w:val="48315726"/>
    <w:rsid w:val="483345F6"/>
    <w:rsid w:val="48335942"/>
    <w:rsid w:val="4834166A"/>
    <w:rsid w:val="48344EE2"/>
    <w:rsid w:val="48346314"/>
    <w:rsid w:val="483511E4"/>
    <w:rsid w:val="4835670A"/>
    <w:rsid w:val="48360235"/>
    <w:rsid w:val="48382F58"/>
    <w:rsid w:val="48384D06"/>
    <w:rsid w:val="483E19A4"/>
    <w:rsid w:val="483F35F8"/>
    <w:rsid w:val="48450ECF"/>
    <w:rsid w:val="484543F4"/>
    <w:rsid w:val="48471035"/>
    <w:rsid w:val="484713ED"/>
    <w:rsid w:val="48476B6B"/>
    <w:rsid w:val="484A6384"/>
    <w:rsid w:val="484B6C09"/>
    <w:rsid w:val="484C234A"/>
    <w:rsid w:val="484C4BC1"/>
    <w:rsid w:val="484E756F"/>
    <w:rsid w:val="48517B76"/>
    <w:rsid w:val="4852627F"/>
    <w:rsid w:val="485350A5"/>
    <w:rsid w:val="48537D92"/>
    <w:rsid w:val="48540955"/>
    <w:rsid w:val="48541414"/>
    <w:rsid w:val="485A64A4"/>
    <w:rsid w:val="485B6C46"/>
    <w:rsid w:val="485D628D"/>
    <w:rsid w:val="486378A9"/>
    <w:rsid w:val="4869397E"/>
    <w:rsid w:val="486A14B7"/>
    <w:rsid w:val="486A50DB"/>
    <w:rsid w:val="486B21F5"/>
    <w:rsid w:val="486E07F1"/>
    <w:rsid w:val="487223B8"/>
    <w:rsid w:val="48723963"/>
    <w:rsid w:val="48733219"/>
    <w:rsid w:val="48733760"/>
    <w:rsid w:val="48735221"/>
    <w:rsid w:val="48741AB6"/>
    <w:rsid w:val="487717BB"/>
    <w:rsid w:val="48797898"/>
    <w:rsid w:val="487B004A"/>
    <w:rsid w:val="487E1A2A"/>
    <w:rsid w:val="48802209"/>
    <w:rsid w:val="48811B60"/>
    <w:rsid w:val="4881611D"/>
    <w:rsid w:val="48822425"/>
    <w:rsid w:val="48831CF9"/>
    <w:rsid w:val="48847F4B"/>
    <w:rsid w:val="48873598"/>
    <w:rsid w:val="48886C9D"/>
    <w:rsid w:val="488A01D1"/>
    <w:rsid w:val="488D51D7"/>
    <w:rsid w:val="489108BA"/>
    <w:rsid w:val="48912668"/>
    <w:rsid w:val="4892663F"/>
    <w:rsid w:val="489910AE"/>
    <w:rsid w:val="489B7854"/>
    <w:rsid w:val="489D4717"/>
    <w:rsid w:val="48A43E3F"/>
    <w:rsid w:val="48A46285"/>
    <w:rsid w:val="48A50254"/>
    <w:rsid w:val="48A65A04"/>
    <w:rsid w:val="48A75157"/>
    <w:rsid w:val="48A759E8"/>
    <w:rsid w:val="48A77E4E"/>
    <w:rsid w:val="48A81B41"/>
    <w:rsid w:val="48A958A3"/>
    <w:rsid w:val="48A95C04"/>
    <w:rsid w:val="48AA7D8C"/>
    <w:rsid w:val="48AC74A2"/>
    <w:rsid w:val="48AD0AEC"/>
    <w:rsid w:val="48AE2CE2"/>
    <w:rsid w:val="48AE321A"/>
    <w:rsid w:val="48AF2AEE"/>
    <w:rsid w:val="48B02634"/>
    <w:rsid w:val="48B041A1"/>
    <w:rsid w:val="48B30830"/>
    <w:rsid w:val="48B97815"/>
    <w:rsid w:val="48BB7B71"/>
    <w:rsid w:val="48BE121E"/>
    <w:rsid w:val="48C0592F"/>
    <w:rsid w:val="48C22822"/>
    <w:rsid w:val="48C37CC6"/>
    <w:rsid w:val="48C42A3E"/>
    <w:rsid w:val="48C540C0"/>
    <w:rsid w:val="48C67CFF"/>
    <w:rsid w:val="48C742DC"/>
    <w:rsid w:val="48CA7928"/>
    <w:rsid w:val="48CB19D8"/>
    <w:rsid w:val="48CC36A0"/>
    <w:rsid w:val="48CC544E"/>
    <w:rsid w:val="48CE566A"/>
    <w:rsid w:val="48CF1315"/>
    <w:rsid w:val="48CF72A4"/>
    <w:rsid w:val="48D507A7"/>
    <w:rsid w:val="48D54A38"/>
    <w:rsid w:val="48D5616D"/>
    <w:rsid w:val="48D60A31"/>
    <w:rsid w:val="48D82045"/>
    <w:rsid w:val="48D87184"/>
    <w:rsid w:val="48DA1EFB"/>
    <w:rsid w:val="48DB7923"/>
    <w:rsid w:val="48DD58AD"/>
    <w:rsid w:val="48DF31C5"/>
    <w:rsid w:val="48E00765"/>
    <w:rsid w:val="48E1714C"/>
    <w:rsid w:val="48E24C72"/>
    <w:rsid w:val="48E37AF1"/>
    <w:rsid w:val="48E41870"/>
    <w:rsid w:val="48E421E1"/>
    <w:rsid w:val="48E50FBC"/>
    <w:rsid w:val="48E56510"/>
    <w:rsid w:val="48E61B02"/>
    <w:rsid w:val="48ED4A6E"/>
    <w:rsid w:val="48EE6F7C"/>
    <w:rsid w:val="48F055E1"/>
    <w:rsid w:val="48F21359"/>
    <w:rsid w:val="48F475D7"/>
    <w:rsid w:val="48F57EE9"/>
    <w:rsid w:val="48F831D7"/>
    <w:rsid w:val="48FD5EAB"/>
    <w:rsid w:val="48FD5F50"/>
    <w:rsid w:val="48FD7CFE"/>
    <w:rsid w:val="48FE759E"/>
    <w:rsid w:val="49040CE6"/>
    <w:rsid w:val="49043516"/>
    <w:rsid w:val="490573DD"/>
    <w:rsid w:val="490578C5"/>
    <w:rsid w:val="490728D0"/>
    <w:rsid w:val="490914A5"/>
    <w:rsid w:val="490948F4"/>
    <w:rsid w:val="490C0E8F"/>
    <w:rsid w:val="490D0A8C"/>
    <w:rsid w:val="490D6395"/>
    <w:rsid w:val="49106150"/>
    <w:rsid w:val="49127459"/>
    <w:rsid w:val="491419E7"/>
    <w:rsid w:val="4916491B"/>
    <w:rsid w:val="491B0746"/>
    <w:rsid w:val="491B29FA"/>
    <w:rsid w:val="491F7C74"/>
    <w:rsid w:val="4922495D"/>
    <w:rsid w:val="49244F9A"/>
    <w:rsid w:val="49245BC9"/>
    <w:rsid w:val="49246916"/>
    <w:rsid w:val="49250212"/>
    <w:rsid w:val="49262DB0"/>
    <w:rsid w:val="492A57CC"/>
    <w:rsid w:val="492A5FB3"/>
    <w:rsid w:val="492B486B"/>
    <w:rsid w:val="492D05D5"/>
    <w:rsid w:val="492D44B2"/>
    <w:rsid w:val="493019DF"/>
    <w:rsid w:val="4930507A"/>
    <w:rsid w:val="4930720A"/>
    <w:rsid w:val="49321F09"/>
    <w:rsid w:val="493229C7"/>
    <w:rsid w:val="493406AD"/>
    <w:rsid w:val="49347AA6"/>
    <w:rsid w:val="49357497"/>
    <w:rsid w:val="49373210"/>
    <w:rsid w:val="493748C6"/>
    <w:rsid w:val="49403DC3"/>
    <w:rsid w:val="49427EF5"/>
    <w:rsid w:val="4943019B"/>
    <w:rsid w:val="49485096"/>
    <w:rsid w:val="494C3A1F"/>
    <w:rsid w:val="494D64AE"/>
    <w:rsid w:val="494D658F"/>
    <w:rsid w:val="4951041B"/>
    <w:rsid w:val="49541FCB"/>
    <w:rsid w:val="49543DC1"/>
    <w:rsid w:val="4955379A"/>
    <w:rsid w:val="49555444"/>
    <w:rsid w:val="49575660"/>
    <w:rsid w:val="495B14C0"/>
    <w:rsid w:val="495F4514"/>
    <w:rsid w:val="49605C0F"/>
    <w:rsid w:val="4961203A"/>
    <w:rsid w:val="496438D9"/>
    <w:rsid w:val="49656374"/>
    <w:rsid w:val="49657AEE"/>
    <w:rsid w:val="49697141"/>
    <w:rsid w:val="496C0EBC"/>
    <w:rsid w:val="49703F35"/>
    <w:rsid w:val="497428E0"/>
    <w:rsid w:val="49746D0E"/>
    <w:rsid w:val="49747070"/>
    <w:rsid w:val="49787384"/>
    <w:rsid w:val="497958CA"/>
    <w:rsid w:val="49797E8D"/>
    <w:rsid w:val="497A412F"/>
    <w:rsid w:val="497B436D"/>
    <w:rsid w:val="497C50C6"/>
    <w:rsid w:val="497D499A"/>
    <w:rsid w:val="497E0E3E"/>
    <w:rsid w:val="497E7B8C"/>
    <w:rsid w:val="498126DD"/>
    <w:rsid w:val="4984683D"/>
    <w:rsid w:val="49877D73"/>
    <w:rsid w:val="498875C7"/>
    <w:rsid w:val="49892687"/>
    <w:rsid w:val="498A77E3"/>
    <w:rsid w:val="498B66EB"/>
    <w:rsid w:val="49922D9C"/>
    <w:rsid w:val="4992752B"/>
    <w:rsid w:val="49931030"/>
    <w:rsid w:val="49931E77"/>
    <w:rsid w:val="49950C2D"/>
    <w:rsid w:val="49955F1C"/>
    <w:rsid w:val="49975A5C"/>
    <w:rsid w:val="499917D4"/>
    <w:rsid w:val="499A72FA"/>
    <w:rsid w:val="499F2B63"/>
    <w:rsid w:val="49A078B6"/>
    <w:rsid w:val="49A6662D"/>
    <w:rsid w:val="49AB1508"/>
    <w:rsid w:val="49AB775A"/>
    <w:rsid w:val="49AC0771"/>
    <w:rsid w:val="49AD702E"/>
    <w:rsid w:val="49AE1A9E"/>
    <w:rsid w:val="49B11DF7"/>
    <w:rsid w:val="49B20AE8"/>
    <w:rsid w:val="49B21A92"/>
    <w:rsid w:val="49B223A7"/>
    <w:rsid w:val="49B22896"/>
    <w:rsid w:val="49B30506"/>
    <w:rsid w:val="49B5351D"/>
    <w:rsid w:val="49B54961"/>
    <w:rsid w:val="49B85ECC"/>
    <w:rsid w:val="49BB5116"/>
    <w:rsid w:val="49BC7539"/>
    <w:rsid w:val="49BE2F12"/>
    <w:rsid w:val="49C01457"/>
    <w:rsid w:val="49C05CFB"/>
    <w:rsid w:val="49C92417"/>
    <w:rsid w:val="49CD52A6"/>
    <w:rsid w:val="49CF51F6"/>
    <w:rsid w:val="49D03C8F"/>
    <w:rsid w:val="49D5086A"/>
    <w:rsid w:val="49D97E23"/>
    <w:rsid w:val="49DA3B9B"/>
    <w:rsid w:val="49DB6D62"/>
    <w:rsid w:val="49E1317B"/>
    <w:rsid w:val="49E17C68"/>
    <w:rsid w:val="49E54A1A"/>
    <w:rsid w:val="49E73E6F"/>
    <w:rsid w:val="49E760C4"/>
    <w:rsid w:val="49E8275C"/>
    <w:rsid w:val="49E8450A"/>
    <w:rsid w:val="49E862B8"/>
    <w:rsid w:val="49EA0D06"/>
    <w:rsid w:val="49ED6B8C"/>
    <w:rsid w:val="49F06CE5"/>
    <w:rsid w:val="49F11610"/>
    <w:rsid w:val="49F300C0"/>
    <w:rsid w:val="49F42EAF"/>
    <w:rsid w:val="49F55A72"/>
    <w:rsid w:val="49F66C27"/>
    <w:rsid w:val="49F70C07"/>
    <w:rsid w:val="49F7474D"/>
    <w:rsid w:val="49F8735E"/>
    <w:rsid w:val="49FB6051"/>
    <w:rsid w:val="49FC1D63"/>
    <w:rsid w:val="49FE5ADB"/>
    <w:rsid w:val="4A004102"/>
    <w:rsid w:val="4A02277B"/>
    <w:rsid w:val="4A033F56"/>
    <w:rsid w:val="4A0373CB"/>
    <w:rsid w:val="4A0767C9"/>
    <w:rsid w:val="4A0A26D2"/>
    <w:rsid w:val="4A0A47ED"/>
    <w:rsid w:val="4A0B481C"/>
    <w:rsid w:val="4A0E2F55"/>
    <w:rsid w:val="4A0E4855"/>
    <w:rsid w:val="4A0F0E22"/>
    <w:rsid w:val="4A113A61"/>
    <w:rsid w:val="4A15007E"/>
    <w:rsid w:val="4A192915"/>
    <w:rsid w:val="4A19580F"/>
    <w:rsid w:val="4A1C57D0"/>
    <w:rsid w:val="4A1E5809"/>
    <w:rsid w:val="4A1E7F2C"/>
    <w:rsid w:val="4A201EF6"/>
    <w:rsid w:val="4A205994"/>
    <w:rsid w:val="4A231699"/>
    <w:rsid w:val="4A2319E6"/>
    <w:rsid w:val="4A260756"/>
    <w:rsid w:val="4A275032"/>
    <w:rsid w:val="4A284AD2"/>
    <w:rsid w:val="4A2A2D74"/>
    <w:rsid w:val="4A2A4D04"/>
    <w:rsid w:val="4A2A68D0"/>
    <w:rsid w:val="4A2D7076"/>
    <w:rsid w:val="4A2E0EFD"/>
    <w:rsid w:val="4A2F2139"/>
    <w:rsid w:val="4A314103"/>
    <w:rsid w:val="4A315EB1"/>
    <w:rsid w:val="4A361719"/>
    <w:rsid w:val="4A376CA7"/>
    <w:rsid w:val="4A3B288C"/>
    <w:rsid w:val="4A3E0B36"/>
    <w:rsid w:val="4A3E33FC"/>
    <w:rsid w:val="4A4243F0"/>
    <w:rsid w:val="4A442959"/>
    <w:rsid w:val="4A49144C"/>
    <w:rsid w:val="4A497872"/>
    <w:rsid w:val="4A4C6847"/>
    <w:rsid w:val="4A4D25BF"/>
    <w:rsid w:val="4A4F27DB"/>
    <w:rsid w:val="4A537B51"/>
    <w:rsid w:val="4A55077D"/>
    <w:rsid w:val="4A55393D"/>
    <w:rsid w:val="4A5B01D4"/>
    <w:rsid w:val="4A5C2D72"/>
    <w:rsid w:val="4A5C6BD6"/>
    <w:rsid w:val="4A611A0D"/>
    <w:rsid w:val="4A616F54"/>
    <w:rsid w:val="4A62606A"/>
    <w:rsid w:val="4A635BBB"/>
    <w:rsid w:val="4A6506BC"/>
    <w:rsid w:val="4A655B5A"/>
    <w:rsid w:val="4A661E52"/>
    <w:rsid w:val="4A6A1012"/>
    <w:rsid w:val="4A6E17F6"/>
    <w:rsid w:val="4A6E3520"/>
    <w:rsid w:val="4A6F69D9"/>
    <w:rsid w:val="4A712751"/>
    <w:rsid w:val="4A722025"/>
    <w:rsid w:val="4A751874"/>
    <w:rsid w:val="4A761CD2"/>
    <w:rsid w:val="4A7F459D"/>
    <w:rsid w:val="4A800BE6"/>
    <w:rsid w:val="4A8474F2"/>
    <w:rsid w:val="4A855E9D"/>
    <w:rsid w:val="4A8650D8"/>
    <w:rsid w:val="4A8652C7"/>
    <w:rsid w:val="4A893E18"/>
    <w:rsid w:val="4A8A0944"/>
    <w:rsid w:val="4A8C30E7"/>
    <w:rsid w:val="4A902A90"/>
    <w:rsid w:val="4A930919"/>
    <w:rsid w:val="4A96082F"/>
    <w:rsid w:val="4A972463"/>
    <w:rsid w:val="4A981026"/>
    <w:rsid w:val="4A99339B"/>
    <w:rsid w:val="4A9E2E1A"/>
    <w:rsid w:val="4AA03036"/>
    <w:rsid w:val="4AA2166F"/>
    <w:rsid w:val="4AA30431"/>
    <w:rsid w:val="4AA6339F"/>
    <w:rsid w:val="4AA93C99"/>
    <w:rsid w:val="4AA96C35"/>
    <w:rsid w:val="4AAD70AD"/>
    <w:rsid w:val="4AAD7E38"/>
    <w:rsid w:val="4AAE5D91"/>
    <w:rsid w:val="4AAE7501"/>
    <w:rsid w:val="4AAF6848"/>
    <w:rsid w:val="4AB20AD4"/>
    <w:rsid w:val="4AB71F6F"/>
    <w:rsid w:val="4AB97C54"/>
    <w:rsid w:val="4ABA40F8"/>
    <w:rsid w:val="4ABB6956"/>
    <w:rsid w:val="4AC00C0A"/>
    <w:rsid w:val="4AC4160D"/>
    <w:rsid w:val="4AC42C10"/>
    <w:rsid w:val="4ACA1E61"/>
    <w:rsid w:val="4ACC63ED"/>
    <w:rsid w:val="4ACD4510"/>
    <w:rsid w:val="4AD11442"/>
    <w:rsid w:val="4AD342B0"/>
    <w:rsid w:val="4AD40FF8"/>
    <w:rsid w:val="4AD63F03"/>
    <w:rsid w:val="4AD73E31"/>
    <w:rsid w:val="4AD827D0"/>
    <w:rsid w:val="4AD8632C"/>
    <w:rsid w:val="4ADA02F6"/>
    <w:rsid w:val="4ADD3943"/>
    <w:rsid w:val="4ADE4A0E"/>
    <w:rsid w:val="4ADF1EF7"/>
    <w:rsid w:val="4ADF3B5F"/>
    <w:rsid w:val="4AE040FD"/>
    <w:rsid w:val="4AE178D7"/>
    <w:rsid w:val="4AE64EED"/>
    <w:rsid w:val="4AE72B77"/>
    <w:rsid w:val="4AE85538"/>
    <w:rsid w:val="4AE9483F"/>
    <w:rsid w:val="4AEA6060"/>
    <w:rsid w:val="4AEE78FE"/>
    <w:rsid w:val="4AEF4DBF"/>
    <w:rsid w:val="4AF01898"/>
    <w:rsid w:val="4AF018C8"/>
    <w:rsid w:val="4AF13892"/>
    <w:rsid w:val="4AF55130"/>
    <w:rsid w:val="4AF56EDE"/>
    <w:rsid w:val="4AF90575"/>
    <w:rsid w:val="4AFA30AF"/>
    <w:rsid w:val="4AFF0E09"/>
    <w:rsid w:val="4B0A6414"/>
    <w:rsid w:val="4B0B4954"/>
    <w:rsid w:val="4B0C5FD6"/>
    <w:rsid w:val="4B0D3774"/>
    <w:rsid w:val="4B103D18"/>
    <w:rsid w:val="4B105AC6"/>
    <w:rsid w:val="4B115B10"/>
    <w:rsid w:val="4B136631"/>
    <w:rsid w:val="4B14354E"/>
    <w:rsid w:val="4B153E87"/>
    <w:rsid w:val="4B1749B8"/>
    <w:rsid w:val="4B18624F"/>
    <w:rsid w:val="4B1B26BD"/>
    <w:rsid w:val="4B1D4AF2"/>
    <w:rsid w:val="4B1E14E5"/>
    <w:rsid w:val="4B217CD3"/>
    <w:rsid w:val="4B223CBB"/>
    <w:rsid w:val="4B2249E3"/>
    <w:rsid w:val="4B246132"/>
    <w:rsid w:val="4B2652EA"/>
    <w:rsid w:val="4B272E10"/>
    <w:rsid w:val="4B2772B4"/>
    <w:rsid w:val="4B2B6DA4"/>
    <w:rsid w:val="4B313C8F"/>
    <w:rsid w:val="4B321EE0"/>
    <w:rsid w:val="4B3416C3"/>
    <w:rsid w:val="4B3612A5"/>
    <w:rsid w:val="4B3645C6"/>
    <w:rsid w:val="4B38326F"/>
    <w:rsid w:val="4B3B21CE"/>
    <w:rsid w:val="4B3D13E7"/>
    <w:rsid w:val="4B3E2391"/>
    <w:rsid w:val="4B3E33A3"/>
    <w:rsid w:val="4B3E3D5C"/>
    <w:rsid w:val="4B413ED2"/>
    <w:rsid w:val="4B416D52"/>
    <w:rsid w:val="4B4340EE"/>
    <w:rsid w:val="4B447E66"/>
    <w:rsid w:val="4B46598C"/>
    <w:rsid w:val="4B4778B5"/>
    <w:rsid w:val="4B4A363C"/>
    <w:rsid w:val="4B4A42B2"/>
    <w:rsid w:val="4B4B0812"/>
    <w:rsid w:val="4B4B2FA2"/>
    <w:rsid w:val="4B4D6447"/>
    <w:rsid w:val="4B4D6D1A"/>
    <w:rsid w:val="4B4F70F1"/>
    <w:rsid w:val="4B5146DF"/>
    <w:rsid w:val="4B533C05"/>
    <w:rsid w:val="4B555BCF"/>
    <w:rsid w:val="4B55797D"/>
    <w:rsid w:val="4B5A4F93"/>
    <w:rsid w:val="4B5C2F33"/>
    <w:rsid w:val="4B5C6F5D"/>
    <w:rsid w:val="4B6127C6"/>
    <w:rsid w:val="4B616322"/>
    <w:rsid w:val="4B644064"/>
    <w:rsid w:val="4B6533E5"/>
    <w:rsid w:val="4B6E4198"/>
    <w:rsid w:val="4B702A09"/>
    <w:rsid w:val="4B771FE9"/>
    <w:rsid w:val="4B777F07"/>
    <w:rsid w:val="4B7A0498"/>
    <w:rsid w:val="4B7A5635"/>
    <w:rsid w:val="4B7B7ABD"/>
    <w:rsid w:val="4B7E5126"/>
    <w:rsid w:val="4B8021F4"/>
    <w:rsid w:val="4B80657A"/>
    <w:rsid w:val="4B810772"/>
    <w:rsid w:val="4B81458B"/>
    <w:rsid w:val="4B857541"/>
    <w:rsid w:val="4B870ABA"/>
    <w:rsid w:val="4B8718EF"/>
    <w:rsid w:val="4B88716E"/>
    <w:rsid w:val="4B8A4A14"/>
    <w:rsid w:val="4B8A66E8"/>
    <w:rsid w:val="4B8C48CE"/>
    <w:rsid w:val="4B8D35BB"/>
    <w:rsid w:val="4B8D5E0E"/>
    <w:rsid w:val="4B8D7117"/>
    <w:rsid w:val="4B8E10E1"/>
    <w:rsid w:val="4B8E2E8F"/>
    <w:rsid w:val="4B8E5887"/>
    <w:rsid w:val="4B910C94"/>
    <w:rsid w:val="4B954859"/>
    <w:rsid w:val="4B966387"/>
    <w:rsid w:val="4B991F60"/>
    <w:rsid w:val="4B9A1834"/>
    <w:rsid w:val="4B9A1D67"/>
    <w:rsid w:val="4B9C0C72"/>
    <w:rsid w:val="4B9E1324"/>
    <w:rsid w:val="4B9E1376"/>
    <w:rsid w:val="4BA12BC2"/>
    <w:rsid w:val="4BA313A4"/>
    <w:rsid w:val="4BA34B8C"/>
    <w:rsid w:val="4BA428E2"/>
    <w:rsid w:val="4BA57CD7"/>
    <w:rsid w:val="4BA96658"/>
    <w:rsid w:val="4BA97CC9"/>
    <w:rsid w:val="4BAF1B66"/>
    <w:rsid w:val="4BB225EC"/>
    <w:rsid w:val="4BB23021"/>
    <w:rsid w:val="4BB24DCF"/>
    <w:rsid w:val="4BB5041C"/>
    <w:rsid w:val="4BB5666E"/>
    <w:rsid w:val="4BB9615E"/>
    <w:rsid w:val="4BBA6D50"/>
    <w:rsid w:val="4BBE19C6"/>
    <w:rsid w:val="4BBE4203"/>
    <w:rsid w:val="4BBF74EC"/>
    <w:rsid w:val="4BC0573E"/>
    <w:rsid w:val="4BC10D44"/>
    <w:rsid w:val="4BC27856"/>
    <w:rsid w:val="4BC423A1"/>
    <w:rsid w:val="4BC4544F"/>
    <w:rsid w:val="4BC55D72"/>
    <w:rsid w:val="4BC6087B"/>
    <w:rsid w:val="4BC85132"/>
    <w:rsid w:val="4BC8683E"/>
    <w:rsid w:val="4BC92119"/>
    <w:rsid w:val="4BCB7DF7"/>
    <w:rsid w:val="4BCD2D1C"/>
    <w:rsid w:val="4BCD70A5"/>
    <w:rsid w:val="4BD016F9"/>
    <w:rsid w:val="4BD20D42"/>
    <w:rsid w:val="4BD8136C"/>
    <w:rsid w:val="4BDA046A"/>
    <w:rsid w:val="4BDB2578"/>
    <w:rsid w:val="4BDE13C6"/>
    <w:rsid w:val="4BE0377F"/>
    <w:rsid w:val="4BE3142D"/>
    <w:rsid w:val="4BE64A79"/>
    <w:rsid w:val="4BE735CB"/>
    <w:rsid w:val="4BE91452"/>
    <w:rsid w:val="4BEA2D10"/>
    <w:rsid w:val="4BEB53DF"/>
    <w:rsid w:val="4BEE392E"/>
    <w:rsid w:val="4BEE39C2"/>
    <w:rsid w:val="4BF003E4"/>
    <w:rsid w:val="4BF2440C"/>
    <w:rsid w:val="4BF278C2"/>
    <w:rsid w:val="4BF70A34"/>
    <w:rsid w:val="4BF947AC"/>
    <w:rsid w:val="4BFA6215"/>
    <w:rsid w:val="4BFC104D"/>
    <w:rsid w:val="4BFD25C2"/>
    <w:rsid w:val="4BFE6C99"/>
    <w:rsid w:val="4BFF7B34"/>
    <w:rsid w:val="4C0373D9"/>
    <w:rsid w:val="4C06511B"/>
    <w:rsid w:val="4C09775A"/>
    <w:rsid w:val="4C0B44E0"/>
    <w:rsid w:val="4C0D0258"/>
    <w:rsid w:val="4C0E3C40"/>
    <w:rsid w:val="4C0F2222"/>
    <w:rsid w:val="4C0F7BAF"/>
    <w:rsid w:val="4C125F1F"/>
    <w:rsid w:val="4C1412C1"/>
    <w:rsid w:val="4C147838"/>
    <w:rsid w:val="4C171F86"/>
    <w:rsid w:val="4C1E7CDB"/>
    <w:rsid w:val="4C20442F"/>
    <w:rsid w:val="4C215AB1"/>
    <w:rsid w:val="4C2537F3"/>
    <w:rsid w:val="4C2A2BB8"/>
    <w:rsid w:val="4C2F5374"/>
    <w:rsid w:val="4C312198"/>
    <w:rsid w:val="4C327CBE"/>
    <w:rsid w:val="4C3337D0"/>
    <w:rsid w:val="4C33502F"/>
    <w:rsid w:val="4C3677AE"/>
    <w:rsid w:val="4C371778"/>
    <w:rsid w:val="4C371999"/>
    <w:rsid w:val="4C387642"/>
    <w:rsid w:val="4C387AEA"/>
    <w:rsid w:val="4C392213"/>
    <w:rsid w:val="4C3A08C9"/>
    <w:rsid w:val="4C3A6B73"/>
    <w:rsid w:val="4C3C0B3D"/>
    <w:rsid w:val="4C3D6774"/>
    <w:rsid w:val="4C417685"/>
    <w:rsid w:val="4C431ECB"/>
    <w:rsid w:val="4C476F70"/>
    <w:rsid w:val="4C485F1B"/>
    <w:rsid w:val="4C4B352D"/>
    <w:rsid w:val="4C4C1691"/>
    <w:rsid w:val="4C4D2D4A"/>
    <w:rsid w:val="4C4D3E7A"/>
    <w:rsid w:val="4C4D4AF8"/>
    <w:rsid w:val="4C4F595E"/>
    <w:rsid w:val="4C5206C4"/>
    <w:rsid w:val="4C52210E"/>
    <w:rsid w:val="4C545E87"/>
    <w:rsid w:val="4C59524B"/>
    <w:rsid w:val="4C5B7215"/>
    <w:rsid w:val="4C5E7286"/>
    <w:rsid w:val="4C60482B"/>
    <w:rsid w:val="4C625A50"/>
    <w:rsid w:val="4C63634D"/>
    <w:rsid w:val="4C641089"/>
    <w:rsid w:val="4C653BF0"/>
    <w:rsid w:val="4C6806A5"/>
    <w:rsid w:val="4C6B44EF"/>
    <w:rsid w:val="4C6B4F7E"/>
    <w:rsid w:val="4C6C7ECF"/>
    <w:rsid w:val="4C6D6F48"/>
    <w:rsid w:val="4C7064F4"/>
    <w:rsid w:val="4C716172"/>
    <w:rsid w:val="4C746529"/>
    <w:rsid w:val="4C7520E3"/>
    <w:rsid w:val="4C777CB3"/>
    <w:rsid w:val="4C78226C"/>
    <w:rsid w:val="4C783226"/>
    <w:rsid w:val="4C7A07C6"/>
    <w:rsid w:val="4C7A1154"/>
    <w:rsid w:val="4C7B1D9D"/>
    <w:rsid w:val="4C7B3413"/>
    <w:rsid w:val="4C7D46E2"/>
    <w:rsid w:val="4C80138B"/>
    <w:rsid w:val="4C804ECE"/>
    <w:rsid w:val="4C82424C"/>
    <w:rsid w:val="4C83051A"/>
    <w:rsid w:val="4C863A34"/>
    <w:rsid w:val="4C8A0650"/>
    <w:rsid w:val="4C8D46B6"/>
    <w:rsid w:val="4C910E89"/>
    <w:rsid w:val="4C942727"/>
    <w:rsid w:val="4C9444D5"/>
    <w:rsid w:val="4C9741A5"/>
    <w:rsid w:val="4C975D73"/>
    <w:rsid w:val="4C9A6F81"/>
    <w:rsid w:val="4C9E3238"/>
    <w:rsid w:val="4CA010CC"/>
    <w:rsid w:val="4CA3296A"/>
    <w:rsid w:val="4CA420F5"/>
    <w:rsid w:val="4CA51F51"/>
    <w:rsid w:val="4CA611D9"/>
    <w:rsid w:val="4CAC6ACB"/>
    <w:rsid w:val="4CAE37E9"/>
    <w:rsid w:val="4CAF130F"/>
    <w:rsid w:val="4CAF2982"/>
    <w:rsid w:val="4CB117C9"/>
    <w:rsid w:val="4CB23CB8"/>
    <w:rsid w:val="4CB42A0B"/>
    <w:rsid w:val="4CB6269D"/>
    <w:rsid w:val="4CB84667"/>
    <w:rsid w:val="4CB908CB"/>
    <w:rsid w:val="4CBD7ED0"/>
    <w:rsid w:val="4CBF121A"/>
    <w:rsid w:val="4CC10E1A"/>
    <w:rsid w:val="4CC27294"/>
    <w:rsid w:val="4CC50B32"/>
    <w:rsid w:val="4CC547E7"/>
    <w:rsid w:val="4CC56D84"/>
    <w:rsid w:val="4CC73F63"/>
    <w:rsid w:val="4CC90623"/>
    <w:rsid w:val="4CC96874"/>
    <w:rsid w:val="4CCA439B"/>
    <w:rsid w:val="4CCE3E8B"/>
    <w:rsid w:val="4CCE5C39"/>
    <w:rsid w:val="4CD11285"/>
    <w:rsid w:val="4CD15729"/>
    <w:rsid w:val="4CD501EC"/>
    <w:rsid w:val="4CDB6211"/>
    <w:rsid w:val="4CDF7E46"/>
    <w:rsid w:val="4CE0771A"/>
    <w:rsid w:val="4CE74F4D"/>
    <w:rsid w:val="4CE75794"/>
    <w:rsid w:val="4CEF13AF"/>
    <w:rsid w:val="4CF16737"/>
    <w:rsid w:val="4CF268AF"/>
    <w:rsid w:val="4CF3615A"/>
    <w:rsid w:val="4CF5232D"/>
    <w:rsid w:val="4CF65190"/>
    <w:rsid w:val="4CF94D77"/>
    <w:rsid w:val="4CFA7B99"/>
    <w:rsid w:val="4D013D4F"/>
    <w:rsid w:val="4D0167AD"/>
    <w:rsid w:val="4D0258E3"/>
    <w:rsid w:val="4D045566"/>
    <w:rsid w:val="4D063625"/>
    <w:rsid w:val="4D073BBC"/>
    <w:rsid w:val="4D083ED2"/>
    <w:rsid w:val="4D0876F0"/>
    <w:rsid w:val="4D090A1F"/>
    <w:rsid w:val="4D0A29E9"/>
    <w:rsid w:val="4D0D09B0"/>
    <w:rsid w:val="4D0D6339"/>
    <w:rsid w:val="4D0E2492"/>
    <w:rsid w:val="4D0E2672"/>
    <w:rsid w:val="4D0E533F"/>
    <w:rsid w:val="4D1B2345"/>
    <w:rsid w:val="4D1C122D"/>
    <w:rsid w:val="4D1D13EE"/>
    <w:rsid w:val="4D1D44CA"/>
    <w:rsid w:val="4D1F3CE7"/>
    <w:rsid w:val="4D1F4014"/>
    <w:rsid w:val="4D200FBF"/>
    <w:rsid w:val="4D203FBB"/>
    <w:rsid w:val="4D2569FD"/>
    <w:rsid w:val="4D2770F7"/>
    <w:rsid w:val="4D2E2B7B"/>
    <w:rsid w:val="4D2F2216"/>
    <w:rsid w:val="4D2F32F9"/>
    <w:rsid w:val="4D301993"/>
    <w:rsid w:val="4D302450"/>
    <w:rsid w:val="4D323E79"/>
    <w:rsid w:val="4D357A66"/>
    <w:rsid w:val="4D395995"/>
    <w:rsid w:val="4D39745F"/>
    <w:rsid w:val="4D397B3D"/>
    <w:rsid w:val="4D3C0862"/>
    <w:rsid w:val="4D3C0FE2"/>
    <w:rsid w:val="4D3C7046"/>
    <w:rsid w:val="4D3D4B6D"/>
    <w:rsid w:val="4D4003B9"/>
    <w:rsid w:val="4D422183"/>
    <w:rsid w:val="4D43247E"/>
    <w:rsid w:val="4D435B12"/>
    <w:rsid w:val="4D44414D"/>
    <w:rsid w:val="4D4554E5"/>
    <w:rsid w:val="4D485A54"/>
    <w:rsid w:val="4D4952BF"/>
    <w:rsid w:val="4D4C3002"/>
    <w:rsid w:val="4D4C4DB0"/>
    <w:rsid w:val="4D4E01F5"/>
    <w:rsid w:val="4D4F5BD4"/>
    <w:rsid w:val="4D4F6AB4"/>
    <w:rsid w:val="4D502AF2"/>
    <w:rsid w:val="4D5048A0"/>
    <w:rsid w:val="4D50664E"/>
    <w:rsid w:val="4D5464AD"/>
    <w:rsid w:val="4D5819A6"/>
    <w:rsid w:val="4D583754"/>
    <w:rsid w:val="4D5944BC"/>
    <w:rsid w:val="4D5F4AE3"/>
    <w:rsid w:val="4D5F6AE9"/>
    <w:rsid w:val="4D626381"/>
    <w:rsid w:val="4D640F8B"/>
    <w:rsid w:val="4D686F99"/>
    <w:rsid w:val="4D6B4ADD"/>
    <w:rsid w:val="4D6D36A4"/>
    <w:rsid w:val="4D6E5660"/>
    <w:rsid w:val="4D6F4121"/>
    <w:rsid w:val="4D704F42"/>
    <w:rsid w:val="4D7560B4"/>
    <w:rsid w:val="4D77007F"/>
    <w:rsid w:val="4D785BA5"/>
    <w:rsid w:val="4D7944F3"/>
    <w:rsid w:val="4D7A3108"/>
    <w:rsid w:val="4D7D140D"/>
    <w:rsid w:val="4D7E7A1E"/>
    <w:rsid w:val="4D82232A"/>
    <w:rsid w:val="4D82490B"/>
    <w:rsid w:val="4D8409A5"/>
    <w:rsid w:val="4D856846"/>
    <w:rsid w:val="4D8642EC"/>
    <w:rsid w:val="4D8C494F"/>
    <w:rsid w:val="4D8F4544"/>
    <w:rsid w:val="4D924EB8"/>
    <w:rsid w:val="4D926C66"/>
    <w:rsid w:val="4D96571F"/>
    <w:rsid w:val="4D986247"/>
    <w:rsid w:val="4D9920A0"/>
    <w:rsid w:val="4D9E5719"/>
    <w:rsid w:val="4D9F1383"/>
    <w:rsid w:val="4DA31AA6"/>
    <w:rsid w:val="4DA70238"/>
    <w:rsid w:val="4DA93BFE"/>
    <w:rsid w:val="4DAA036C"/>
    <w:rsid w:val="4DAA6ABC"/>
    <w:rsid w:val="4DAB7D28"/>
    <w:rsid w:val="4DAE48E5"/>
    <w:rsid w:val="4DB20B35"/>
    <w:rsid w:val="4DB365C4"/>
    <w:rsid w:val="4DBC3CE3"/>
    <w:rsid w:val="4DBE234F"/>
    <w:rsid w:val="4DBE3EFF"/>
    <w:rsid w:val="4DBF0CFF"/>
    <w:rsid w:val="4DC05AFE"/>
    <w:rsid w:val="4DC06A27"/>
    <w:rsid w:val="4DC40DEA"/>
    <w:rsid w:val="4DC53C6D"/>
    <w:rsid w:val="4DC67CB4"/>
    <w:rsid w:val="4DC719D3"/>
    <w:rsid w:val="4DC808DA"/>
    <w:rsid w:val="4DC82688"/>
    <w:rsid w:val="4DCA7100"/>
    <w:rsid w:val="4DCD4142"/>
    <w:rsid w:val="4DCF77DC"/>
    <w:rsid w:val="4DCF7EBB"/>
    <w:rsid w:val="4DD145CE"/>
    <w:rsid w:val="4DD46F36"/>
    <w:rsid w:val="4DD63866"/>
    <w:rsid w:val="4DDB3D16"/>
    <w:rsid w:val="4DDC7A4F"/>
    <w:rsid w:val="4DDD3C5A"/>
    <w:rsid w:val="4DDF5C24"/>
    <w:rsid w:val="4DE35714"/>
    <w:rsid w:val="4DE81FCA"/>
    <w:rsid w:val="4DEC0901"/>
    <w:rsid w:val="4DED00EE"/>
    <w:rsid w:val="4DED4962"/>
    <w:rsid w:val="4DF06083"/>
    <w:rsid w:val="4DF06B51"/>
    <w:rsid w:val="4DF14773"/>
    <w:rsid w:val="4DF27F38"/>
    <w:rsid w:val="4DF55447"/>
    <w:rsid w:val="4DF56C3C"/>
    <w:rsid w:val="4DF56CB9"/>
    <w:rsid w:val="4DF91A9A"/>
    <w:rsid w:val="4DFA2A5E"/>
    <w:rsid w:val="4DFB007D"/>
    <w:rsid w:val="4DFE42FC"/>
    <w:rsid w:val="4E014268"/>
    <w:rsid w:val="4E015B9A"/>
    <w:rsid w:val="4E064079"/>
    <w:rsid w:val="4E08517B"/>
    <w:rsid w:val="4E0B590A"/>
    <w:rsid w:val="4E0D344B"/>
    <w:rsid w:val="4E0E225C"/>
    <w:rsid w:val="4E102281"/>
    <w:rsid w:val="4E12253F"/>
    <w:rsid w:val="4E142EFC"/>
    <w:rsid w:val="4E144F69"/>
    <w:rsid w:val="4E183E2D"/>
    <w:rsid w:val="4E1866CD"/>
    <w:rsid w:val="4E192EE4"/>
    <w:rsid w:val="4E1C0C26"/>
    <w:rsid w:val="4E1E46DF"/>
    <w:rsid w:val="4E1F4272"/>
    <w:rsid w:val="4E200716"/>
    <w:rsid w:val="4E2118E3"/>
    <w:rsid w:val="4E2236E9"/>
    <w:rsid w:val="4E2323A9"/>
    <w:rsid w:val="4E24395A"/>
    <w:rsid w:val="4E263853"/>
    <w:rsid w:val="4E263F14"/>
    <w:rsid w:val="4E265601"/>
    <w:rsid w:val="4E2C7AD7"/>
    <w:rsid w:val="4E2D698F"/>
    <w:rsid w:val="4E2D7658"/>
    <w:rsid w:val="4E2F1075"/>
    <w:rsid w:val="4E3025B8"/>
    <w:rsid w:val="4E33542C"/>
    <w:rsid w:val="4E375A60"/>
    <w:rsid w:val="4E3A3F02"/>
    <w:rsid w:val="4E3C2035"/>
    <w:rsid w:val="4E3C4E24"/>
    <w:rsid w:val="4E3C5889"/>
    <w:rsid w:val="4E3D4BDE"/>
    <w:rsid w:val="4E3F66C2"/>
    <w:rsid w:val="4E4011FA"/>
    <w:rsid w:val="4E406E7E"/>
    <w:rsid w:val="4E4212F9"/>
    <w:rsid w:val="4E446BEC"/>
    <w:rsid w:val="4E45017D"/>
    <w:rsid w:val="4E452B36"/>
    <w:rsid w:val="4E473EF5"/>
    <w:rsid w:val="4E473EFA"/>
    <w:rsid w:val="4E483B90"/>
    <w:rsid w:val="4E492CF4"/>
    <w:rsid w:val="4E49427D"/>
    <w:rsid w:val="4E4F507E"/>
    <w:rsid w:val="4E4F6905"/>
    <w:rsid w:val="4E5122DE"/>
    <w:rsid w:val="4E522680"/>
    <w:rsid w:val="4E523C5F"/>
    <w:rsid w:val="4E5448C2"/>
    <w:rsid w:val="4E546612"/>
    <w:rsid w:val="4E564138"/>
    <w:rsid w:val="4E577EB0"/>
    <w:rsid w:val="4E5945A0"/>
    <w:rsid w:val="4E5C54C6"/>
    <w:rsid w:val="4E5D22CA"/>
    <w:rsid w:val="4E61488B"/>
    <w:rsid w:val="4E633605"/>
    <w:rsid w:val="4E656129"/>
    <w:rsid w:val="4E657333"/>
    <w:rsid w:val="4E683E6B"/>
    <w:rsid w:val="4E6879C7"/>
    <w:rsid w:val="4E694A05"/>
    <w:rsid w:val="4E6A1991"/>
    <w:rsid w:val="4E6B0CA3"/>
    <w:rsid w:val="4E6D1482"/>
    <w:rsid w:val="4E6D5990"/>
    <w:rsid w:val="4E6E7743"/>
    <w:rsid w:val="4E6E7AF1"/>
    <w:rsid w:val="4E730CEB"/>
    <w:rsid w:val="4E737D96"/>
    <w:rsid w:val="4E74636C"/>
    <w:rsid w:val="4E7520E4"/>
    <w:rsid w:val="4E775E5C"/>
    <w:rsid w:val="4E797E26"/>
    <w:rsid w:val="4E7B76FB"/>
    <w:rsid w:val="4E7E2FA7"/>
    <w:rsid w:val="4E7E457F"/>
    <w:rsid w:val="4E7E71EB"/>
    <w:rsid w:val="4E7F41BE"/>
    <w:rsid w:val="4E7F7A2B"/>
    <w:rsid w:val="4E8140CC"/>
    <w:rsid w:val="4E817046"/>
    <w:rsid w:val="4E817B3B"/>
    <w:rsid w:val="4E831AA1"/>
    <w:rsid w:val="4E850579"/>
    <w:rsid w:val="4E8A5C0A"/>
    <w:rsid w:val="4E8D6872"/>
    <w:rsid w:val="4E915170"/>
    <w:rsid w:val="4E937642"/>
    <w:rsid w:val="4E9904C8"/>
    <w:rsid w:val="4E994A8B"/>
    <w:rsid w:val="4E9C3B15"/>
    <w:rsid w:val="4E9C58C3"/>
    <w:rsid w:val="4E9E163B"/>
    <w:rsid w:val="4EA56E6D"/>
    <w:rsid w:val="4EA77955"/>
    <w:rsid w:val="4EA84268"/>
    <w:rsid w:val="4EA95366"/>
    <w:rsid w:val="4EAC61EE"/>
    <w:rsid w:val="4EB046C9"/>
    <w:rsid w:val="4EB10BF2"/>
    <w:rsid w:val="4EB175C0"/>
    <w:rsid w:val="4EB41622"/>
    <w:rsid w:val="4EB81D95"/>
    <w:rsid w:val="4EB86BA1"/>
    <w:rsid w:val="4EB946C7"/>
    <w:rsid w:val="4EBB043F"/>
    <w:rsid w:val="4EBC08AB"/>
    <w:rsid w:val="4EBC50B2"/>
    <w:rsid w:val="4EBE57C1"/>
    <w:rsid w:val="4EBF6FC0"/>
    <w:rsid w:val="4EC70B92"/>
    <w:rsid w:val="4EC76CD6"/>
    <w:rsid w:val="4ECA5384"/>
    <w:rsid w:val="4ECB7628"/>
    <w:rsid w:val="4ECC264C"/>
    <w:rsid w:val="4ECC7F56"/>
    <w:rsid w:val="4ED03843"/>
    <w:rsid w:val="4ED27A93"/>
    <w:rsid w:val="4ED35788"/>
    <w:rsid w:val="4ED80FF1"/>
    <w:rsid w:val="4EDB38C2"/>
    <w:rsid w:val="4EE31744"/>
    <w:rsid w:val="4EE41C2E"/>
    <w:rsid w:val="4EE47DCC"/>
    <w:rsid w:val="4EE56854"/>
    <w:rsid w:val="4EE80B08"/>
    <w:rsid w:val="4EE94FAC"/>
    <w:rsid w:val="4EEB1730"/>
    <w:rsid w:val="4EED611E"/>
    <w:rsid w:val="4EEE2C78"/>
    <w:rsid w:val="4EEF29C5"/>
    <w:rsid w:val="4EEF2AEC"/>
    <w:rsid w:val="4EF253F4"/>
    <w:rsid w:val="4EF43951"/>
    <w:rsid w:val="4EF46AC5"/>
    <w:rsid w:val="4EF54069"/>
    <w:rsid w:val="4EF70D4B"/>
    <w:rsid w:val="4EF855C4"/>
    <w:rsid w:val="4EFA4C91"/>
    <w:rsid w:val="4EFB4CDF"/>
    <w:rsid w:val="4EFF657E"/>
    <w:rsid w:val="4F007EAE"/>
    <w:rsid w:val="4F032C15"/>
    <w:rsid w:val="4F035942"/>
    <w:rsid w:val="4F053468"/>
    <w:rsid w:val="4F0B69B3"/>
    <w:rsid w:val="4F0C0C9A"/>
    <w:rsid w:val="4F1011B8"/>
    <w:rsid w:val="4F1162B1"/>
    <w:rsid w:val="4F133DD7"/>
    <w:rsid w:val="4F163CA8"/>
    <w:rsid w:val="4F18018F"/>
    <w:rsid w:val="4F18319B"/>
    <w:rsid w:val="4F1A0BCA"/>
    <w:rsid w:val="4F1B0F29"/>
    <w:rsid w:val="4F1B22DD"/>
    <w:rsid w:val="4F1D43F5"/>
    <w:rsid w:val="4F1D66A7"/>
    <w:rsid w:val="4F1D6A04"/>
    <w:rsid w:val="4F1E452A"/>
    <w:rsid w:val="4F1F09CE"/>
    <w:rsid w:val="4F1F1BB3"/>
    <w:rsid w:val="4F1F1D6E"/>
    <w:rsid w:val="4F2002A2"/>
    <w:rsid w:val="4F247A01"/>
    <w:rsid w:val="4F2622C8"/>
    <w:rsid w:val="4F2935FA"/>
    <w:rsid w:val="4F2A522D"/>
    <w:rsid w:val="4F2E6E63"/>
    <w:rsid w:val="4F302BDB"/>
    <w:rsid w:val="4F3039F0"/>
    <w:rsid w:val="4F304989"/>
    <w:rsid w:val="4F326E51"/>
    <w:rsid w:val="4F336227"/>
    <w:rsid w:val="4F337FD5"/>
    <w:rsid w:val="4F363F69"/>
    <w:rsid w:val="4F367AC5"/>
    <w:rsid w:val="4F391364"/>
    <w:rsid w:val="4F3D0C32"/>
    <w:rsid w:val="4F3D207A"/>
    <w:rsid w:val="4F3E2C3B"/>
    <w:rsid w:val="4F3E3F62"/>
    <w:rsid w:val="4F400944"/>
    <w:rsid w:val="4F465674"/>
    <w:rsid w:val="4F473291"/>
    <w:rsid w:val="4F483C48"/>
    <w:rsid w:val="4F493C9D"/>
    <w:rsid w:val="4F495972"/>
    <w:rsid w:val="4F4B5135"/>
    <w:rsid w:val="4F4B703E"/>
    <w:rsid w:val="4F4C0376"/>
    <w:rsid w:val="4F4F2935"/>
    <w:rsid w:val="4F524039"/>
    <w:rsid w:val="4F5440CA"/>
    <w:rsid w:val="4F572848"/>
    <w:rsid w:val="4F600731"/>
    <w:rsid w:val="4F610FE6"/>
    <w:rsid w:val="4F6463E1"/>
    <w:rsid w:val="4F662921"/>
    <w:rsid w:val="4F675ED1"/>
    <w:rsid w:val="4F6A4986"/>
    <w:rsid w:val="4F701229"/>
    <w:rsid w:val="4F7014DC"/>
    <w:rsid w:val="4F711F6A"/>
    <w:rsid w:val="4F716D4F"/>
    <w:rsid w:val="4F730EC8"/>
    <w:rsid w:val="4F753413"/>
    <w:rsid w:val="4F766114"/>
    <w:rsid w:val="4F77648C"/>
    <w:rsid w:val="4F7C1B1A"/>
    <w:rsid w:val="4F7F5B21"/>
    <w:rsid w:val="4F804496"/>
    <w:rsid w:val="4F820F5D"/>
    <w:rsid w:val="4F836FD1"/>
    <w:rsid w:val="4F844CD5"/>
    <w:rsid w:val="4F8934A9"/>
    <w:rsid w:val="4F8C3B89"/>
    <w:rsid w:val="4F900B7F"/>
    <w:rsid w:val="4F903326"/>
    <w:rsid w:val="4F9273F2"/>
    <w:rsid w:val="4F950EBB"/>
    <w:rsid w:val="4F9842DC"/>
    <w:rsid w:val="4F99618D"/>
    <w:rsid w:val="4F997578"/>
    <w:rsid w:val="4F9B193E"/>
    <w:rsid w:val="4F9D18F3"/>
    <w:rsid w:val="4F9D3758"/>
    <w:rsid w:val="4F9D7B44"/>
    <w:rsid w:val="4FA0013C"/>
    <w:rsid w:val="4FA02CAA"/>
    <w:rsid w:val="4FA132CF"/>
    <w:rsid w:val="4FA345C1"/>
    <w:rsid w:val="4FA42C81"/>
    <w:rsid w:val="4FA44D58"/>
    <w:rsid w:val="4FA96F84"/>
    <w:rsid w:val="4FAA2F8C"/>
    <w:rsid w:val="4FAD5FDA"/>
    <w:rsid w:val="4FB10580"/>
    <w:rsid w:val="4FB1618B"/>
    <w:rsid w:val="4FB508A2"/>
    <w:rsid w:val="4FB73EC3"/>
    <w:rsid w:val="4FBA3692"/>
    <w:rsid w:val="4FBC5368"/>
    <w:rsid w:val="4FBC621D"/>
    <w:rsid w:val="4FBF7ABB"/>
    <w:rsid w:val="4FC21359"/>
    <w:rsid w:val="4FC85E97"/>
    <w:rsid w:val="4FCC21D8"/>
    <w:rsid w:val="4FCF4FD5"/>
    <w:rsid w:val="4FD04B03"/>
    <w:rsid w:val="4FD572DE"/>
    <w:rsid w:val="4FD86DCF"/>
    <w:rsid w:val="4FD9301A"/>
    <w:rsid w:val="4FDC039B"/>
    <w:rsid w:val="4FDC066D"/>
    <w:rsid w:val="4FDC0F3A"/>
    <w:rsid w:val="4FDE2637"/>
    <w:rsid w:val="4FE05C03"/>
    <w:rsid w:val="4FE07EF4"/>
    <w:rsid w:val="4FE14544"/>
    <w:rsid w:val="4FE23418"/>
    <w:rsid w:val="4FE42CB3"/>
    <w:rsid w:val="4FE519FD"/>
    <w:rsid w:val="4FE85264"/>
    <w:rsid w:val="4FE90FDC"/>
    <w:rsid w:val="4FEB55DF"/>
    <w:rsid w:val="4FEC2D98"/>
    <w:rsid w:val="4FEC7304"/>
    <w:rsid w:val="4FEE0289"/>
    <w:rsid w:val="4FF538C7"/>
    <w:rsid w:val="4FFA6972"/>
    <w:rsid w:val="4FFC0D0F"/>
    <w:rsid w:val="50025F99"/>
    <w:rsid w:val="5006094E"/>
    <w:rsid w:val="500656EA"/>
    <w:rsid w:val="50087E63"/>
    <w:rsid w:val="500B2D00"/>
    <w:rsid w:val="500B3467"/>
    <w:rsid w:val="50106DEA"/>
    <w:rsid w:val="50151DD1"/>
    <w:rsid w:val="501871CB"/>
    <w:rsid w:val="5019322A"/>
    <w:rsid w:val="501B0BF9"/>
    <w:rsid w:val="501B2AF4"/>
    <w:rsid w:val="501D41D1"/>
    <w:rsid w:val="501F49FD"/>
    <w:rsid w:val="501F67AB"/>
    <w:rsid w:val="502119D7"/>
    <w:rsid w:val="50261D02"/>
    <w:rsid w:val="5027378C"/>
    <w:rsid w:val="502927D3"/>
    <w:rsid w:val="502A2F41"/>
    <w:rsid w:val="502B5150"/>
    <w:rsid w:val="502C429D"/>
    <w:rsid w:val="502F4C40"/>
    <w:rsid w:val="5030409D"/>
    <w:rsid w:val="50305C54"/>
    <w:rsid w:val="50306C0B"/>
    <w:rsid w:val="503264DF"/>
    <w:rsid w:val="50345083"/>
    <w:rsid w:val="503A57CF"/>
    <w:rsid w:val="503C735D"/>
    <w:rsid w:val="503D4370"/>
    <w:rsid w:val="503D7827"/>
    <w:rsid w:val="503D7CE1"/>
    <w:rsid w:val="50441085"/>
    <w:rsid w:val="50454950"/>
    <w:rsid w:val="50461F8A"/>
    <w:rsid w:val="504A026B"/>
    <w:rsid w:val="504B134F"/>
    <w:rsid w:val="504B4C44"/>
    <w:rsid w:val="504E04C9"/>
    <w:rsid w:val="504E3D68"/>
    <w:rsid w:val="505226DD"/>
    <w:rsid w:val="505577BA"/>
    <w:rsid w:val="505627B7"/>
    <w:rsid w:val="505C355C"/>
    <w:rsid w:val="5060547B"/>
    <w:rsid w:val="506209C1"/>
    <w:rsid w:val="50632B3C"/>
    <w:rsid w:val="50633B2E"/>
    <w:rsid w:val="5064466C"/>
    <w:rsid w:val="50646F2B"/>
    <w:rsid w:val="506504B3"/>
    <w:rsid w:val="50681F00"/>
    <w:rsid w:val="506D2A43"/>
    <w:rsid w:val="50744D49"/>
    <w:rsid w:val="50773085"/>
    <w:rsid w:val="507B4850"/>
    <w:rsid w:val="507B7E86"/>
    <w:rsid w:val="507C1E50"/>
    <w:rsid w:val="507E2F1B"/>
    <w:rsid w:val="5080549C"/>
    <w:rsid w:val="508060C6"/>
    <w:rsid w:val="508155BD"/>
    <w:rsid w:val="5083041F"/>
    <w:rsid w:val="50851ACC"/>
    <w:rsid w:val="5086334A"/>
    <w:rsid w:val="508832E7"/>
    <w:rsid w:val="508A631B"/>
    <w:rsid w:val="508C26B5"/>
    <w:rsid w:val="508D7BB9"/>
    <w:rsid w:val="508F3931"/>
    <w:rsid w:val="509176A9"/>
    <w:rsid w:val="509863B3"/>
    <w:rsid w:val="50992F99"/>
    <w:rsid w:val="50994209"/>
    <w:rsid w:val="509B4084"/>
    <w:rsid w:val="50A215E3"/>
    <w:rsid w:val="50A54F03"/>
    <w:rsid w:val="50A82768"/>
    <w:rsid w:val="50A849F3"/>
    <w:rsid w:val="50AA42C7"/>
    <w:rsid w:val="50AB4B1E"/>
    <w:rsid w:val="50AD3DB7"/>
    <w:rsid w:val="50AF77E0"/>
    <w:rsid w:val="50AF7B2F"/>
    <w:rsid w:val="50B25A0C"/>
    <w:rsid w:val="50B45146"/>
    <w:rsid w:val="50B52C6C"/>
    <w:rsid w:val="50B71C0F"/>
    <w:rsid w:val="50B85236"/>
    <w:rsid w:val="50B92BAF"/>
    <w:rsid w:val="50B97E16"/>
    <w:rsid w:val="50BB2978"/>
    <w:rsid w:val="50BD74A1"/>
    <w:rsid w:val="50BF7BA8"/>
    <w:rsid w:val="50C517F7"/>
    <w:rsid w:val="50C72E4E"/>
    <w:rsid w:val="50D41344"/>
    <w:rsid w:val="50D443A1"/>
    <w:rsid w:val="50D61560"/>
    <w:rsid w:val="50D75ACA"/>
    <w:rsid w:val="50D864E5"/>
    <w:rsid w:val="50DA4382"/>
    <w:rsid w:val="50DC6D1C"/>
    <w:rsid w:val="50DD3A1B"/>
    <w:rsid w:val="50DE21C3"/>
    <w:rsid w:val="50E07759"/>
    <w:rsid w:val="50E37D12"/>
    <w:rsid w:val="50E44E3D"/>
    <w:rsid w:val="50E574AC"/>
    <w:rsid w:val="50E71E6E"/>
    <w:rsid w:val="50E96732"/>
    <w:rsid w:val="50E9727C"/>
    <w:rsid w:val="50EC48E0"/>
    <w:rsid w:val="50EF3D93"/>
    <w:rsid w:val="50EF617E"/>
    <w:rsid w:val="50F1639A"/>
    <w:rsid w:val="50F22121"/>
    <w:rsid w:val="50F41C84"/>
    <w:rsid w:val="50F446D7"/>
    <w:rsid w:val="50F500CA"/>
    <w:rsid w:val="50F63D63"/>
    <w:rsid w:val="50F762D8"/>
    <w:rsid w:val="50F814D6"/>
    <w:rsid w:val="50F81B2C"/>
    <w:rsid w:val="50F81E49"/>
    <w:rsid w:val="50FC0A64"/>
    <w:rsid w:val="50FD3F8F"/>
    <w:rsid w:val="5100038B"/>
    <w:rsid w:val="51035061"/>
    <w:rsid w:val="510A1155"/>
    <w:rsid w:val="510B1CAA"/>
    <w:rsid w:val="510C6D30"/>
    <w:rsid w:val="510D601B"/>
    <w:rsid w:val="51114346"/>
    <w:rsid w:val="51126EF4"/>
    <w:rsid w:val="51136F13"/>
    <w:rsid w:val="51142088"/>
    <w:rsid w:val="51161E5F"/>
    <w:rsid w:val="511655C9"/>
    <w:rsid w:val="51165E00"/>
    <w:rsid w:val="511801D6"/>
    <w:rsid w:val="511A45B7"/>
    <w:rsid w:val="511B23A3"/>
    <w:rsid w:val="511B51C5"/>
    <w:rsid w:val="511E4CB5"/>
    <w:rsid w:val="51204589"/>
    <w:rsid w:val="512103A7"/>
    <w:rsid w:val="51215792"/>
    <w:rsid w:val="51256D7C"/>
    <w:rsid w:val="5126559C"/>
    <w:rsid w:val="51271DBC"/>
    <w:rsid w:val="512B30F8"/>
    <w:rsid w:val="512E00ED"/>
    <w:rsid w:val="512E1315"/>
    <w:rsid w:val="512F2A1E"/>
    <w:rsid w:val="51303B3B"/>
    <w:rsid w:val="51330628"/>
    <w:rsid w:val="51340000"/>
    <w:rsid w:val="513536B2"/>
    <w:rsid w:val="51373825"/>
    <w:rsid w:val="513B5867"/>
    <w:rsid w:val="513D2BDF"/>
    <w:rsid w:val="513D7D87"/>
    <w:rsid w:val="513F7105"/>
    <w:rsid w:val="514040F2"/>
    <w:rsid w:val="51407A55"/>
    <w:rsid w:val="514C537E"/>
    <w:rsid w:val="514E7348"/>
    <w:rsid w:val="514F30C0"/>
    <w:rsid w:val="51556A29"/>
    <w:rsid w:val="515610BC"/>
    <w:rsid w:val="515B1A65"/>
    <w:rsid w:val="515D3A2F"/>
    <w:rsid w:val="515E4487"/>
    <w:rsid w:val="51600E2A"/>
    <w:rsid w:val="51650A30"/>
    <w:rsid w:val="51654E3E"/>
    <w:rsid w:val="51666312"/>
    <w:rsid w:val="5167040A"/>
    <w:rsid w:val="516721B8"/>
    <w:rsid w:val="51682617"/>
    <w:rsid w:val="516A1CA8"/>
    <w:rsid w:val="516E3547"/>
    <w:rsid w:val="51712AF7"/>
    <w:rsid w:val="51713037"/>
    <w:rsid w:val="51737E7E"/>
    <w:rsid w:val="517575D7"/>
    <w:rsid w:val="51764AF1"/>
    <w:rsid w:val="5176689F"/>
    <w:rsid w:val="51782617"/>
    <w:rsid w:val="51786173"/>
    <w:rsid w:val="517C07AF"/>
    <w:rsid w:val="517C3C73"/>
    <w:rsid w:val="517C782D"/>
    <w:rsid w:val="517D5E7F"/>
    <w:rsid w:val="517D7C2E"/>
    <w:rsid w:val="517F39A6"/>
    <w:rsid w:val="51801E8E"/>
    <w:rsid w:val="518035EC"/>
    <w:rsid w:val="518267FF"/>
    <w:rsid w:val="51826FF2"/>
    <w:rsid w:val="518274AB"/>
    <w:rsid w:val="518313B2"/>
    <w:rsid w:val="51841958"/>
    <w:rsid w:val="51851506"/>
    <w:rsid w:val="51861B4F"/>
    <w:rsid w:val="51871A69"/>
    <w:rsid w:val="518826CE"/>
    <w:rsid w:val="5188528E"/>
    <w:rsid w:val="518B7179"/>
    <w:rsid w:val="518F57D7"/>
    <w:rsid w:val="51917235"/>
    <w:rsid w:val="5194233C"/>
    <w:rsid w:val="51945803"/>
    <w:rsid w:val="519474A6"/>
    <w:rsid w:val="51962A9D"/>
    <w:rsid w:val="51964EF7"/>
    <w:rsid w:val="51984A67"/>
    <w:rsid w:val="519913E1"/>
    <w:rsid w:val="519A433C"/>
    <w:rsid w:val="519D6B66"/>
    <w:rsid w:val="519E3EF4"/>
    <w:rsid w:val="519F46B7"/>
    <w:rsid w:val="519F5DF6"/>
    <w:rsid w:val="51A02AF5"/>
    <w:rsid w:val="51A056CA"/>
    <w:rsid w:val="51A27694"/>
    <w:rsid w:val="51A3262E"/>
    <w:rsid w:val="51A46F68"/>
    <w:rsid w:val="51A61637"/>
    <w:rsid w:val="51A72EFC"/>
    <w:rsid w:val="51A76A58"/>
    <w:rsid w:val="51AA2703"/>
    <w:rsid w:val="51AB3D3B"/>
    <w:rsid w:val="51AD4F63"/>
    <w:rsid w:val="51AE6A5F"/>
    <w:rsid w:val="51AF6AF4"/>
    <w:rsid w:val="51B03B5F"/>
    <w:rsid w:val="51B11685"/>
    <w:rsid w:val="51B16972"/>
    <w:rsid w:val="51B25817"/>
    <w:rsid w:val="51B64EEE"/>
    <w:rsid w:val="51B66C9C"/>
    <w:rsid w:val="51BC3D81"/>
    <w:rsid w:val="51BD75E0"/>
    <w:rsid w:val="51BF1FF4"/>
    <w:rsid w:val="51C21AE4"/>
    <w:rsid w:val="51C25A72"/>
    <w:rsid w:val="51C31E9D"/>
    <w:rsid w:val="51C4334A"/>
    <w:rsid w:val="51C4585C"/>
    <w:rsid w:val="51C67EA2"/>
    <w:rsid w:val="51C770FB"/>
    <w:rsid w:val="51CB7241"/>
    <w:rsid w:val="51CD301B"/>
    <w:rsid w:val="51D04201"/>
    <w:rsid w:val="51D11BC4"/>
    <w:rsid w:val="51D32A1D"/>
    <w:rsid w:val="51D41817"/>
    <w:rsid w:val="51D51818"/>
    <w:rsid w:val="51D535C6"/>
    <w:rsid w:val="51D610EC"/>
    <w:rsid w:val="51D71B4D"/>
    <w:rsid w:val="51DC0629"/>
    <w:rsid w:val="51DE0918"/>
    <w:rsid w:val="51DF731B"/>
    <w:rsid w:val="51E05D47"/>
    <w:rsid w:val="51E540F1"/>
    <w:rsid w:val="51E655A8"/>
    <w:rsid w:val="51E67581"/>
    <w:rsid w:val="51E7154B"/>
    <w:rsid w:val="51E76284"/>
    <w:rsid w:val="51E91F80"/>
    <w:rsid w:val="51EC0F1C"/>
    <w:rsid w:val="51EC627D"/>
    <w:rsid w:val="51EE640D"/>
    <w:rsid w:val="51F85506"/>
    <w:rsid w:val="51F9669A"/>
    <w:rsid w:val="51FB0B52"/>
    <w:rsid w:val="51FD48CA"/>
    <w:rsid w:val="51FF279A"/>
    <w:rsid w:val="520420FD"/>
    <w:rsid w:val="52052274"/>
    <w:rsid w:val="52053FB3"/>
    <w:rsid w:val="52075749"/>
    <w:rsid w:val="520842C9"/>
    <w:rsid w:val="52094756"/>
    <w:rsid w:val="520B7076"/>
    <w:rsid w:val="520C2D5F"/>
    <w:rsid w:val="520D2FA9"/>
    <w:rsid w:val="520D5D9F"/>
    <w:rsid w:val="520E0CDF"/>
    <w:rsid w:val="520E4D2A"/>
    <w:rsid w:val="520F3BC8"/>
    <w:rsid w:val="520F496B"/>
    <w:rsid w:val="521045FE"/>
    <w:rsid w:val="52113017"/>
    <w:rsid w:val="52132340"/>
    <w:rsid w:val="52140F9F"/>
    <w:rsid w:val="52152CF9"/>
    <w:rsid w:val="52164189"/>
    <w:rsid w:val="52173BDE"/>
    <w:rsid w:val="521B7F22"/>
    <w:rsid w:val="521D0CAF"/>
    <w:rsid w:val="521F7CDF"/>
    <w:rsid w:val="522307D5"/>
    <w:rsid w:val="52244853"/>
    <w:rsid w:val="52264A2F"/>
    <w:rsid w:val="52271947"/>
    <w:rsid w:val="522A286E"/>
    <w:rsid w:val="522C627B"/>
    <w:rsid w:val="522D51B0"/>
    <w:rsid w:val="522E2CD6"/>
    <w:rsid w:val="522F03AC"/>
    <w:rsid w:val="52354064"/>
    <w:rsid w:val="52377DDC"/>
    <w:rsid w:val="523C4E5A"/>
    <w:rsid w:val="523C7075"/>
    <w:rsid w:val="523F3135"/>
    <w:rsid w:val="52416EAD"/>
    <w:rsid w:val="524340B6"/>
    <w:rsid w:val="524349D3"/>
    <w:rsid w:val="52450EF1"/>
    <w:rsid w:val="52464797"/>
    <w:rsid w:val="5248023B"/>
    <w:rsid w:val="52483D98"/>
    <w:rsid w:val="52497B10"/>
    <w:rsid w:val="524A3FB4"/>
    <w:rsid w:val="524B3888"/>
    <w:rsid w:val="524C3F4C"/>
    <w:rsid w:val="524F198C"/>
    <w:rsid w:val="52505342"/>
    <w:rsid w:val="52505D22"/>
    <w:rsid w:val="525210BA"/>
    <w:rsid w:val="525904E2"/>
    <w:rsid w:val="525D5AFB"/>
    <w:rsid w:val="52604658"/>
    <w:rsid w:val="526302BF"/>
    <w:rsid w:val="52636E23"/>
    <w:rsid w:val="52643333"/>
    <w:rsid w:val="5264494A"/>
    <w:rsid w:val="52645A0F"/>
    <w:rsid w:val="52694F24"/>
    <w:rsid w:val="526A6351"/>
    <w:rsid w:val="526E74EF"/>
    <w:rsid w:val="52781B98"/>
    <w:rsid w:val="527903F5"/>
    <w:rsid w:val="52791A19"/>
    <w:rsid w:val="52801545"/>
    <w:rsid w:val="52803148"/>
    <w:rsid w:val="52817309"/>
    <w:rsid w:val="52834D6E"/>
    <w:rsid w:val="52844FED"/>
    <w:rsid w:val="52847818"/>
    <w:rsid w:val="52854FEC"/>
    <w:rsid w:val="528648C0"/>
    <w:rsid w:val="528738D4"/>
    <w:rsid w:val="528836BD"/>
    <w:rsid w:val="528A1EF1"/>
    <w:rsid w:val="528D20F2"/>
    <w:rsid w:val="528F5E6A"/>
    <w:rsid w:val="52900EEF"/>
    <w:rsid w:val="52915806"/>
    <w:rsid w:val="52927709"/>
    <w:rsid w:val="52946FDD"/>
    <w:rsid w:val="529671F9"/>
    <w:rsid w:val="52972BF3"/>
    <w:rsid w:val="52972F6F"/>
    <w:rsid w:val="52976ACD"/>
    <w:rsid w:val="529B56EE"/>
    <w:rsid w:val="52A37C23"/>
    <w:rsid w:val="52A62DB4"/>
    <w:rsid w:val="52A805EC"/>
    <w:rsid w:val="52AD5E79"/>
    <w:rsid w:val="52AF5DEC"/>
    <w:rsid w:val="52B12A5B"/>
    <w:rsid w:val="52B20CE0"/>
    <w:rsid w:val="52B4767F"/>
    <w:rsid w:val="52B47A1D"/>
    <w:rsid w:val="52B53D55"/>
    <w:rsid w:val="52B94A71"/>
    <w:rsid w:val="52B95344"/>
    <w:rsid w:val="52B96A43"/>
    <w:rsid w:val="52BA48ED"/>
    <w:rsid w:val="52BB09F1"/>
    <w:rsid w:val="52BC29D7"/>
    <w:rsid w:val="52BD660C"/>
    <w:rsid w:val="52BF1218"/>
    <w:rsid w:val="52BF3484"/>
    <w:rsid w:val="52C558E1"/>
    <w:rsid w:val="52C66D78"/>
    <w:rsid w:val="52C673B2"/>
    <w:rsid w:val="52C90A90"/>
    <w:rsid w:val="52C93019"/>
    <w:rsid w:val="52CA08AE"/>
    <w:rsid w:val="52CA29FF"/>
    <w:rsid w:val="52CA7C1A"/>
    <w:rsid w:val="52CC1B65"/>
    <w:rsid w:val="52CD24EF"/>
    <w:rsid w:val="52CD6993"/>
    <w:rsid w:val="52D24646"/>
    <w:rsid w:val="52D27B05"/>
    <w:rsid w:val="52DB4AC5"/>
    <w:rsid w:val="52DC2732"/>
    <w:rsid w:val="52DD4E28"/>
    <w:rsid w:val="52E13B74"/>
    <w:rsid w:val="52E24B58"/>
    <w:rsid w:val="52E31D12"/>
    <w:rsid w:val="52E77A54"/>
    <w:rsid w:val="52E855BC"/>
    <w:rsid w:val="52E92BC3"/>
    <w:rsid w:val="52E971EF"/>
    <w:rsid w:val="52EC6E19"/>
    <w:rsid w:val="52ED493F"/>
    <w:rsid w:val="52F51DD1"/>
    <w:rsid w:val="52F56E59"/>
    <w:rsid w:val="52F60E0C"/>
    <w:rsid w:val="52FB705C"/>
    <w:rsid w:val="53000B16"/>
    <w:rsid w:val="5302663C"/>
    <w:rsid w:val="530408B4"/>
    <w:rsid w:val="5305231F"/>
    <w:rsid w:val="53052687"/>
    <w:rsid w:val="53065D23"/>
    <w:rsid w:val="530C3251"/>
    <w:rsid w:val="530F1103"/>
    <w:rsid w:val="530F6FAB"/>
    <w:rsid w:val="53113043"/>
    <w:rsid w:val="53155D3B"/>
    <w:rsid w:val="531706B1"/>
    <w:rsid w:val="53177C0E"/>
    <w:rsid w:val="53186622"/>
    <w:rsid w:val="531B5950"/>
    <w:rsid w:val="531E6830"/>
    <w:rsid w:val="532128AB"/>
    <w:rsid w:val="532371C9"/>
    <w:rsid w:val="532742F5"/>
    <w:rsid w:val="53291DEA"/>
    <w:rsid w:val="53303CFD"/>
    <w:rsid w:val="53334A48"/>
    <w:rsid w:val="5333713F"/>
    <w:rsid w:val="5337070E"/>
    <w:rsid w:val="533802B0"/>
    <w:rsid w:val="53381AC0"/>
    <w:rsid w:val="533B7DA0"/>
    <w:rsid w:val="533C7B78"/>
    <w:rsid w:val="533D182B"/>
    <w:rsid w:val="533D3383"/>
    <w:rsid w:val="534053B7"/>
    <w:rsid w:val="53406B31"/>
    <w:rsid w:val="53411EB8"/>
    <w:rsid w:val="53414792"/>
    <w:rsid w:val="53422D92"/>
    <w:rsid w:val="53422EDD"/>
    <w:rsid w:val="53432D94"/>
    <w:rsid w:val="53446C55"/>
    <w:rsid w:val="534C5B09"/>
    <w:rsid w:val="534E6702"/>
    <w:rsid w:val="53525F0D"/>
    <w:rsid w:val="53533334"/>
    <w:rsid w:val="535350EA"/>
    <w:rsid w:val="53561DBA"/>
    <w:rsid w:val="53563DEC"/>
    <w:rsid w:val="53580AEC"/>
    <w:rsid w:val="535A7477"/>
    <w:rsid w:val="535D49E0"/>
    <w:rsid w:val="53607807"/>
    <w:rsid w:val="536178EF"/>
    <w:rsid w:val="536270DB"/>
    <w:rsid w:val="53634C01"/>
    <w:rsid w:val="53640E6B"/>
    <w:rsid w:val="53690469"/>
    <w:rsid w:val="536A41E2"/>
    <w:rsid w:val="536A4858"/>
    <w:rsid w:val="536A6E2C"/>
    <w:rsid w:val="536B319B"/>
    <w:rsid w:val="536D64E2"/>
    <w:rsid w:val="536D782E"/>
    <w:rsid w:val="53722CED"/>
    <w:rsid w:val="53726B60"/>
    <w:rsid w:val="53735D8F"/>
    <w:rsid w:val="5373753A"/>
    <w:rsid w:val="537B4229"/>
    <w:rsid w:val="537C37A8"/>
    <w:rsid w:val="537D37A9"/>
    <w:rsid w:val="537E1A3B"/>
    <w:rsid w:val="537F5EDF"/>
    <w:rsid w:val="538204FA"/>
    <w:rsid w:val="538232D9"/>
    <w:rsid w:val="53852FCE"/>
    <w:rsid w:val="53890B0C"/>
    <w:rsid w:val="538A03E0"/>
    <w:rsid w:val="538A28C1"/>
    <w:rsid w:val="538A5CD0"/>
    <w:rsid w:val="538B4884"/>
    <w:rsid w:val="538B7E12"/>
    <w:rsid w:val="538E6122"/>
    <w:rsid w:val="538F6D27"/>
    <w:rsid w:val="5394300C"/>
    <w:rsid w:val="53963229"/>
    <w:rsid w:val="539A6875"/>
    <w:rsid w:val="539B25ED"/>
    <w:rsid w:val="539B2DB4"/>
    <w:rsid w:val="539B7B85"/>
    <w:rsid w:val="539F681A"/>
    <w:rsid w:val="53A2397B"/>
    <w:rsid w:val="53A33191"/>
    <w:rsid w:val="53A476F3"/>
    <w:rsid w:val="53A56FC8"/>
    <w:rsid w:val="53AA5411"/>
    <w:rsid w:val="53AB05D0"/>
    <w:rsid w:val="53B40DF0"/>
    <w:rsid w:val="53B85B9A"/>
    <w:rsid w:val="53BD44F8"/>
    <w:rsid w:val="53BF65CD"/>
    <w:rsid w:val="53BF7B06"/>
    <w:rsid w:val="53C02053"/>
    <w:rsid w:val="53C03E02"/>
    <w:rsid w:val="53C300EE"/>
    <w:rsid w:val="53C50E71"/>
    <w:rsid w:val="53C51418"/>
    <w:rsid w:val="53C55D9A"/>
    <w:rsid w:val="53C57104"/>
    <w:rsid w:val="53C6338B"/>
    <w:rsid w:val="53C733E2"/>
    <w:rsid w:val="53C90F08"/>
    <w:rsid w:val="53C92CE4"/>
    <w:rsid w:val="53D02297"/>
    <w:rsid w:val="53D14CA6"/>
    <w:rsid w:val="53D21F66"/>
    <w:rsid w:val="53D578AD"/>
    <w:rsid w:val="53D90607"/>
    <w:rsid w:val="53DA15F6"/>
    <w:rsid w:val="53DE1356"/>
    <w:rsid w:val="53DF1B71"/>
    <w:rsid w:val="53DF562A"/>
    <w:rsid w:val="53E421E6"/>
    <w:rsid w:val="53E47AF0"/>
    <w:rsid w:val="53E56E68"/>
    <w:rsid w:val="53E629F8"/>
    <w:rsid w:val="53E915AA"/>
    <w:rsid w:val="53EB7D72"/>
    <w:rsid w:val="53EF7D0D"/>
    <w:rsid w:val="53F42401"/>
    <w:rsid w:val="53F561A1"/>
    <w:rsid w:val="53F57A8B"/>
    <w:rsid w:val="53F65A75"/>
    <w:rsid w:val="53F817ED"/>
    <w:rsid w:val="53F8359B"/>
    <w:rsid w:val="53F85BCC"/>
    <w:rsid w:val="53FA5565"/>
    <w:rsid w:val="53FA7313"/>
    <w:rsid w:val="53FC12DE"/>
    <w:rsid w:val="5406215C"/>
    <w:rsid w:val="540754A1"/>
    <w:rsid w:val="54077C82"/>
    <w:rsid w:val="54085ED4"/>
    <w:rsid w:val="540B32CF"/>
    <w:rsid w:val="540E72EB"/>
    <w:rsid w:val="54106B37"/>
    <w:rsid w:val="5415414D"/>
    <w:rsid w:val="54175992"/>
    <w:rsid w:val="54177EC5"/>
    <w:rsid w:val="5419209C"/>
    <w:rsid w:val="541C6CEB"/>
    <w:rsid w:val="541E2F2B"/>
    <w:rsid w:val="541F238C"/>
    <w:rsid w:val="54206D62"/>
    <w:rsid w:val="54224ABC"/>
    <w:rsid w:val="5422686A"/>
    <w:rsid w:val="5423033F"/>
    <w:rsid w:val="5426635A"/>
    <w:rsid w:val="542720D3"/>
    <w:rsid w:val="54280A35"/>
    <w:rsid w:val="542D76E9"/>
    <w:rsid w:val="542E6A8B"/>
    <w:rsid w:val="54304679"/>
    <w:rsid w:val="54330A77"/>
    <w:rsid w:val="54336CC9"/>
    <w:rsid w:val="5435659E"/>
    <w:rsid w:val="54357EDD"/>
    <w:rsid w:val="543744C9"/>
    <w:rsid w:val="54387E3C"/>
    <w:rsid w:val="543A4262"/>
    <w:rsid w:val="543D2D79"/>
    <w:rsid w:val="54407F9D"/>
    <w:rsid w:val="544113E6"/>
    <w:rsid w:val="54436F0C"/>
    <w:rsid w:val="54491E43"/>
    <w:rsid w:val="544B5DC1"/>
    <w:rsid w:val="544D1B39"/>
    <w:rsid w:val="544F1855"/>
    <w:rsid w:val="545253A1"/>
    <w:rsid w:val="5457245C"/>
    <w:rsid w:val="54596730"/>
    <w:rsid w:val="545A4256"/>
    <w:rsid w:val="545E3D46"/>
    <w:rsid w:val="54606973"/>
    <w:rsid w:val="54613615"/>
    <w:rsid w:val="5462436F"/>
    <w:rsid w:val="54660E4D"/>
    <w:rsid w:val="54667B16"/>
    <w:rsid w:val="54693990"/>
    <w:rsid w:val="546B6463"/>
    <w:rsid w:val="546C3253"/>
    <w:rsid w:val="546D471F"/>
    <w:rsid w:val="546F34BF"/>
    <w:rsid w:val="546F65FB"/>
    <w:rsid w:val="54700F99"/>
    <w:rsid w:val="54703817"/>
    <w:rsid w:val="5471128B"/>
    <w:rsid w:val="54763E9C"/>
    <w:rsid w:val="547A66A6"/>
    <w:rsid w:val="547B13AD"/>
    <w:rsid w:val="547E4F17"/>
    <w:rsid w:val="547F18D1"/>
    <w:rsid w:val="547F3CBD"/>
    <w:rsid w:val="548117E3"/>
    <w:rsid w:val="548155DF"/>
    <w:rsid w:val="548412D3"/>
    <w:rsid w:val="54884729"/>
    <w:rsid w:val="54891C1C"/>
    <w:rsid w:val="548968E9"/>
    <w:rsid w:val="54897EBD"/>
    <w:rsid w:val="548A4B3B"/>
    <w:rsid w:val="548B440F"/>
    <w:rsid w:val="548D0188"/>
    <w:rsid w:val="548E7BF5"/>
    <w:rsid w:val="549244A2"/>
    <w:rsid w:val="54947768"/>
    <w:rsid w:val="54972DB4"/>
    <w:rsid w:val="54983783"/>
    <w:rsid w:val="549E05E7"/>
    <w:rsid w:val="54A379AB"/>
    <w:rsid w:val="54A4596D"/>
    <w:rsid w:val="54A51975"/>
    <w:rsid w:val="54A6512A"/>
    <w:rsid w:val="54A83213"/>
    <w:rsid w:val="54A930AA"/>
    <w:rsid w:val="54AC3115"/>
    <w:rsid w:val="54B17584"/>
    <w:rsid w:val="54B27BEE"/>
    <w:rsid w:val="54B3782F"/>
    <w:rsid w:val="54BA4CF5"/>
    <w:rsid w:val="54BC281B"/>
    <w:rsid w:val="54BF6F08"/>
    <w:rsid w:val="54C12E33"/>
    <w:rsid w:val="54C726F0"/>
    <w:rsid w:val="54C811C0"/>
    <w:rsid w:val="54C90FED"/>
    <w:rsid w:val="54CD4A28"/>
    <w:rsid w:val="54D05D83"/>
    <w:rsid w:val="54D062C6"/>
    <w:rsid w:val="54D07B4B"/>
    <w:rsid w:val="54D315C4"/>
    <w:rsid w:val="54D800B8"/>
    <w:rsid w:val="54DF634A"/>
    <w:rsid w:val="54E4287E"/>
    <w:rsid w:val="54E63EA9"/>
    <w:rsid w:val="54E87AB4"/>
    <w:rsid w:val="54EA55DA"/>
    <w:rsid w:val="54F2141A"/>
    <w:rsid w:val="54F253B9"/>
    <w:rsid w:val="54F45562"/>
    <w:rsid w:val="54F46459"/>
    <w:rsid w:val="54F91B42"/>
    <w:rsid w:val="54F975CB"/>
    <w:rsid w:val="54FD4A2E"/>
    <w:rsid w:val="54FD7021"/>
    <w:rsid w:val="550042F1"/>
    <w:rsid w:val="55004FDF"/>
    <w:rsid w:val="55012924"/>
    <w:rsid w:val="550146D2"/>
    <w:rsid w:val="55043FA3"/>
    <w:rsid w:val="55046EB5"/>
    <w:rsid w:val="55081F04"/>
    <w:rsid w:val="55085A60"/>
    <w:rsid w:val="55090897"/>
    <w:rsid w:val="550D12C8"/>
    <w:rsid w:val="550D3821"/>
    <w:rsid w:val="55106A71"/>
    <w:rsid w:val="551967C4"/>
    <w:rsid w:val="551B3603"/>
    <w:rsid w:val="551B39E5"/>
    <w:rsid w:val="551C049B"/>
    <w:rsid w:val="551D3949"/>
    <w:rsid w:val="55214FFF"/>
    <w:rsid w:val="55216B22"/>
    <w:rsid w:val="55224DBF"/>
    <w:rsid w:val="55241A05"/>
    <w:rsid w:val="55264138"/>
    <w:rsid w:val="552A00CC"/>
    <w:rsid w:val="552A6A0D"/>
    <w:rsid w:val="552B7073"/>
    <w:rsid w:val="552C7073"/>
    <w:rsid w:val="552C79A0"/>
    <w:rsid w:val="55306D65"/>
    <w:rsid w:val="55313209"/>
    <w:rsid w:val="55313A58"/>
    <w:rsid w:val="55314FB7"/>
    <w:rsid w:val="55342CF9"/>
    <w:rsid w:val="55343738"/>
    <w:rsid w:val="55351C99"/>
    <w:rsid w:val="55353211"/>
    <w:rsid w:val="5536081F"/>
    <w:rsid w:val="5538074E"/>
    <w:rsid w:val="553842B3"/>
    <w:rsid w:val="5539125E"/>
    <w:rsid w:val="553D0F38"/>
    <w:rsid w:val="553D2817"/>
    <w:rsid w:val="553D7E00"/>
    <w:rsid w:val="554046AD"/>
    <w:rsid w:val="55410DBD"/>
    <w:rsid w:val="55425416"/>
    <w:rsid w:val="554375DD"/>
    <w:rsid w:val="554445B2"/>
    <w:rsid w:val="55453A67"/>
    <w:rsid w:val="55466588"/>
    <w:rsid w:val="554A0980"/>
    <w:rsid w:val="554D021B"/>
    <w:rsid w:val="554E3DBB"/>
    <w:rsid w:val="554F136B"/>
    <w:rsid w:val="554F368F"/>
    <w:rsid w:val="55504EF9"/>
    <w:rsid w:val="555123E3"/>
    <w:rsid w:val="55517407"/>
    <w:rsid w:val="55560EC1"/>
    <w:rsid w:val="555869E7"/>
    <w:rsid w:val="555D024A"/>
    <w:rsid w:val="555D44B3"/>
    <w:rsid w:val="55627866"/>
    <w:rsid w:val="55630EE8"/>
    <w:rsid w:val="55652EB2"/>
    <w:rsid w:val="556704DD"/>
    <w:rsid w:val="55683C90"/>
    <w:rsid w:val="556A39C5"/>
    <w:rsid w:val="556A618B"/>
    <w:rsid w:val="5572737D"/>
    <w:rsid w:val="557355CF"/>
    <w:rsid w:val="55774382"/>
    <w:rsid w:val="55775AB5"/>
    <w:rsid w:val="557A42D3"/>
    <w:rsid w:val="557C78BC"/>
    <w:rsid w:val="557E0BE4"/>
    <w:rsid w:val="55821CB6"/>
    <w:rsid w:val="55823A64"/>
    <w:rsid w:val="5583158B"/>
    <w:rsid w:val="5587107B"/>
    <w:rsid w:val="5588094F"/>
    <w:rsid w:val="558A6D4D"/>
    <w:rsid w:val="558C7A4D"/>
    <w:rsid w:val="558D59F2"/>
    <w:rsid w:val="558E0B1C"/>
    <w:rsid w:val="558E2409"/>
    <w:rsid w:val="5593421C"/>
    <w:rsid w:val="559612BE"/>
    <w:rsid w:val="55966B8E"/>
    <w:rsid w:val="559D20CD"/>
    <w:rsid w:val="559D4AB5"/>
    <w:rsid w:val="559D7181"/>
    <w:rsid w:val="559F0168"/>
    <w:rsid w:val="55A103EE"/>
    <w:rsid w:val="55A123CC"/>
    <w:rsid w:val="55A13EAF"/>
    <w:rsid w:val="55A27C63"/>
    <w:rsid w:val="55A41DDF"/>
    <w:rsid w:val="55A43730"/>
    <w:rsid w:val="55A62A5A"/>
    <w:rsid w:val="55A674A9"/>
    <w:rsid w:val="55A81288"/>
    <w:rsid w:val="55A9409B"/>
    <w:rsid w:val="55AA6B17"/>
    <w:rsid w:val="55AB5D26"/>
    <w:rsid w:val="55AC57E6"/>
    <w:rsid w:val="55AF1864"/>
    <w:rsid w:val="55B561FB"/>
    <w:rsid w:val="55B6370E"/>
    <w:rsid w:val="55B81486"/>
    <w:rsid w:val="55B94C2A"/>
    <w:rsid w:val="55BC5DBE"/>
    <w:rsid w:val="55BE147B"/>
    <w:rsid w:val="55BE4C30"/>
    <w:rsid w:val="55C027DF"/>
    <w:rsid w:val="55C220B3"/>
    <w:rsid w:val="55C66378"/>
    <w:rsid w:val="55C7613D"/>
    <w:rsid w:val="55C863A9"/>
    <w:rsid w:val="55C91693"/>
    <w:rsid w:val="55C9501E"/>
    <w:rsid w:val="55CC3928"/>
    <w:rsid w:val="55CD5E58"/>
    <w:rsid w:val="55CE071F"/>
    <w:rsid w:val="55CF76BE"/>
    <w:rsid w:val="55D342C0"/>
    <w:rsid w:val="55D61BA6"/>
    <w:rsid w:val="55D94E8D"/>
    <w:rsid w:val="55DA73FC"/>
    <w:rsid w:val="55DC272C"/>
    <w:rsid w:val="55DC2FA8"/>
    <w:rsid w:val="55DD6EED"/>
    <w:rsid w:val="55DF0EB7"/>
    <w:rsid w:val="55DF4A13"/>
    <w:rsid w:val="55E04FDE"/>
    <w:rsid w:val="55E1213B"/>
    <w:rsid w:val="55E24503"/>
    <w:rsid w:val="55E34CD7"/>
    <w:rsid w:val="55E80B67"/>
    <w:rsid w:val="55E93AE3"/>
    <w:rsid w:val="55EA33B8"/>
    <w:rsid w:val="55EB785C"/>
    <w:rsid w:val="55EE10FA"/>
    <w:rsid w:val="55F34962"/>
    <w:rsid w:val="55F354D6"/>
    <w:rsid w:val="55F54A13"/>
    <w:rsid w:val="55FD30EB"/>
    <w:rsid w:val="55FE5E7E"/>
    <w:rsid w:val="55FF1BF5"/>
    <w:rsid w:val="55FF50B5"/>
    <w:rsid w:val="560359CB"/>
    <w:rsid w:val="560460FE"/>
    <w:rsid w:val="56051FA0"/>
    <w:rsid w:val="560619DF"/>
    <w:rsid w:val="560B769A"/>
    <w:rsid w:val="560D04C5"/>
    <w:rsid w:val="560D0F89"/>
    <w:rsid w:val="560D46AE"/>
    <w:rsid w:val="560E354A"/>
    <w:rsid w:val="56105181"/>
    <w:rsid w:val="56146987"/>
    <w:rsid w:val="56180F27"/>
    <w:rsid w:val="561951C2"/>
    <w:rsid w:val="561B26B0"/>
    <w:rsid w:val="561E3F9C"/>
    <w:rsid w:val="5621502B"/>
    <w:rsid w:val="5624337B"/>
    <w:rsid w:val="5624708F"/>
    <w:rsid w:val="562543F0"/>
    <w:rsid w:val="562677C7"/>
    <w:rsid w:val="562724C3"/>
    <w:rsid w:val="562A3ADE"/>
    <w:rsid w:val="562B40FC"/>
    <w:rsid w:val="563022B3"/>
    <w:rsid w:val="563034C0"/>
    <w:rsid w:val="5632283D"/>
    <w:rsid w:val="56342958"/>
    <w:rsid w:val="56351CDB"/>
    <w:rsid w:val="56352885"/>
    <w:rsid w:val="56370317"/>
    <w:rsid w:val="5637521F"/>
    <w:rsid w:val="563816E1"/>
    <w:rsid w:val="563A4A79"/>
    <w:rsid w:val="563B3C13"/>
    <w:rsid w:val="563D5BDD"/>
    <w:rsid w:val="563F3703"/>
    <w:rsid w:val="563F500E"/>
    <w:rsid w:val="56405B84"/>
    <w:rsid w:val="564240F7"/>
    <w:rsid w:val="56424FA2"/>
    <w:rsid w:val="56431446"/>
    <w:rsid w:val="564453A3"/>
    <w:rsid w:val="564A382F"/>
    <w:rsid w:val="564D1A54"/>
    <w:rsid w:val="56532A88"/>
    <w:rsid w:val="565535D9"/>
    <w:rsid w:val="565559C0"/>
    <w:rsid w:val="565730C7"/>
    <w:rsid w:val="56585DB5"/>
    <w:rsid w:val="565A519B"/>
    <w:rsid w:val="565B1A48"/>
    <w:rsid w:val="565B2348"/>
    <w:rsid w:val="565C5FD2"/>
    <w:rsid w:val="565E2C43"/>
    <w:rsid w:val="565E57F8"/>
    <w:rsid w:val="565E6609"/>
    <w:rsid w:val="56601C94"/>
    <w:rsid w:val="566205C2"/>
    <w:rsid w:val="56664C35"/>
    <w:rsid w:val="566A460F"/>
    <w:rsid w:val="566C29CD"/>
    <w:rsid w:val="566E223B"/>
    <w:rsid w:val="566E3FE9"/>
    <w:rsid w:val="566F053E"/>
    <w:rsid w:val="56722069"/>
    <w:rsid w:val="56747367"/>
    <w:rsid w:val="56764C4B"/>
    <w:rsid w:val="56787FBA"/>
    <w:rsid w:val="56796231"/>
    <w:rsid w:val="567A5C6E"/>
    <w:rsid w:val="567C4958"/>
    <w:rsid w:val="56801E05"/>
    <w:rsid w:val="56815ACA"/>
    <w:rsid w:val="5682394D"/>
    <w:rsid w:val="568278AF"/>
    <w:rsid w:val="56830A66"/>
    <w:rsid w:val="568347A4"/>
    <w:rsid w:val="5685562E"/>
    <w:rsid w:val="56856173"/>
    <w:rsid w:val="56862401"/>
    <w:rsid w:val="56894AC6"/>
    <w:rsid w:val="568B0F1E"/>
    <w:rsid w:val="568E6439"/>
    <w:rsid w:val="569212CF"/>
    <w:rsid w:val="56925F29"/>
    <w:rsid w:val="56930D7D"/>
    <w:rsid w:val="56955EC3"/>
    <w:rsid w:val="56984D0F"/>
    <w:rsid w:val="56993348"/>
    <w:rsid w:val="569F42C5"/>
    <w:rsid w:val="56AE2637"/>
    <w:rsid w:val="56AE5351"/>
    <w:rsid w:val="56AF52E4"/>
    <w:rsid w:val="56B714EC"/>
    <w:rsid w:val="56BA722E"/>
    <w:rsid w:val="56BD287A"/>
    <w:rsid w:val="56BD2E25"/>
    <w:rsid w:val="56BD5DB1"/>
    <w:rsid w:val="56BE042D"/>
    <w:rsid w:val="56BE6D1E"/>
    <w:rsid w:val="56BF30D8"/>
    <w:rsid w:val="56BF65F2"/>
    <w:rsid w:val="56C105BC"/>
    <w:rsid w:val="56C144DB"/>
    <w:rsid w:val="56C40FAE"/>
    <w:rsid w:val="56C444CD"/>
    <w:rsid w:val="56C44602"/>
    <w:rsid w:val="56C8194B"/>
    <w:rsid w:val="56C93A7B"/>
    <w:rsid w:val="56CA56C3"/>
    <w:rsid w:val="56CB6F64"/>
    <w:rsid w:val="56CE2E30"/>
    <w:rsid w:val="56CE51EB"/>
    <w:rsid w:val="56CF406B"/>
    <w:rsid w:val="56D131C9"/>
    <w:rsid w:val="56D24578"/>
    <w:rsid w:val="56D24CD3"/>
    <w:rsid w:val="56D55E16"/>
    <w:rsid w:val="56D621B0"/>
    <w:rsid w:val="56DA342C"/>
    <w:rsid w:val="56DA39A2"/>
    <w:rsid w:val="56DE1F20"/>
    <w:rsid w:val="56DE2F1C"/>
    <w:rsid w:val="56E00371"/>
    <w:rsid w:val="56E11C93"/>
    <w:rsid w:val="56E175CE"/>
    <w:rsid w:val="56E2109B"/>
    <w:rsid w:val="56E235EF"/>
    <w:rsid w:val="56E322E1"/>
    <w:rsid w:val="56E4630C"/>
    <w:rsid w:val="56E70DD5"/>
    <w:rsid w:val="56E9366F"/>
    <w:rsid w:val="56EB73E7"/>
    <w:rsid w:val="56EC2D13"/>
    <w:rsid w:val="56EE21F5"/>
    <w:rsid w:val="56EF6ED8"/>
    <w:rsid w:val="56F2213A"/>
    <w:rsid w:val="56F24C1A"/>
    <w:rsid w:val="56F27A24"/>
    <w:rsid w:val="56F3629C"/>
    <w:rsid w:val="56F45CC3"/>
    <w:rsid w:val="56F52014"/>
    <w:rsid w:val="56F75D8C"/>
    <w:rsid w:val="56FC15F5"/>
    <w:rsid w:val="56FE536D"/>
    <w:rsid w:val="570109B9"/>
    <w:rsid w:val="57015189"/>
    <w:rsid w:val="5703026E"/>
    <w:rsid w:val="57030BD5"/>
    <w:rsid w:val="570566FB"/>
    <w:rsid w:val="57062473"/>
    <w:rsid w:val="570B1838"/>
    <w:rsid w:val="570C5CDB"/>
    <w:rsid w:val="570D3802"/>
    <w:rsid w:val="570D462C"/>
    <w:rsid w:val="570D69B5"/>
    <w:rsid w:val="570D735E"/>
    <w:rsid w:val="570E068D"/>
    <w:rsid w:val="570F1328"/>
    <w:rsid w:val="57105042"/>
    <w:rsid w:val="57120E18"/>
    <w:rsid w:val="57122BC6"/>
    <w:rsid w:val="57151CDB"/>
    <w:rsid w:val="571903F8"/>
    <w:rsid w:val="571C6A24"/>
    <w:rsid w:val="57254926"/>
    <w:rsid w:val="572558A1"/>
    <w:rsid w:val="572A5B20"/>
    <w:rsid w:val="572B6EBC"/>
    <w:rsid w:val="572C012C"/>
    <w:rsid w:val="572C7785"/>
    <w:rsid w:val="572D13ED"/>
    <w:rsid w:val="572D17AE"/>
    <w:rsid w:val="572D3E95"/>
    <w:rsid w:val="572E0046"/>
    <w:rsid w:val="572F19CA"/>
    <w:rsid w:val="57327A40"/>
    <w:rsid w:val="57346FE0"/>
    <w:rsid w:val="57364B06"/>
    <w:rsid w:val="57392849"/>
    <w:rsid w:val="573A5879"/>
    <w:rsid w:val="573B036F"/>
    <w:rsid w:val="573D00FF"/>
    <w:rsid w:val="573E7E5F"/>
    <w:rsid w:val="574A495B"/>
    <w:rsid w:val="574A6804"/>
    <w:rsid w:val="574B7E86"/>
    <w:rsid w:val="574D00A2"/>
    <w:rsid w:val="574F5BC8"/>
    <w:rsid w:val="57502D41"/>
    <w:rsid w:val="575256B8"/>
    <w:rsid w:val="57552E22"/>
    <w:rsid w:val="575A61A5"/>
    <w:rsid w:val="575B44B2"/>
    <w:rsid w:val="575C02E5"/>
    <w:rsid w:val="575D6270"/>
    <w:rsid w:val="57601B83"/>
    <w:rsid w:val="57611213"/>
    <w:rsid w:val="57641F12"/>
    <w:rsid w:val="57652FBD"/>
    <w:rsid w:val="57671164"/>
    <w:rsid w:val="57690582"/>
    <w:rsid w:val="576A0C54"/>
    <w:rsid w:val="576C0528"/>
    <w:rsid w:val="576F2D4E"/>
    <w:rsid w:val="57770C7B"/>
    <w:rsid w:val="57783371"/>
    <w:rsid w:val="577861BC"/>
    <w:rsid w:val="577963D9"/>
    <w:rsid w:val="577A3831"/>
    <w:rsid w:val="577A641E"/>
    <w:rsid w:val="577B3D89"/>
    <w:rsid w:val="577B6D06"/>
    <w:rsid w:val="577D4C3C"/>
    <w:rsid w:val="57835872"/>
    <w:rsid w:val="57835CC3"/>
    <w:rsid w:val="578749B4"/>
    <w:rsid w:val="57875362"/>
    <w:rsid w:val="57896D02"/>
    <w:rsid w:val="578A4C34"/>
    <w:rsid w:val="578C0358"/>
    <w:rsid w:val="579044FA"/>
    <w:rsid w:val="57911F7F"/>
    <w:rsid w:val="5792733F"/>
    <w:rsid w:val="579311C3"/>
    <w:rsid w:val="57944DD2"/>
    <w:rsid w:val="579655A5"/>
    <w:rsid w:val="579B3248"/>
    <w:rsid w:val="57A12545"/>
    <w:rsid w:val="57A75A04"/>
    <w:rsid w:val="57A962B6"/>
    <w:rsid w:val="57AC301B"/>
    <w:rsid w:val="57AC6BC8"/>
    <w:rsid w:val="57AC7784"/>
    <w:rsid w:val="57AF48B9"/>
    <w:rsid w:val="57B03084"/>
    <w:rsid w:val="57B1418D"/>
    <w:rsid w:val="57B27F05"/>
    <w:rsid w:val="57B343A9"/>
    <w:rsid w:val="57BB500C"/>
    <w:rsid w:val="57BE30C3"/>
    <w:rsid w:val="57C00874"/>
    <w:rsid w:val="57C045CD"/>
    <w:rsid w:val="57C17336"/>
    <w:rsid w:val="57C77E54"/>
    <w:rsid w:val="57C9715E"/>
    <w:rsid w:val="57CB5604"/>
    <w:rsid w:val="57CB7C65"/>
    <w:rsid w:val="57CC0FC7"/>
    <w:rsid w:val="57CD7B79"/>
    <w:rsid w:val="57CF6D09"/>
    <w:rsid w:val="57D028D2"/>
    <w:rsid w:val="57D04F5B"/>
    <w:rsid w:val="57D07440"/>
    <w:rsid w:val="57D12098"/>
    <w:rsid w:val="57D33D2C"/>
    <w:rsid w:val="57D416E6"/>
    <w:rsid w:val="57D4589F"/>
    <w:rsid w:val="57D7672A"/>
    <w:rsid w:val="57D8141A"/>
    <w:rsid w:val="57D8693C"/>
    <w:rsid w:val="57D937EB"/>
    <w:rsid w:val="57D95C39"/>
    <w:rsid w:val="57DA14E3"/>
    <w:rsid w:val="57DC6632"/>
    <w:rsid w:val="57DF519E"/>
    <w:rsid w:val="57DF5F8B"/>
    <w:rsid w:val="57DF6410"/>
    <w:rsid w:val="57E176C8"/>
    <w:rsid w:val="57E42E5C"/>
    <w:rsid w:val="57E53BB6"/>
    <w:rsid w:val="57E62C34"/>
    <w:rsid w:val="57E720CC"/>
    <w:rsid w:val="57EC78BB"/>
    <w:rsid w:val="57ED2E5F"/>
    <w:rsid w:val="57F10A2D"/>
    <w:rsid w:val="57F1421F"/>
    <w:rsid w:val="57F16C7F"/>
    <w:rsid w:val="57F54BF9"/>
    <w:rsid w:val="57F575D5"/>
    <w:rsid w:val="57F86260"/>
    <w:rsid w:val="57FA1FD8"/>
    <w:rsid w:val="57FA3D86"/>
    <w:rsid w:val="57FA6D3D"/>
    <w:rsid w:val="57FB1430"/>
    <w:rsid w:val="57FB18AC"/>
    <w:rsid w:val="57FD5624"/>
    <w:rsid w:val="58022C3B"/>
    <w:rsid w:val="58043B5C"/>
    <w:rsid w:val="580544D9"/>
    <w:rsid w:val="580A0E3D"/>
    <w:rsid w:val="5814471C"/>
    <w:rsid w:val="581A4428"/>
    <w:rsid w:val="5823299E"/>
    <w:rsid w:val="58232B8F"/>
    <w:rsid w:val="58240CA1"/>
    <w:rsid w:val="58283866"/>
    <w:rsid w:val="582B597E"/>
    <w:rsid w:val="582C7CB7"/>
    <w:rsid w:val="582E1A80"/>
    <w:rsid w:val="582E3A30"/>
    <w:rsid w:val="582F0FAB"/>
    <w:rsid w:val="58311772"/>
    <w:rsid w:val="58313520"/>
    <w:rsid w:val="58337298"/>
    <w:rsid w:val="58357511"/>
    <w:rsid w:val="583A7D04"/>
    <w:rsid w:val="583C439E"/>
    <w:rsid w:val="583C732D"/>
    <w:rsid w:val="583D0117"/>
    <w:rsid w:val="584119B5"/>
    <w:rsid w:val="58474AF1"/>
    <w:rsid w:val="58483B72"/>
    <w:rsid w:val="58485C8D"/>
    <w:rsid w:val="58493475"/>
    <w:rsid w:val="58495B01"/>
    <w:rsid w:val="584B2834"/>
    <w:rsid w:val="584B5248"/>
    <w:rsid w:val="584F214B"/>
    <w:rsid w:val="585039A6"/>
    <w:rsid w:val="58523BC2"/>
    <w:rsid w:val="5853793A"/>
    <w:rsid w:val="58580AAD"/>
    <w:rsid w:val="58581335"/>
    <w:rsid w:val="58594DCC"/>
    <w:rsid w:val="585A658B"/>
    <w:rsid w:val="585A65D3"/>
    <w:rsid w:val="585B059D"/>
    <w:rsid w:val="585B270B"/>
    <w:rsid w:val="585C792E"/>
    <w:rsid w:val="585E654E"/>
    <w:rsid w:val="585F1E3B"/>
    <w:rsid w:val="58611EE1"/>
    <w:rsid w:val="58620434"/>
    <w:rsid w:val="58620DD5"/>
    <w:rsid w:val="586236D9"/>
    <w:rsid w:val="586574F8"/>
    <w:rsid w:val="58670C25"/>
    <w:rsid w:val="58675193"/>
    <w:rsid w:val="58676F42"/>
    <w:rsid w:val="58684068"/>
    <w:rsid w:val="586869AB"/>
    <w:rsid w:val="587504C0"/>
    <w:rsid w:val="58776DD5"/>
    <w:rsid w:val="587847E5"/>
    <w:rsid w:val="58791D3C"/>
    <w:rsid w:val="587A2D18"/>
    <w:rsid w:val="587B7495"/>
    <w:rsid w:val="5884240F"/>
    <w:rsid w:val="588642CA"/>
    <w:rsid w:val="5889335C"/>
    <w:rsid w:val="588B481A"/>
    <w:rsid w:val="588C1B64"/>
    <w:rsid w:val="5892193F"/>
    <w:rsid w:val="58922210"/>
    <w:rsid w:val="58931AE5"/>
    <w:rsid w:val="58953AAF"/>
    <w:rsid w:val="5898359F"/>
    <w:rsid w:val="589917F1"/>
    <w:rsid w:val="589E6E07"/>
    <w:rsid w:val="58A07A75"/>
    <w:rsid w:val="58A261CC"/>
    <w:rsid w:val="58A30431"/>
    <w:rsid w:val="58A34078"/>
    <w:rsid w:val="58A34710"/>
    <w:rsid w:val="58A6099E"/>
    <w:rsid w:val="58A81A34"/>
    <w:rsid w:val="58AA5A4D"/>
    <w:rsid w:val="58AB689B"/>
    <w:rsid w:val="58AD1111"/>
    <w:rsid w:val="58AE2DC2"/>
    <w:rsid w:val="58B008E9"/>
    <w:rsid w:val="58B02549"/>
    <w:rsid w:val="58B303D9"/>
    <w:rsid w:val="58B323EC"/>
    <w:rsid w:val="58B3335B"/>
    <w:rsid w:val="58B445FE"/>
    <w:rsid w:val="58B67A41"/>
    <w:rsid w:val="58B77486"/>
    <w:rsid w:val="58B959EF"/>
    <w:rsid w:val="58BA08D1"/>
    <w:rsid w:val="58BB2730"/>
    <w:rsid w:val="58BC6C44"/>
    <w:rsid w:val="58C104BC"/>
    <w:rsid w:val="58C1451F"/>
    <w:rsid w:val="58C25462"/>
    <w:rsid w:val="58C359AD"/>
    <w:rsid w:val="58C3686E"/>
    <w:rsid w:val="58C36F41"/>
    <w:rsid w:val="58C53DD7"/>
    <w:rsid w:val="58C779E0"/>
    <w:rsid w:val="58C919AA"/>
    <w:rsid w:val="58CA34AF"/>
    <w:rsid w:val="58CC7FEC"/>
    <w:rsid w:val="58D07E24"/>
    <w:rsid w:val="58D260CA"/>
    <w:rsid w:val="58D31DB7"/>
    <w:rsid w:val="58D36385"/>
    <w:rsid w:val="58D41C2B"/>
    <w:rsid w:val="58D81BED"/>
    <w:rsid w:val="58D901AF"/>
    <w:rsid w:val="58DB3DB1"/>
    <w:rsid w:val="58DE2B54"/>
    <w:rsid w:val="58E0355C"/>
    <w:rsid w:val="58E14F46"/>
    <w:rsid w:val="58E32A6C"/>
    <w:rsid w:val="58E578B7"/>
    <w:rsid w:val="58E62E0E"/>
    <w:rsid w:val="58EC0A6C"/>
    <w:rsid w:val="58ED38EB"/>
    <w:rsid w:val="58F01C46"/>
    <w:rsid w:val="58F31044"/>
    <w:rsid w:val="58F3297C"/>
    <w:rsid w:val="58F46A27"/>
    <w:rsid w:val="58F5575F"/>
    <w:rsid w:val="58F64A9B"/>
    <w:rsid w:val="58F87D77"/>
    <w:rsid w:val="58FA1EED"/>
    <w:rsid w:val="58FE52BB"/>
    <w:rsid w:val="58FF42D1"/>
    <w:rsid w:val="58FF4FB3"/>
    <w:rsid w:val="590107FF"/>
    <w:rsid w:val="59011144"/>
    <w:rsid w:val="590230D8"/>
    <w:rsid w:val="59042E13"/>
    <w:rsid w:val="59047E88"/>
    <w:rsid w:val="5908515D"/>
    <w:rsid w:val="59087A36"/>
    <w:rsid w:val="590B749C"/>
    <w:rsid w:val="590C382F"/>
    <w:rsid w:val="590F61AB"/>
    <w:rsid w:val="59123AA6"/>
    <w:rsid w:val="591250FF"/>
    <w:rsid w:val="59146777"/>
    <w:rsid w:val="59173B50"/>
    <w:rsid w:val="591A3FB4"/>
    <w:rsid w:val="591D560F"/>
    <w:rsid w:val="591F270D"/>
    <w:rsid w:val="59232E69"/>
    <w:rsid w:val="59254DAD"/>
    <w:rsid w:val="59261312"/>
    <w:rsid w:val="59262959"/>
    <w:rsid w:val="592656F4"/>
    <w:rsid w:val="5929278A"/>
    <w:rsid w:val="592D52D3"/>
    <w:rsid w:val="592E7237"/>
    <w:rsid w:val="592F21E8"/>
    <w:rsid w:val="592F681E"/>
    <w:rsid w:val="5932380C"/>
    <w:rsid w:val="593350BB"/>
    <w:rsid w:val="59345076"/>
    <w:rsid w:val="593B4656"/>
    <w:rsid w:val="593C217C"/>
    <w:rsid w:val="593C3F2A"/>
    <w:rsid w:val="593E5532"/>
    <w:rsid w:val="59437478"/>
    <w:rsid w:val="59457283"/>
    <w:rsid w:val="59462D2E"/>
    <w:rsid w:val="594635EA"/>
    <w:rsid w:val="594B5323"/>
    <w:rsid w:val="594D2FFF"/>
    <w:rsid w:val="594D6137"/>
    <w:rsid w:val="594F0101"/>
    <w:rsid w:val="595219A0"/>
    <w:rsid w:val="595621D8"/>
    <w:rsid w:val="595A26B8"/>
    <w:rsid w:val="595A6A67"/>
    <w:rsid w:val="595C1840"/>
    <w:rsid w:val="595D016D"/>
    <w:rsid w:val="595D7AC8"/>
    <w:rsid w:val="59603AB5"/>
    <w:rsid w:val="59672269"/>
    <w:rsid w:val="5967369D"/>
    <w:rsid w:val="596C5A15"/>
    <w:rsid w:val="596F21A7"/>
    <w:rsid w:val="59710078"/>
    <w:rsid w:val="59771458"/>
    <w:rsid w:val="597B2CC1"/>
    <w:rsid w:val="597D187B"/>
    <w:rsid w:val="597D4EA5"/>
    <w:rsid w:val="597E01B2"/>
    <w:rsid w:val="597E47CE"/>
    <w:rsid w:val="59815DE1"/>
    <w:rsid w:val="5982403E"/>
    <w:rsid w:val="59851D75"/>
    <w:rsid w:val="598544D4"/>
    <w:rsid w:val="59882C72"/>
    <w:rsid w:val="598952C5"/>
    <w:rsid w:val="598E150A"/>
    <w:rsid w:val="59911509"/>
    <w:rsid w:val="59914276"/>
    <w:rsid w:val="5993577D"/>
    <w:rsid w:val="59956A89"/>
    <w:rsid w:val="599B50F5"/>
    <w:rsid w:val="599B6EA3"/>
    <w:rsid w:val="599D1FD6"/>
    <w:rsid w:val="599E1ABC"/>
    <w:rsid w:val="599E4BE5"/>
    <w:rsid w:val="599E6993"/>
    <w:rsid w:val="599F38FE"/>
    <w:rsid w:val="59A0224F"/>
    <w:rsid w:val="59A46821"/>
    <w:rsid w:val="59AB00F5"/>
    <w:rsid w:val="59AB1BA3"/>
    <w:rsid w:val="59AB5018"/>
    <w:rsid w:val="59AC10B0"/>
    <w:rsid w:val="59B12C4F"/>
    <w:rsid w:val="59B2243E"/>
    <w:rsid w:val="59B461B6"/>
    <w:rsid w:val="59B62110"/>
    <w:rsid w:val="59B74EE0"/>
    <w:rsid w:val="59B83EF9"/>
    <w:rsid w:val="59B9642C"/>
    <w:rsid w:val="59BB2551"/>
    <w:rsid w:val="59BC2339"/>
    <w:rsid w:val="59BD32BD"/>
    <w:rsid w:val="59BF7208"/>
    <w:rsid w:val="59C311C1"/>
    <w:rsid w:val="59C42A07"/>
    <w:rsid w:val="59C52172"/>
    <w:rsid w:val="59C83A10"/>
    <w:rsid w:val="59C962AE"/>
    <w:rsid w:val="59CA3578"/>
    <w:rsid w:val="59CD1026"/>
    <w:rsid w:val="59CD1728"/>
    <w:rsid w:val="59D13104"/>
    <w:rsid w:val="59D52CBB"/>
    <w:rsid w:val="59D625D1"/>
    <w:rsid w:val="59D67840"/>
    <w:rsid w:val="59D800F7"/>
    <w:rsid w:val="59DD6F39"/>
    <w:rsid w:val="59DE3351"/>
    <w:rsid w:val="59DF5BE9"/>
    <w:rsid w:val="59E07DCE"/>
    <w:rsid w:val="59E2410E"/>
    <w:rsid w:val="59E24AD2"/>
    <w:rsid w:val="59E24E9D"/>
    <w:rsid w:val="59E52814"/>
    <w:rsid w:val="59E545C2"/>
    <w:rsid w:val="59E7033A"/>
    <w:rsid w:val="59E81C22"/>
    <w:rsid w:val="59EA1BD8"/>
    <w:rsid w:val="59EC457A"/>
    <w:rsid w:val="59ED3476"/>
    <w:rsid w:val="59F01C15"/>
    <w:rsid w:val="59F12F67"/>
    <w:rsid w:val="59F13E41"/>
    <w:rsid w:val="59F20A8D"/>
    <w:rsid w:val="59F3699F"/>
    <w:rsid w:val="59F44805"/>
    <w:rsid w:val="59F4590F"/>
    <w:rsid w:val="59F667CF"/>
    <w:rsid w:val="59F95849"/>
    <w:rsid w:val="59FB2037"/>
    <w:rsid w:val="59FD1648"/>
    <w:rsid w:val="59FE5684"/>
    <w:rsid w:val="59FE56A9"/>
    <w:rsid w:val="59FF38D6"/>
    <w:rsid w:val="5A00102F"/>
    <w:rsid w:val="5A003BD1"/>
    <w:rsid w:val="5A006C98"/>
    <w:rsid w:val="5A010E1A"/>
    <w:rsid w:val="5A032C9A"/>
    <w:rsid w:val="5A057A1E"/>
    <w:rsid w:val="5A07278A"/>
    <w:rsid w:val="5A0752A6"/>
    <w:rsid w:val="5A0C0C27"/>
    <w:rsid w:val="5A0C1770"/>
    <w:rsid w:val="5A0C2711"/>
    <w:rsid w:val="5A0F4038"/>
    <w:rsid w:val="5A0F7891"/>
    <w:rsid w:val="5A1223DE"/>
    <w:rsid w:val="5A141B61"/>
    <w:rsid w:val="5A1A070F"/>
    <w:rsid w:val="5A1B7FE4"/>
    <w:rsid w:val="5A20384C"/>
    <w:rsid w:val="5A2A0227"/>
    <w:rsid w:val="5A2A46CB"/>
    <w:rsid w:val="5A2B04E2"/>
    <w:rsid w:val="5A2C21F1"/>
    <w:rsid w:val="5A2F2AAA"/>
    <w:rsid w:val="5A3017C5"/>
    <w:rsid w:val="5A3344C9"/>
    <w:rsid w:val="5A3556E7"/>
    <w:rsid w:val="5A36306F"/>
    <w:rsid w:val="5A3637EA"/>
    <w:rsid w:val="5A364E1D"/>
    <w:rsid w:val="5A3706F5"/>
    <w:rsid w:val="5A390967"/>
    <w:rsid w:val="5A3966BC"/>
    <w:rsid w:val="5A3A1C71"/>
    <w:rsid w:val="5A3A2B60"/>
    <w:rsid w:val="5A3C71B2"/>
    <w:rsid w:val="5A3D37FD"/>
    <w:rsid w:val="5A405C9C"/>
    <w:rsid w:val="5A407A4A"/>
    <w:rsid w:val="5A433B1A"/>
    <w:rsid w:val="5A470DD9"/>
    <w:rsid w:val="5A473E32"/>
    <w:rsid w:val="5A494B51"/>
    <w:rsid w:val="5A4968FF"/>
    <w:rsid w:val="5A4B6021"/>
    <w:rsid w:val="5A4C3CB6"/>
    <w:rsid w:val="5A5359CF"/>
    <w:rsid w:val="5A546E90"/>
    <w:rsid w:val="5A565796"/>
    <w:rsid w:val="5A5659FA"/>
    <w:rsid w:val="5A581238"/>
    <w:rsid w:val="5A58741A"/>
    <w:rsid w:val="5A5D2362"/>
    <w:rsid w:val="5A5E05E4"/>
    <w:rsid w:val="5A5F4374"/>
    <w:rsid w:val="5A5F52BD"/>
    <w:rsid w:val="5A6279C1"/>
    <w:rsid w:val="5A643739"/>
    <w:rsid w:val="5A647BDD"/>
    <w:rsid w:val="5A6516AD"/>
    <w:rsid w:val="5A6574B1"/>
    <w:rsid w:val="5A677925"/>
    <w:rsid w:val="5A68520E"/>
    <w:rsid w:val="5A690D4F"/>
    <w:rsid w:val="5A6B0A5C"/>
    <w:rsid w:val="5A6B1964"/>
    <w:rsid w:val="5A700B14"/>
    <w:rsid w:val="5A74775D"/>
    <w:rsid w:val="5A7616BE"/>
    <w:rsid w:val="5A7C02E2"/>
    <w:rsid w:val="5A7C42A2"/>
    <w:rsid w:val="5A7E45EB"/>
    <w:rsid w:val="5A7E53FE"/>
    <w:rsid w:val="5A7F4A16"/>
    <w:rsid w:val="5A804F38"/>
    <w:rsid w:val="5A81078E"/>
    <w:rsid w:val="5A847259"/>
    <w:rsid w:val="5A875679"/>
    <w:rsid w:val="5A8B33BB"/>
    <w:rsid w:val="5A8C47EF"/>
    <w:rsid w:val="5A8C61D3"/>
    <w:rsid w:val="5A8E167B"/>
    <w:rsid w:val="5A8E1A6F"/>
    <w:rsid w:val="5A8E4C59"/>
    <w:rsid w:val="5A8E6A07"/>
    <w:rsid w:val="5A9058AB"/>
    <w:rsid w:val="5A915069"/>
    <w:rsid w:val="5A927DF9"/>
    <w:rsid w:val="5A951401"/>
    <w:rsid w:val="5A954E01"/>
    <w:rsid w:val="5A9616F8"/>
    <w:rsid w:val="5A964725"/>
    <w:rsid w:val="5A965EC8"/>
    <w:rsid w:val="5A987435"/>
    <w:rsid w:val="5A9A35FE"/>
    <w:rsid w:val="5A9D18DA"/>
    <w:rsid w:val="5A9F0D53"/>
    <w:rsid w:val="5A9F711B"/>
    <w:rsid w:val="5AA21EFE"/>
    <w:rsid w:val="5AA5302C"/>
    <w:rsid w:val="5AA601F5"/>
    <w:rsid w:val="5AA77AC9"/>
    <w:rsid w:val="5AA80DFD"/>
    <w:rsid w:val="5AA93841"/>
    <w:rsid w:val="5AAB6FEB"/>
    <w:rsid w:val="5AB761ED"/>
    <w:rsid w:val="5AB956DE"/>
    <w:rsid w:val="5AB96BE7"/>
    <w:rsid w:val="5ABC083F"/>
    <w:rsid w:val="5ABD3092"/>
    <w:rsid w:val="5ABF055E"/>
    <w:rsid w:val="5AC4067B"/>
    <w:rsid w:val="5AC47178"/>
    <w:rsid w:val="5AC50326"/>
    <w:rsid w:val="5AC74DF8"/>
    <w:rsid w:val="5AC8583D"/>
    <w:rsid w:val="5AC93EE4"/>
    <w:rsid w:val="5AC979A3"/>
    <w:rsid w:val="5ACA1CC5"/>
    <w:rsid w:val="5ACD184B"/>
    <w:rsid w:val="5ACD3DB4"/>
    <w:rsid w:val="5ACF132F"/>
    <w:rsid w:val="5AD02F42"/>
    <w:rsid w:val="5AD3448F"/>
    <w:rsid w:val="5AD703AE"/>
    <w:rsid w:val="5AD76600"/>
    <w:rsid w:val="5AD97AB8"/>
    <w:rsid w:val="5ADA232A"/>
    <w:rsid w:val="5ADA7E9F"/>
    <w:rsid w:val="5ADD34EB"/>
    <w:rsid w:val="5ADD46C4"/>
    <w:rsid w:val="5AE270A5"/>
    <w:rsid w:val="5AE30C0E"/>
    <w:rsid w:val="5AE40D1D"/>
    <w:rsid w:val="5AE42ACB"/>
    <w:rsid w:val="5AE46C38"/>
    <w:rsid w:val="5AE623A0"/>
    <w:rsid w:val="5AE91E90"/>
    <w:rsid w:val="5AEB36A2"/>
    <w:rsid w:val="5AEB69BA"/>
    <w:rsid w:val="5AEC478B"/>
    <w:rsid w:val="5AF0321E"/>
    <w:rsid w:val="5AF17230"/>
    <w:rsid w:val="5AF20E4A"/>
    <w:rsid w:val="5AF84073"/>
    <w:rsid w:val="5AFD5ADF"/>
    <w:rsid w:val="5AFE15DF"/>
    <w:rsid w:val="5AFE2A0F"/>
    <w:rsid w:val="5B026D26"/>
    <w:rsid w:val="5B053930"/>
    <w:rsid w:val="5B060C94"/>
    <w:rsid w:val="5B0827D1"/>
    <w:rsid w:val="5B0E18F6"/>
    <w:rsid w:val="5B0E5398"/>
    <w:rsid w:val="5B114842"/>
    <w:rsid w:val="5B1202CE"/>
    <w:rsid w:val="5B12543A"/>
    <w:rsid w:val="5B130291"/>
    <w:rsid w:val="5B182775"/>
    <w:rsid w:val="5B1931EA"/>
    <w:rsid w:val="5B1E422F"/>
    <w:rsid w:val="5B1E5FDD"/>
    <w:rsid w:val="5B247B40"/>
    <w:rsid w:val="5B257918"/>
    <w:rsid w:val="5B264E92"/>
    <w:rsid w:val="5B280C0A"/>
    <w:rsid w:val="5B294982"/>
    <w:rsid w:val="5B2B29F9"/>
    <w:rsid w:val="5B2E5715"/>
    <w:rsid w:val="5B2F14E4"/>
    <w:rsid w:val="5B2F1F99"/>
    <w:rsid w:val="5B3255E5"/>
    <w:rsid w:val="5B345E4B"/>
    <w:rsid w:val="5B3550D5"/>
    <w:rsid w:val="5B361E7C"/>
    <w:rsid w:val="5B373425"/>
    <w:rsid w:val="5B3734B9"/>
    <w:rsid w:val="5B3A5482"/>
    <w:rsid w:val="5B3B69FE"/>
    <w:rsid w:val="5B3D2BF4"/>
    <w:rsid w:val="5B3F3172"/>
    <w:rsid w:val="5B402954"/>
    <w:rsid w:val="5B405B78"/>
    <w:rsid w:val="5B427906"/>
    <w:rsid w:val="5B4A407B"/>
    <w:rsid w:val="5B4B6FDF"/>
    <w:rsid w:val="5B4D2315"/>
    <w:rsid w:val="5B4D2CFD"/>
    <w:rsid w:val="5B4E3D08"/>
    <w:rsid w:val="5B501F0F"/>
    <w:rsid w:val="5B527A35"/>
    <w:rsid w:val="5B537C74"/>
    <w:rsid w:val="5B5861DA"/>
    <w:rsid w:val="5B5B46DE"/>
    <w:rsid w:val="5B5C5EAD"/>
    <w:rsid w:val="5B5C6B06"/>
    <w:rsid w:val="5B5D6C34"/>
    <w:rsid w:val="5B5F2152"/>
    <w:rsid w:val="5B64404F"/>
    <w:rsid w:val="5B6559BA"/>
    <w:rsid w:val="5B686A92"/>
    <w:rsid w:val="5B687259"/>
    <w:rsid w:val="5B6A66BA"/>
    <w:rsid w:val="5B6B0AF7"/>
    <w:rsid w:val="5B6B3F93"/>
    <w:rsid w:val="5B6F6839"/>
    <w:rsid w:val="5B70008A"/>
    <w:rsid w:val="5B7200D7"/>
    <w:rsid w:val="5B723B12"/>
    <w:rsid w:val="5B733DF5"/>
    <w:rsid w:val="5B75076D"/>
    <w:rsid w:val="5B765E19"/>
    <w:rsid w:val="5B767EDC"/>
    <w:rsid w:val="5B77288C"/>
    <w:rsid w:val="5B773940"/>
    <w:rsid w:val="5B7C4BEC"/>
    <w:rsid w:val="5B7E4CCE"/>
    <w:rsid w:val="5B837005"/>
    <w:rsid w:val="5B8502CC"/>
    <w:rsid w:val="5B863B83"/>
    <w:rsid w:val="5B873E7B"/>
    <w:rsid w:val="5B885B4D"/>
    <w:rsid w:val="5B8878FB"/>
    <w:rsid w:val="5B8B1199"/>
    <w:rsid w:val="5B8B4265"/>
    <w:rsid w:val="5B923DAD"/>
    <w:rsid w:val="5B9242D5"/>
    <w:rsid w:val="5B9263C8"/>
    <w:rsid w:val="5B93189C"/>
    <w:rsid w:val="5B9339D2"/>
    <w:rsid w:val="5B983FD5"/>
    <w:rsid w:val="5B9B2BA8"/>
    <w:rsid w:val="5B9B5880"/>
    <w:rsid w:val="5B9C2737"/>
    <w:rsid w:val="5B9C2996"/>
    <w:rsid w:val="5B9D4491"/>
    <w:rsid w:val="5B9E2C7A"/>
    <w:rsid w:val="5BA04C44"/>
    <w:rsid w:val="5BA32092"/>
    <w:rsid w:val="5BA504AD"/>
    <w:rsid w:val="5BA67D81"/>
    <w:rsid w:val="5BA74225"/>
    <w:rsid w:val="5BA74539"/>
    <w:rsid w:val="5BAA5E6D"/>
    <w:rsid w:val="5BAC35E9"/>
    <w:rsid w:val="5BAE1921"/>
    <w:rsid w:val="5BAF1DD3"/>
    <w:rsid w:val="5BB04C2C"/>
    <w:rsid w:val="5BB10BFF"/>
    <w:rsid w:val="5BB406F0"/>
    <w:rsid w:val="5BB73D3C"/>
    <w:rsid w:val="5BB9296C"/>
    <w:rsid w:val="5BBC2946"/>
    <w:rsid w:val="5BBD5F67"/>
    <w:rsid w:val="5BBE4E38"/>
    <w:rsid w:val="5BBF33CE"/>
    <w:rsid w:val="5BC02A0A"/>
    <w:rsid w:val="5BC04402"/>
    <w:rsid w:val="5BC13075"/>
    <w:rsid w:val="5BC137E0"/>
    <w:rsid w:val="5BC16969"/>
    <w:rsid w:val="5BC172DC"/>
    <w:rsid w:val="5BC264D5"/>
    <w:rsid w:val="5BC307CB"/>
    <w:rsid w:val="5BC326E1"/>
    <w:rsid w:val="5BC41133"/>
    <w:rsid w:val="5BC54DDE"/>
    <w:rsid w:val="5BC72A71"/>
    <w:rsid w:val="5BC96AFE"/>
    <w:rsid w:val="5BCB0D3D"/>
    <w:rsid w:val="5BCC3C8B"/>
    <w:rsid w:val="5BCD17B1"/>
    <w:rsid w:val="5BCE1928"/>
    <w:rsid w:val="5BD01244"/>
    <w:rsid w:val="5BD054C0"/>
    <w:rsid w:val="5BD20B76"/>
    <w:rsid w:val="5BD40D92"/>
    <w:rsid w:val="5BD4709B"/>
    <w:rsid w:val="5BD60666"/>
    <w:rsid w:val="5BD668B8"/>
    <w:rsid w:val="5BD743DE"/>
    <w:rsid w:val="5BD90156"/>
    <w:rsid w:val="5BDA4433"/>
    <w:rsid w:val="5BDB6196"/>
    <w:rsid w:val="5BDE751B"/>
    <w:rsid w:val="5BE2525D"/>
    <w:rsid w:val="5BE25817"/>
    <w:rsid w:val="5BE26B53"/>
    <w:rsid w:val="5BE3061B"/>
    <w:rsid w:val="5BE3152A"/>
    <w:rsid w:val="5BE41558"/>
    <w:rsid w:val="5BE82147"/>
    <w:rsid w:val="5BED2EC8"/>
    <w:rsid w:val="5BED3C02"/>
    <w:rsid w:val="5BEE4432"/>
    <w:rsid w:val="5BEF1728"/>
    <w:rsid w:val="5BEF2E50"/>
    <w:rsid w:val="5BEF3536"/>
    <w:rsid w:val="5BF14693"/>
    <w:rsid w:val="5BF31218"/>
    <w:rsid w:val="5BF3671E"/>
    <w:rsid w:val="5BFA606B"/>
    <w:rsid w:val="5BFD1EB6"/>
    <w:rsid w:val="5BFE0B23"/>
    <w:rsid w:val="5BFE26BB"/>
    <w:rsid w:val="5C0056E3"/>
    <w:rsid w:val="5C033372"/>
    <w:rsid w:val="5C0407B1"/>
    <w:rsid w:val="5C061402"/>
    <w:rsid w:val="5C061FC0"/>
    <w:rsid w:val="5C0A0310"/>
    <w:rsid w:val="5C0A47B4"/>
    <w:rsid w:val="5C0D1BAE"/>
    <w:rsid w:val="5C0E7DD1"/>
    <w:rsid w:val="5C104C06"/>
    <w:rsid w:val="5C117407"/>
    <w:rsid w:val="5C117CF0"/>
    <w:rsid w:val="5C172F45"/>
    <w:rsid w:val="5C18110A"/>
    <w:rsid w:val="5C19140E"/>
    <w:rsid w:val="5C1949F7"/>
    <w:rsid w:val="5C1B4DFF"/>
    <w:rsid w:val="5C1B6248"/>
    <w:rsid w:val="5C1C158B"/>
    <w:rsid w:val="5C1C4C0F"/>
    <w:rsid w:val="5C1D2FEA"/>
    <w:rsid w:val="5C1D7AE0"/>
    <w:rsid w:val="5C1E27FF"/>
    <w:rsid w:val="5C210021"/>
    <w:rsid w:val="5C221AFD"/>
    <w:rsid w:val="5C246B44"/>
    <w:rsid w:val="5C2D0C63"/>
    <w:rsid w:val="5C2F1EB8"/>
    <w:rsid w:val="5C2F5FC8"/>
    <w:rsid w:val="5C302BB6"/>
    <w:rsid w:val="5C313AEE"/>
    <w:rsid w:val="5C3405A3"/>
    <w:rsid w:val="5C341831"/>
    <w:rsid w:val="5C351A5A"/>
    <w:rsid w:val="5C35586C"/>
    <w:rsid w:val="5C3830CF"/>
    <w:rsid w:val="5C384E7D"/>
    <w:rsid w:val="5C3B496D"/>
    <w:rsid w:val="5C427DE2"/>
    <w:rsid w:val="5C4508B5"/>
    <w:rsid w:val="5C451348"/>
    <w:rsid w:val="5C466467"/>
    <w:rsid w:val="5C473312"/>
    <w:rsid w:val="5C4E5DF6"/>
    <w:rsid w:val="5C4F0EBF"/>
    <w:rsid w:val="5C504241"/>
    <w:rsid w:val="5C515F3F"/>
    <w:rsid w:val="5C524459"/>
    <w:rsid w:val="5C541A56"/>
    <w:rsid w:val="5C594DF3"/>
    <w:rsid w:val="5C5A1A53"/>
    <w:rsid w:val="5C5B218B"/>
    <w:rsid w:val="5C5D613B"/>
    <w:rsid w:val="5C6362AB"/>
    <w:rsid w:val="5C641313"/>
    <w:rsid w:val="5C67342A"/>
    <w:rsid w:val="5C675762"/>
    <w:rsid w:val="5C684821"/>
    <w:rsid w:val="5C6A20FC"/>
    <w:rsid w:val="5C6D5E90"/>
    <w:rsid w:val="5C6E6AF1"/>
    <w:rsid w:val="5C6F4617"/>
    <w:rsid w:val="5C702869"/>
    <w:rsid w:val="5C71038F"/>
    <w:rsid w:val="5C7360F4"/>
    <w:rsid w:val="5C75035D"/>
    <w:rsid w:val="5C7A5495"/>
    <w:rsid w:val="5C7B2FBB"/>
    <w:rsid w:val="5C7F41AA"/>
    <w:rsid w:val="5C844566"/>
    <w:rsid w:val="5C877DCA"/>
    <w:rsid w:val="5C88053B"/>
    <w:rsid w:val="5C8A1451"/>
    <w:rsid w:val="5C8C341B"/>
    <w:rsid w:val="5C8E7EC3"/>
    <w:rsid w:val="5C900C58"/>
    <w:rsid w:val="5C9035FE"/>
    <w:rsid w:val="5C921D2A"/>
    <w:rsid w:val="5C930305"/>
    <w:rsid w:val="5C931820"/>
    <w:rsid w:val="5C932C77"/>
    <w:rsid w:val="5C9978CF"/>
    <w:rsid w:val="5C9F6CAA"/>
    <w:rsid w:val="5CA02A22"/>
    <w:rsid w:val="5CA50038"/>
    <w:rsid w:val="5CAD38E5"/>
    <w:rsid w:val="5CAD7A8C"/>
    <w:rsid w:val="5CB32755"/>
    <w:rsid w:val="5CB36BF9"/>
    <w:rsid w:val="5CBC54D0"/>
    <w:rsid w:val="5CBF1CC8"/>
    <w:rsid w:val="5CC2624E"/>
    <w:rsid w:val="5CC35A9F"/>
    <w:rsid w:val="5CC47F75"/>
    <w:rsid w:val="5CC63245"/>
    <w:rsid w:val="5CC63F81"/>
    <w:rsid w:val="5CC76201"/>
    <w:rsid w:val="5CCA7CA9"/>
    <w:rsid w:val="5CCB7A9F"/>
    <w:rsid w:val="5CCC1228"/>
    <w:rsid w:val="5CCF16D6"/>
    <w:rsid w:val="5CD66444"/>
    <w:rsid w:val="5CD75A8B"/>
    <w:rsid w:val="5CD808C6"/>
    <w:rsid w:val="5CD86660"/>
    <w:rsid w:val="5CDC1CAC"/>
    <w:rsid w:val="5CDE6D01"/>
    <w:rsid w:val="5CE13766"/>
    <w:rsid w:val="5CE172C2"/>
    <w:rsid w:val="5CE3233F"/>
    <w:rsid w:val="5CE40842"/>
    <w:rsid w:val="5CE40B61"/>
    <w:rsid w:val="5CE55871"/>
    <w:rsid w:val="5CE55984"/>
    <w:rsid w:val="5CE768A3"/>
    <w:rsid w:val="5CE81509"/>
    <w:rsid w:val="5CEA3F7C"/>
    <w:rsid w:val="5CEB2EBC"/>
    <w:rsid w:val="5CEC5C67"/>
    <w:rsid w:val="5CED55D9"/>
    <w:rsid w:val="5CEE067A"/>
    <w:rsid w:val="5CF039A9"/>
    <w:rsid w:val="5CF04837"/>
    <w:rsid w:val="5CF07506"/>
    <w:rsid w:val="5CF214D0"/>
    <w:rsid w:val="5CF2555C"/>
    <w:rsid w:val="5CF6082F"/>
    <w:rsid w:val="5CFB5EAA"/>
    <w:rsid w:val="5CFC721E"/>
    <w:rsid w:val="5CFE0958"/>
    <w:rsid w:val="5CFF3BED"/>
    <w:rsid w:val="5D015BB7"/>
    <w:rsid w:val="5D041624"/>
    <w:rsid w:val="5D065CE3"/>
    <w:rsid w:val="5D0B244E"/>
    <w:rsid w:val="5D0B33F0"/>
    <w:rsid w:val="5D110251"/>
    <w:rsid w:val="5D115ECC"/>
    <w:rsid w:val="5D13330C"/>
    <w:rsid w:val="5D1458EA"/>
    <w:rsid w:val="5D155135"/>
    <w:rsid w:val="5D1551BE"/>
    <w:rsid w:val="5D163495"/>
    <w:rsid w:val="5D177188"/>
    <w:rsid w:val="5D1A4582"/>
    <w:rsid w:val="5D1D4002"/>
    <w:rsid w:val="5D211DB5"/>
    <w:rsid w:val="5D24279B"/>
    <w:rsid w:val="5D2570F1"/>
    <w:rsid w:val="5D265BE4"/>
    <w:rsid w:val="5D270A95"/>
    <w:rsid w:val="5D28459A"/>
    <w:rsid w:val="5D2A4FA4"/>
    <w:rsid w:val="5D2E44D2"/>
    <w:rsid w:val="5D320BE3"/>
    <w:rsid w:val="5D335644"/>
    <w:rsid w:val="5D3503C1"/>
    <w:rsid w:val="5D352CFB"/>
    <w:rsid w:val="5D35760E"/>
    <w:rsid w:val="5D395350"/>
    <w:rsid w:val="5D3A639B"/>
    <w:rsid w:val="5D3A69D3"/>
    <w:rsid w:val="5D3B758B"/>
    <w:rsid w:val="5D3D237D"/>
    <w:rsid w:val="5D3D6D62"/>
    <w:rsid w:val="5D40739C"/>
    <w:rsid w:val="5D423AD9"/>
    <w:rsid w:val="5D476614"/>
    <w:rsid w:val="5D485594"/>
    <w:rsid w:val="5D4B52E3"/>
    <w:rsid w:val="5D4F3BA8"/>
    <w:rsid w:val="5D4F4AF3"/>
    <w:rsid w:val="5D4F626D"/>
    <w:rsid w:val="5D4F7070"/>
    <w:rsid w:val="5D55380D"/>
    <w:rsid w:val="5D5667ED"/>
    <w:rsid w:val="5D5757D7"/>
    <w:rsid w:val="5D5C103F"/>
    <w:rsid w:val="5D5F28DD"/>
    <w:rsid w:val="5D600B2F"/>
    <w:rsid w:val="5D622538"/>
    <w:rsid w:val="5D6A6CE7"/>
    <w:rsid w:val="5D6D0B56"/>
    <w:rsid w:val="5D6D0F8A"/>
    <w:rsid w:val="5D6D65F7"/>
    <w:rsid w:val="5D704AEA"/>
    <w:rsid w:val="5D707EFA"/>
    <w:rsid w:val="5D733D91"/>
    <w:rsid w:val="5D746389"/>
    <w:rsid w:val="5D760A41"/>
    <w:rsid w:val="5D775E79"/>
    <w:rsid w:val="5D8C6CF2"/>
    <w:rsid w:val="5D8D627E"/>
    <w:rsid w:val="5D8E1363"/>
    <w:rsid w:val="5D8F3CF3"/>
    <w:rsid w:val="5D903B83"/>
    <w:rsid w:val="5D911D76"/>
    <w:rsid w:val="5D9205BD"/>
    <w:rsid w:val="5D990D9F"/>
    <w:rsid w:val="5D9B31A2"/>
    <w:rsid w:val="5D9C3D56"/>
    <w:rsid w:val="5D9D6ED9"/>
    <w:rsid w:val="5DA26D78"/>
    <w:rsid w:val="5DA45AC6"/>
    <w:rsid w:val="5DA65751"/>
    <w:rsid w:val="5DAA42C6"/>
    <w:rsid w:val="5DAB2AB0"/>
    <w:rsid w:val="5DAC44AA"/>
    <w:rsid w:val="5DB04EE7"/>
    <w:rsid w:val="5DB06C95"/>
    <w:rsid w:val="5DB20F1B"/>
    <w:rsid w:val="5DB226B9"/>
    <w:rsid w:val="5DB5471B"/>
    <w:rsid w:val="5DB619E8"/>
    <w:rsid w:val="5DB76275"/>
    <w:rsid w:val="5DBC388C"/>
    <w:rsid w:val="5DBE29C2"/>
    <w:rsid w:val="5DC015CE"/>
    <w:rsid w:val="5DC0765B"/>
    <w:rsid w:val="5DC15346"/>
    <w:rsid w:val="5DC840E3"/>
    <w:rsid w:val="5DC866D4"/>
    <w:rsid w:val="5DCD0F64"/>
    <w:rsid w:val="5DCD14F0"/>
    <w:rsid w:val="5DCD3CEB"/>
    <w:rsid w:val="5DCD5395"/>
    <w:rsid w:val="5DCF1811"/>
    <w:rsid w:val="5DD24E5D"/>
    <w:rsid w:val="5DD37D14"/>
    <w:rsid w:val="5DD4506D"/>
    <w:rsid w:val="5DD45079"/>
    <w:rsid w:val="5DD53391"/>
    <w:rsid w:val="5DD5734B"/>
    <w:rsid w:val="5DD60DF1"/>
    <w:rsid w:val="5DD76949"/>
    <w:rsid w:val="5DD92690"/>
    <w:rsid w:val="5DD9443E"/>
    <w:rsid w:val="5DDA5439"/>
    <w:rsid w:val="5DDC7A8A"/>
    <w:rsid w:val="5DE133C9"/>
    <w:rsid w:val="5DE54B90"/>
    <w:rsid w:val="5DE80B25"/>
    <w:rsid w:val="5DEA1341"/>
    <w:rsid w:val="5DEF28C9"/>
    <w:rsid w:val="5DEF5A0F"/>
    <w:rsid w:val="5DEF7705"/>
    <w:rsid w:val="5DF23751"/>
    <w:rsid w:val="5DF624A8"/>
    <w:rsid w:val="5DFA3716"/>
    <w:rsid w:val="5DFA378D"/>
    <w:rsid w:val="5DFB43B4"/>
    <w:rsid w:val="5E041848"/>
    <w:rsid w:val="5E077B83"/>
    <w:rsid w:val="5E084D23"/>
    <w:rsid w:val="5E0D40E7"/>
    <w:rsid w:val="5E0F34AB"/>
    <w:rsid w:val="5E134288"/>
    <w:rsid w:val="5E1455B4"/>
    <w:rsid w:val="5E167440"/>
    <w:rsid w:val="5E176D14"/>
    <w:rsid w:val="5E1A5487"/>
    <w:rsid w:val="5E1D6206"/>
    <w:rsid w:val="5E1F3B6D"/>
    <w:rsid w:val="5E214BFD"/>
    <w:rsid w:val="5E223DB8"/>
    <w:rsid w:val="5E230712"/>
    <w:rsid w:val="5E243997"/>
    <w:rsid w:val="5E2558D5"/>
    <w:rsid w:val="5E2668CC"/>
    <w:rsid w:val="5E27164D"/>
    <w:rsid w:val="5E274643"/>
    <w:rsid w:val="5E280F21"/>
    <w:rsid w:val="5E290DED"/>
    <w:rsid w:val="5E294F98"/>
    <w:rsid w:val="5E2B119F"/>
    <w:rsid w:val="5E2C0A11"/>
    <w:rsid w:val="5E2C35A0"/>
    <w:rsid w:val="5E2C40B5"/>
    <w:rsid w:val="5E2D6537"/>
    <w:rsid w:val="5E2E5B93"/>
    <w:rsid w:val="5E2F0501"/>
    <w:rsid w:val="5E2F2CFF"/>
    <w:rsid w:val="5E325303"/>
    <w:rsid w:val="5E361890"/>
    <w:rsid w:val="5E3873B6"/>
    <w:rsid w:val="5E3B0C54"/>
    <w:rsid w:val="5E3C0F38"/>
    <w:rsid w:val="5E3D65D8"/>
    <w:rsid w:val="5E3E5E16"/>
    <w:rsid w:val="5E4349D5"/>
    <w:rsid w:val="5E4428C3"/>
    <w:rsid w:val="5E4A1F1E"/>
    <w:rsid w:val="5E4A7F45"/>
    <w:rsid w:val="5E4C2E5C"/>
    <w:rsid w:val="5E4C4C10"/>
    <w:rsid w:val="5E4D0988"/>
    <w:rsid w:val="5E4D2736"/>
    <w:rsid w:val="5E4E4E2C"/>
    <w:rsid w:val="5E4E650D"/>
    <w:rsid w:val="5E5427AC"/>
    <w:rsid w:val="5E5540CD"/>
    <w:rsid w:val="5E5732CD"/>
    <w:rsid w:val="5E5C694D"/>
    <w:rsid w:val="5E5D4F0E"/>
    <w:rsid w:val="5E5E7742"/>
    <w:rsid w:val="5E604730"/>
    <w:rsid w:val="5E60690D"/>
    <w:rsid w:val="5E632B71"/>
    <w:rsid w:val="5E6737F7"/>
    <w:rsid w:val="5E6915F1"/>
    <w:rsid w:val="5E6D4B86"/>
    <w:rsid w:val="5E6E102A"/>
    <w:rsid w:val="5E6E2DD8"/>
    <w:rsid w:val="5E6F6B50"/>
    <w:rsid w:val="5E7077F8"/>
    <w:rsid w:val="5E7336EE"/>
    <w:rsid w:val="5E7978F1"/>
    <w:rsid w:val="5E7D301B"/>
    <w:rsid w:val="5E7F704C"/>
    <w:rsid w:val="5E800339"/>
    <w:rsid w:val="5E823704"/>
    <w:rsid w:val="5E834604"/>
    <w:rsid w:val="5E8425FB"/>
    <w:rsid w:val="5E845A1C"/>
    <w:rsid w:val="5E88169C"/>
    <w:rsid w:val="5E8C14B0"/>
    <w:rsid w:val="5E8C5954"/>
    <w:rsid w:val="5E8D1D22"/>
    <w:rsid w:val="5E8E347A"/>
    <w:rsid w:val="5E910A8E"/>
    <w:rsid w:val="5E914D18"/>
    <w:rsid w:val="5E923E3D"/>
    <w:rsid w:val="5E9268B6"/>
    <w:rsid w:val="5E934044"/>
    <w:rsid w:val="5E967930"/>
    <w:rsid w:val="5E976111"/>
    <w:rsid w:val="5E99597B"/>
    <w:rsid w:val="5E9A02E6"/>
    <w:rsid w:val="5E9C4BA9"/>
    <w:rsid w:val="5E9D36BD"/>
    <w:rsid w:val="5EA467FA"/>
    <w:rsid w:val="5EA62054"/>
    <w:rsid w:val="5EA90B83"/>
    <w:rsid w:val="5EA92062"/>
    <w:rsid w:val="5EAD0156"/>
    <w:rsid w:val="5EAD3E4A"/>
    <w:rsid w:val="5EAE1426"/>
    <w:rsid w:val="5EAF69C9"/>
    <w:rsid w:val="5EB153BA"/>
    <w:rsid w:val="5EB3484C"/>
    <w:rsid w:val="5EB420C5"/>
    <w:rsid w:val="5EB54530"/>
    <w:rsid w:val="5EB57BE2"/>
    <w:rsid w:val="5EB629D1"/>
    <w:rsid w:val="5EB6477F"/>
    <w:rsid w:val="5EBD3D5F"/>
    <w:rsid w:val="5EBD489C"/>
    <w:rsid w:val="5EC108A7"/>
    <w:rsid w:val="5EC20493"/>
    <w:rsid w:val="5EC20D12"/>
    <w:rsid w:val="5EC34592"/>
    <w:rsid w:val="5EC43989"/>
    <w:rsid w:val="5EC46E9C"/>
    <w:rsid w:val="5EC7698C"/>
    <w:rsid w:val="5EC90812"/>
    <w:rsid w:val="5EC944B2"/>
    <w:rsid w:val="5ECD523E"/>
    <w:rsid w:val="5ECF75EF"/>
    <w:rsid w:val="5ED65E2E"/>
    <w:rsid w:val="5EDD1D0C"/>
    <w:rsid w:val="5EDF7832"/>
    <w:rsid w:val="5EE20953"/>
    <w:rsid w:val="5EE42922"/>
    <w:rsid w:val="5EE44BC7"/>
    <w:rsid w:val="5EE5414C"/>
    <w:rsid w:val="5EE86756"/>
    <w:rsid w:val="5EE92D7D"/>
    <w:rsid w:val="5EEB6ADB"/>
    <w:rsid w:val="5EED7110"/>
    <w:rsid w:val="5EEF50E9"/>
    <w:rsid w:val="5EF02B70"/>
    <w:rsid w:val="5EF048AB"/>
    <w:rsid w:val="5EF07C91"/>
    <w:rsid w:val="5EF157B7"/>
    <w:rsid w:val="5EF16819"/>
    <w:rsid w:val="5EF2315D"/>
    <w:rsid w:val="5EF41A5E"/>
    <w:rsid w:val="5EF62DCD"/>
    <w:rsid w:val="5EF64B7B"/>
    <w:rsid w:val="5EF86408"/>
    <w:rsid w:val="5EF977BF"/>
    <w:rsid w:val="5EFC1A9B"/>
    <w:rsid w:val="5EFD5F0A"/>
    <w:rsid w:val="5F021772"/>
    <w:rsid w:val="5F024678"/>
    <w:rsid w:val="5F05030F"/>
    <w:rsid w:val="5F053584"/>
    <w:rsid w:val="5F063972"/>
    <w:rsid w:val="5F08322C"/>
    <w:rsid w:val="5F0A3A8D"/>
    <w:rsid w:val="5F0A3D3F"/>
    <w:rsid w:val="5F0E4EB5"/>
    <w:rsid w:val="5F117C07"/>
    <w:rsid w:val="5F125E4B"/>
    <w:rsid w:val="5F1647E6"/>
    <w:rsid w:val="5F182D44"/>
    <w:rsid w:val="5F1C2834"/>
    <w:rsid w:val="5F1C4038"/>
    <w:rsid w:val="5F1E295A"/>
    <w:rsid w:val="5F1F2324"/>
    <w:rsid w:val="5F21609C"/>
    <w:rsid w:val="5F261B8F"/>
    <w:rsid w:val="5F296CFF"/>
    <w:rsid w:val="5F2B0CC9"/>
    <w:rsid w:val="5F2E2567"/>
    <w:rsid w:val="5F304531"/>
    <w:rsid w:val="5F3151E4"/>
    <w:rsid w:val="5F337B7D"/>
    <w:rsid w:val="5F3456CC"/>
    <w:rsid w:val="5F37766E"/>
    <w:rsid w:val="5F43229A"/>
    <w:rsid w:val="5F441BA1"/>
    <w:rsid w:val="5F4505F1"/>
    <w:rsid w:val="5F4749D5"/>
    <w:rsid w:val="5F487D43"/>
    <w:rsid w:val="5F492843"/>
    <w:rsid w:val="5F4B022D"/>
    <w:rsid w:val="5F4C0C3F"/>
    <w:rsid w:val="5F502880"/>
    <w:rsid w:val="5F544FE0"/>
    <w:rsid w:val="5F553F98"/>
    <w:rsid w:val="5F576660"/>
    <w:rsid w:val="5F577AF4"/>
    <w:rsid w:val="5F5B365D"/>
    <w:rsid w:val="5F5C5C33"/>
    <w:rsid w:val="5F5E400B"/>
    <w:rsid w:val="5F5E7C5A"/>
    <w:rsid w:val="5F5F2137"/>
    <w:rsid w:val="5F6441DB"/>
    <w:rsid w:val="5F6728B1"/>
    <w:rsid w:val="5F6751E7"/>
    <w:rsid w:val="5F6A1041"/>
    <w:rsid w:val="5F6E0BB6"/>
    <w:rsid w:val="5F7057A9"/>
    <w:rsid w:val="5F720B41"/>
    <w:rsid w:val="5F72794F"/>
    <w:rsid w:val="5F7408C2"/>
    <w:rsid w:val="5F752C14"/>
    <w:rsid w:val="5F7614B4"/>
    <w:rsid w:val="5F7A755A"/>
    <w:rsid w:val="5F7D01CA"/>
    <w:rsid w:val="5F7E623C"/>
    <w:rsid w:val="5F811083"/>
    <w:rsid w:val="5F813323"/>
    <w:rsid w:val="5F814D8D"/>
    <w:rsid w:val="5F837C45"/>
    <w:rsid w:val="5F8A1E93"/>
    <w:rsid w:val="5F8C2055"/>
    <w:rsid w:val="5F8C5268"/>
    <w:rsid w:val="5F8D54E0"/>
    <w:rsid w:val="5F8F1018"/>
    <w:rsid w:val="5F8F5336"/>
    <w:rsid w:val="5F90442C"/>
    <w:rsid w:val="5F9405F6"/>
    <w:rsid w:val="5F97263D"/>
    <w:rsid w:val="5F973174"/>
    <w:rsid w:val="5F984EDD"/>
    <w:rsid w:val="5F9920D6"/>
    <w:rsid w:val="5F9C2CEE"/>
    <w:rsid w:val="5F9E149B"/>
    <w:rsid w:val="5F9E767D"/>
    <w:rsid w:val="5F9F5213"/>
    <w:rsid w:val="5FA0363D"/>
    <w:rsid w:val="5FA25B22"/>
    <w:rsid w:val="5FA36AB1"/>
    <w:rsid w:val="5FA37FDB"/>
    <w:rsid w:val="5FA82DB8"/>
    <w:rsid w:val="5FAA6045"/>
    <w:rsid w:val="5FAB67AC"/>
    <w:rsid w:val="5FAD5B82"/>
    <w:rsid w:val="5FAE07B9"/>
    <w:rsid w:val="5FAF0389"/>
    <w:rsid w:val="5FAF1AD8"/>
    <w:rsid w:val="5FB04FF9"/>
    <w:rsid w:val="5FB174C5"/>
    <w:rsid w:val="5FB213EA"/>
    <w:rsid w:val="5FB22D7A"/>
    <w:rsid w:val="5FB276FB"/>
    <w:rsid w:val="5FB3612E"/>
    <w:rsid w:val="5FB433A8"/>
    <w:rsid w:val="5FB5188F"/>
    <w:rsid w:val="5FB81535"/>
    <w:rsid w:val="5FB82DF5"/>
    <w:rsid w:val="5FBA4F8F"/>
    <w:rsid w:val="5FBC0EF7"/>
    <w:rsid w:val="5FBC7B73"/>
    <w:rsid w:val="5FC1062C"/>
    <w:rsid w:val="5FC12487"/>
    <w:rsid w:val="5FC258B0"/>
    <w:rsid w:val="5FC92639"/>
    <w:rsid w:val="5FCA04E2"/>
    <w:rsid w:val="5FCA1DC6"/>
    <w:rsid w:val="5FCD1D80"/>
    <w:rsid w:val="5FCD59A5"/>
    <w:rsid w:val="5FCF5AF8"/>
    <w:rsid w:val="5FD05BDB"/>
    <w:rsid w:val="5FD07DEA"/>
    <w:rsid w:val="5FD12680"/>
    <w:rsid w:val="5FD15825"/>
    <w:rsid w:val="5FD7149A"/>
    <w:rsid w:val="5FD7153B"/>
    <w:rsid w:val="5FDC1FC3"/>
    <w:rsid w:val="5FDE1FDB"/>
    <w:rsid w:val="5FDE21DF"/>
    <w:rsid w:val="5FDE5D3B"/>
    <w:rsid w:val="5FDF5417"/>
    <w:rsid w:val="5FE3135A"/>
    <w:rsid w:val="5FE7259D"/>
    <w:rsid w:val="5FE8018E"/>
    <w:rsid w:val="5FE86BBA"/>
    <w:rsid w:val="5FEA2983"/>
    <w:rsid w:val="5FED2422"/>
    <w:rsid w:val="5FF3450B"/>
    <w:rsid w:val="5FF66790"/>
    <w:rsid w:val="5FFA7083"/>
    <w:rsid w:val="5FFD26C3"/>
    <w:rsid w:val="5FFD614E"/>
    <w:rsid w:val="5FFE64ED"/>
    <w:rsid w:val="60016769"/>
    <w:rsid w:val="60022FAC"/>
    <w:rsid w:val="60025ECE"/>
    <w:rsid w:val="600339F4"/>
    <w:rsid w:val="6005151A"/>
    <w:rsid w:val="600618DE"/>
    <w:rsid w:val="60082D51"/>
    <w:rsid w:val="60087BCC"/>
    <w:rsid w:val="60087F08"/>
    <w:rsid w:val="600E1D95"/>
    <w:rsid w:val="601074FD"/>
    <w:rsid w:val="60161DF5"/>
    <w:rsid w:val="60177EA5"/>
    <w:rsid w:val="60190079"/>
    <w:rsid w:val="60196D73"/>
    <w:rsid w:val="601A604B"/>
    <w:rsid w:val="601C6864"/>
    <w:rsid w:val="601D2D07"/>
    <w:rsid w:val="60206354"/>
    <w:rsid w:val="6021034B"/>
    <w:rsid w:val="602434EA"/>
    <w:rsid w:val="60261FB8"/>
    <w:rsid w:val="602816AC"/>
    <w:rsid w:val="60285603"/>
    <w:rsid w:val="602A5424"/>
    <w:rsid w:val="602F2A3B"/>
    <w:rsid w:val="60301CB5"/>
    <w:rsid w:val="603242D9"/>
    <w:rsid w:val="60326087"/>
    <w:rsid w:val="60343BAD"/>
    <w:rsid w:val="60360A9F"/>
    <w:rsid w:val="6037544B"/>
    <w:rsid w:val="60381A6D"/>
    <w:rsid w:val="603B1BA0"/>
    <w:rsid w:val="603E67DA"/>
    <w:rsid w:val="603F7E3D"/>
    <w:rsid w:val="604051A9"/>
    <w:rsid w:val="60406A3C"/>
    <w:rsid w:val="60406FB2"/>
    <w:rsid w:val="60455888"/>
    <w:rsid w:val="6046296A"/>
    <w:rsid w:val="60471B32"/>
    <w:rsid w:val="604844D5"/>
    <w:rsid w:val="60485855"/>
    <w:rsid w:val="604951CC"/>
    <w:rsid w:val="604A33D1"/>
    <w:rsid w:val="604A6EAE"/>
    <w:rsid w:val="604C7149"/>
    <w:rsid w:val="604D2EC1"/>
    <w:rsid w:val="60504934"/>
    <w:rsid w:val="6051650D"/>
    <w:rsid w:val="60516A15"/>
    <w:rsid w:val="605440F6"/>
    <w:rsid w:val="605602FA"/>
    <w:rsid w:val="60566219"/>
    <w:rsid w:val="605709F3"/>
    <w:rsid w:val="60597AB8"/>
    <w:rsid w:val="605A1B9D"/>
    <w:rsid w:val="605B497A"/>
    <w:rsid w:val="605C3F4A"/>
    <w:rsid w:val="605D18A9"/>
    <w:rsid w:val="605F317E"/>
    <w:rsid w:val="60624BBE"/>
    <w:rsid w:val="606426B0"/>
    <w:rsid w:val="60661155"/>
    <w:rsid w:val="606714F1"/>
    <w:rsid w:val="60687CFB"/>
    <w:rsid w:val="606B400E"/>
    <w:rsid w:val="606F595D"/>
    <w:rsid w:val="60706116"/>
    <w:rsid w:val="60715B7C"/>
    <w:rsid w:val="607246D5"/>
    <w:rsid w:val="60745FCF"/>
    <w:rsid w:val="60762604"/>
    <w:rsid w:val="60795A64"/>
    <w:rsid w:val="60796DB3"/>
    <w:rsid w:val="60797868"/>
    <w:rsid w:val="607B6D37"/>
    <w:rsid w:val="607D53C9"/>
    <w:rsid w:val="607F0C51"/>
    <w:rsid w:val="60805044"/>
    <w:rsid w:val="60820DBC"/>
    <w:rsid w:val="60821FDA"/>
    <w:rsid w:val="60826182"/>
    <w:rsid w:val="6085610A"/>
    <w:rsid w:val="60870181"/>
    <w:rsid w:val="608A57E5"/>
    <w:rsid w:val="608A6065"/>
    <w:rsid w:val="608A7C71"/>
    <w:rsid w:val="608E59B3"/>
    <w:rsid w:val="609335E7"/>
    <w:rsid w:val="60936B26"/>
    <w:rsid w:val="60942293"/>
    <w:rsid w:val="6097252D"/>
    <w:rsid w:val="609847C1"/>
    <w:rsid w:val="609D79A4"/>
    <w:rsid w:val="60A457A0"/>
    <w:rsid w:val="60A725D1"/>
    <w:rsid w:val="60A9459B"/>
    <w:rsid w:val="60A96349"/>
    <w:rsid w:val="60AC7BE7"/>
    <w:rsid w:val="60B563EC"/>
    <w:rsid w:val="60B62814"/>
    <w:rsid w:val="60B71A88"/>
    <w:rsid w:val="60B920B3"/>
    <w:rsid w:val="60BA0556"/>
    <w:rsid w:val="60BB7E2A"/>
    <w:rsid w:val="60C07B37"/>
    <w:rsid w:val="60C211B9"/>
    <w:rsid w:val="60C21D67"/>
    <w:rsid w:val="60C233F4"/>
    <w:rsid w:val="60C2740B"/>
    <w:rsid w:val="60C55E8B"/>
    <w:rsid w:val="60C92AD5"/>
    <w:rsid w:val="60C969EB"/>
    <w:rsid w:val="60CA4511"/>
    <w:rsid w:val="60CA62C0"/>
    <w:rsid w:val="60CE4002"/>
    <w:rsid w:val="60D4489F"/>
    <w:rsid w:val="60D46387"/>
    <w:rsid w:val="60DB227B"/>
    <w:rsid w:val="60DC672C"/>
    <w:rsid w:val="60DD0AD5"/>
    <w:rsid w:val="60DD17BB"/>
    <w:rsid w:val="60E16518"/>
    <w:rsid w:val="60E27AAD"/>
    <w:rsid w:val="60E635B0"/>
    <w:rsid w:val="60E72770"/>
    <w:rsid w:val="60E91BC0"/>
    <w:rsid w:val="60E94C14"/>
    <w:rsid w:val="60EA5679"/>
    <w:rsid w:val="60EE12A3"/>
    <w:rsid w:val="60F13276"/>
    <w:rsid w:val="60F15F42"/>
    <w:rsid w:val="60F16C5F"/>
    <w:rsid w:val="60F264E5"/>
    <w:rsid w:val="60F421DB"/>
    <w:rsid w:val="60F50A4C"/>
    <w:rsid w:val="60F52274"/>
    <w:rsid w:val="60FA14BB"/>
    <w:rsid w:val="60FA4DF7"/>
    <w:rsid w:val="60FB085A"/>
    <w:rsid w:val="60FF6129"/>
    <w:rsid w:val="61007F33"/>
    <w:rsid w:val="61037CD2"/>
    <w:rsid w:val="61047A23"/>
    <w:rsid w:val="6106234B"/>
    <w:rsid w:val="6106379C"/>
    <w:rsid w:val="610B0DB2"/>
    <w:rsid w:val="610D45E2"/>
    <w:rsid w:val="610D5E74"/>
    <w:rsid w:val="61112140"/>
    <w:rsid w:val="61125714"/>
    <w:rsid w:val="61147A2A"/>
    <w:rsid w:val="61181721"/>
    <w:rsid w:val="611A2CC5"/>
    <w:rsid w:val="611E03C5"/>
    <w:rsid w:val="61265945"/>
    <w:rsid w:val="61274000"/>
    <w:rsid w:val="6128066E"/>
    <w:rsid w:val="6129323E"/>
    <w:rsid w:val="612A032F"/>
    <w:rsid w:val="612B3202"/>
    <w:rsid w:val="613100ED"/>
    <w:rsid w:val="61315E0A"/>
    <w:rsid w:val="61325CA3"/>
    <w:rsid w:val="61357BDD"/>
    <w:rsid w:val="61374E3F"/>
    <w:rsid w:val="6138147B"/>
    <w:rsid w:val="613D1187"/>
    <w:rsid w:val="6142679E"/>
    <w:rsid w:val="6148221B"/>
    <w:rsid w:val="614D06B5"/>
    <w:rsid w:val="614E5143"/>
    <w:rsid w:val="614E56D8"/>
    <w:rsid w:val="6151253D"/>
    <w:rsid w:val="61512A0B"/>
    <w:rsid w:val="6151768E"/>
    <w:rsid w:val="61573FF7"/>
    <w:rsid w:val="61577621"/>
    <w:rsid w:val="615A5895"/>
    <w:rsid w:val="615C785F"/>
    <w:rsid w:val="61614E76"/>
    <w:rsid w:val="616218C1"/>
    <w:rsid w:val="61623355"/>
    <w:rsid w:val="61635168"/>
    <w:rsid w:val="61640CF3"/>
    <w:rsid w:val="61642270"/>
    <w:rsid w:val="61662F15"/>
    <w:rsid w:val="61671D60"/>
    <w:rsid w:val="61677FB2"/>
    <w:rsid w:val="6169594A"/>
    <w:rsid w:val="61695AD8"/>
    <w:rsid w:val="616E1341"/>
    <w:rsid w:val="6174014D"/>
    <w:rsid w:val="61752431"/>
    <w:rsid w:val="617A7CE6"/>
    <w:rsid w:val="617F52FC"/>
    <w:rsid w:val="61811193"/>
    <w:rsid w:val="61846571"/>
    <w:rsid w:val="618B3CA1"/>
    <w:rsid w:val="618B4367"/>
    <w:rsid w:val="618D43B1"/>
    <w:rsid w:val="618F621F"/>
    <w:rsid w:val="618F658B"/>
    <w:rsid w:val="61953E41"/>
    <w:rsid w:val="61963405"/>
    <w:rsid w:val="61970500"/>
    <w:rsid w:val="61970898"/>
    <w:rsid w:val="6198016C"/>
    <w:rsid w:val="619C4100"/>
    <w:rsid w:val="619C7240"/>
    <w:rsid w:val="61A15272"/>
    <w:rsid w:val="61A44D62"/>
    <w:rsid w:val="61A8270A"/>
    <w:rsid w:val="61A92379"/>
    <w:rsid w:val="61AB1547"/>
    <w:rsid w:val="61AB7E9F"/>
    <w:rsid w:val="61AD07D7"/>
    <w:rsid w:val="61AF6B5F"/>
    <w:rsid w:val="61B2747F"/>
    <w:rsid w:val="61B40C12"/>
    <w:rsid w:val="61B431F8"/>
    <w:rsid w:val="61B436B7"/>
    <w:rsid w:val="61B60159"/>
    <w:rsid w:val="61B72CE8"/>
    <w:rsid w:val="61B94EA4"/>
    <w:rsid w:val="61BA0AE1"/>
    <w:rsid w:val="61BB4AB4"/>
    <w:rsid w:val="61BC4533"/>
    <w:rsid w:val="61BF394A"/>
    <w:rsid w:val="61C14D4C"/>
    <w:rsid w:val="61C26959"/>
    <w:rsid w:val="61C6117D"/>
    <w:rsid w:val="61C63B4A"/>
    <w:rsid w:val="61C66154"/>
    <w:rsid w:val="61C7162B"/>
    <w:rsid w:val="61C73E1C"/>
    <w:rsid w:val="61CA68BF"/>
    <w:rsid w:val="61CD6067"/>
    <w:rsid w:val="61CE53C5"/>
    <w:rsid w:val="61CF0031"/>
    <w:rsid w:val="61D03DA9"/>
    <w:rsid w:val="61D07681"/>
    <w:rsid w:val="61D5656C"/>
    <w:rsid w:val="61D60205"/>
    <w:rsid w:val="61D73448"/>
    <w:rsid w:val="61D92C5E"/>
    <w:rsid w:val="61DA0784"/>
    <w:rsid w:val="61DA69D6"/>
    <w:rsid w:val="61DB73ED"/>
    <w:rsid w:val="61DE1161"/>
    <w:rsid w:val="61E433B1"/>
    <w:rsid w:val="61E6537B"/>
    <w:rsid w:val="61E67129"/>
    <w:rsid w:val="61E840B7"/>
    <w:rsid w:val="61E909C7"/>
    <w:rsid w:val="61EB2991"/>
    <w:rsid w:val="61ED3C40"/>
    <w:rsid w:val="61EE1D96"/>
    <w:rsid w:val="61EE5114"/>
    <w:rsid w:val="61F07FA8"/>
    <w:rsid w:val="61F21617"/>
    <w:rsid w:val="61F23D20"/>
    <w:rsid w:val="61F24F72"/>
    <w:rsid w:val="61F27C68"/>
    <w:rsid w:val="61F412AC"/>
    <w:rsid w:val="61F41846"/>
    <w:rsid w:val="61F51865"/>
    <w:rsid w:val="61F555BE"/>
    <w:rsid w:val="61F623AC"/>
    <w:rsid w:val="61F64ED0"/>
    <w:rsid w:val="61F93300"/>
    <w:rsid w:val="61FC4B9F"/>
    <w:rsid w:val="61FF668E"/>
    <w:rsid w:val="62057A77"/>
    <w:rsid w:val="620640D1"/>
    <w:rsid w:val="62080934"/>
    <w:rsid w:val="62080A1D"/>
    <w:rsid w:val="620819F1"/>
    <w:rsid w:val="6208709F"/>
    <w:rsid w:val="620C6918"/>
    <w:rsid w:val="620D3E17"/>
    <w:rsid w:val="621041A6"/>
    <w:rsid w:val="62104BE7"/>
    <w:rsid w:val="621052DB"/>
    <w:rsid w:val="62133235"/>
    <w:rsid w:val="6215051C"/>
    <w:rsid w:val="62155CCB"/>
    <w:rsid w:val="621719D8"/>
    <w:rsid w:val="621932D0"/>
    <w:rsid w:val="622110B1"/>
    <w:rsid w:val="622148F7"/>
    <w:rsid w:val="62234171"/>
    <w:rsid w:val="62237832"/>
    <w:rsid w:val="62261C1B"/>
    <w:rsid w:val="622804FC"/>
    <w:rsid w:val="622D16DD"/>
    <w:rsid w:val="622F0AD0"/>
    <w:rsid w:val="623217EC"/>
    <w:rsid w:val="6232236E"/>
    <w:rsid w:val="623555C4"/>
    <w:rsid w:val="62356451"/>
    <w:rsid w:val="62356B28"/>
    <w:rsid w:val="623717DC"/>
    <w:rsid w:val="62375BD7"/>
    <w:rsid w:val="623B1121"/>
    <w:rsid w:val="623C0681"/>
    <w:rsid w:val="623C31ED"/>
    <w:rsid w:val="623D1ECB"/>
    <w:rsid w:val="623F3015"/>
    <w:rsid w:val="62410803"/>
    <w:rsid w:val="62410D3C"/>
    <w:rsid w:val="62420744"/>
    <w:rsid w:val="624658A2"/>
    <w:rsid w:val="62487DE4"/>
    <w:rsid w:val="62491A41"/>
    <w:rsid w:val="624C756A"/>
    <w:rsid w:val="624E5BA4"/>
    <w:rsid w:val="624F4CCE"/>
    <w:rsid w:val="625247BE"/>
    <w:rsid w:val="625377B6"/>
    <w:rsid w:val="62540537"/>
    <w:rsid w:val="62546D99"/>
    <w:rsid w:val="62570027"/>
    <w:rsid w:val="62586279"/>
    <w:rsid w:val="62595B4D"/>
    <w:rsid w:val="625C73EB"/>
    <w:rsid w:val="625D2303"/>
    <w:rsid w:val="6260390A"/>
    <w:rsid w:val="62612C54"/>
    <w:rsid w:val="62615907"/>
    <w:rsid w:val="626369CC"/>
    <w:rsid w:val="62650996"/>
    <w:rsid w:val="626616D3"/>
    <w:rsid w:val="62666AA9"/>
    <w:rsid w:val="6268271C"/>
    <w:rsid w:val="62686805"/>
    <w:rsid w:val="626B283D"/>
    <w:rsid w:val="626B762E"/>
    <w:rsid w:val="626D3A84"/>
    <w:rsid w:val="627004FF"/>
    <w:rsid w:val="62701205"/>
    <w:rsid w:val="627110E9"/>
    <w:rsid w:val="627358CD"/>
    <w:rsid w:val="62736172"/>
    <w:rsid w:val="62740BD9"/>
    <w:rsid w:val="62782DB4"/>
    <w:rsid w:val="62797272"/>
    <w:rsid w:val="627B77D7"/>
    <w:rsid w:val="627C068D"/>
    <w:rsid w:val="627E7362"/>
    <w:rsid w:val="62832BCA"/>
    <w:rsid w:val="62834F65"/>
    <w:rsid w:val="6284465F"/>
    <w:rsid w:val="628506F0"/>
    <w:rsid w:val="628801C5"/>
    <w:rsid w:val="62894392"/>
    <w:rsid w:val="628A743D"/>
    <w:rsid w:val="628D28EC"/>
    <w:rsid w:val="628D3A49"/>
    <w:rsid w:val="628F156F"/>
    <w:rsid w:val="629032C6"/>
    <w:rsid w:val="62954A01"/>
    <w:rsid w:val="6297415B"/>
    <w:rsid w:val="62976675"/>
    <w:rsid w:val="629848C7"/>
    <w:rsid w:val="629A676B"/>
    <w:rsid w:val="629B5102"/>
    <w:rsid w:val="62A001E9"/>
    <w:rsid w:val="62A05BAB"/>
    <w:rsid w:val="62A121A8"/>
    <w:rsid w:val="62A366FB"/>
    <w:rsid w:val="62A56FE4"/>
    <w:rsid w:val="62A64415"/>
    <w:rsid w:val="62A715D5"/>
    <w:rsid w:val="62A71A37"/>
    <w:rsid w:val="62A766CE"/>
    <w:rsid w:val="62AB2480"/>
    <w:rsid w:val="62AD7E76"/>
    <w:rsid w:val="62B06A9B"/>
    <w:rsid w:val="62B07070"/>
    <w:rsid w:val="62B2525D"/>
    <w:rsid w:val="62B32AB4"/>
    <w:rsid w:val="62B441BA"/>
    <w:rsid w:val="62B66AFB"/>
    <w:rsid w:val="62B72874"/>
    <w:rsid w:val="62B82572"/>
    <w:rsid w:val="62B965EC"/>
    <w:rsid w:val="62BA2B36"/>
    <w:rsid w:val="62BA4DE8"/>
    <w:rsid w:val="62BA7BAB"/>
    <w:rsid w:val="62BC0916"/>
    <w:rsid w:val="62BE1E54"/>
    <w:rsid w:val="62BF3056"/>
    <w:rsid w:val="62BF65F1"/>
    <w:rsid w:val="62C16A9E"/>
    <w:rsid w:val="62C31809"/>
    <w:rsid w:val="62C3211C"/>
    <w:rsid w:val="62C40A7A"/>
    <w:rsid w:val="62C566D9"/>
    <w:rsid w:val="62C90F25"/>
    <w:rsid w:val="62CB09BA"/>
    <w:rsid w:val="62CC27C3"/>
    <w:rsid w:val="62CE653B"/>
    <w:rsid w:val="62D00090"/>
    <w:rsid w:val="62D3465B"/>
    <w:rsid w:val="62D6719E"/>
    <w:rsid w:val="62DC3BE3"/>
    <w:rsid w:val="62DF2184"/>
    <w:rsid w:val="62E17A7F"/>
    <w:rsid w:val="62E36403"/>
    <w:rsid w:val="62E53885"/>
    <w:rsid w:val="62E64B06"/>
    <w:rsid w:val="62EA0E9B"/>
    <w:rsid w:val="62EA2C49"/>
    <w:rsid w:val="62EB2579"/>
    <w:rsid w:val="62EC076F"/>
    <w:rsid w:val="62F15E28"/>
    <w:rsid w:val="62F92F09"/>
    <w:rsid w:val="62FD15A6"/>
    <w:rsid w:val="62FD472A"/>
    <w:rsid w:val="62FE04A2"/>
    <w:rsid w:val="62FF0538"/>
    <w:rsid w:val="62FF3FEA"/>
    <w:rsid w:val="63003FDB"/>
    <w:rsid w:val="63047088"/>
    <w:rsid w:val="630A112D"/>
    <w:rsid w:val="630E090A"/>
    <w:rsid w:val="63114522"/>
    <w:rsid w:val="63134A77"/>
    <w:rsid w:val="63135EFC"/>
    <w:rsid w:val="63142AC8"/>
    <w:rsid w:val="6315088D"/>
    <w:rsid w:val="6316440C"/>
    <w:rsid w:val="631A1780"/>
    <w:rsid w:val="631A352E"/>
    <w:rsid w:val="631A3871"/>
    <w:rsid w:val="631C4893"/>
    <w:rsid w:val="631D2160"/>
    <w:rsid w:val="631D4C44"/>
    <w:rsid w:val="631F0B45"/>
    <w:rsid w:val="632411E5"/>
    <w:rsid w:val="63241970"/>
    <w:rsid w:val="632565F0"/>
    <w:rsid w:val="63260125"/>
    <w:rsid w:val="6327176F"/>
    <w:rsid w:val="63274B17"/>
    <w:rsid w:val="6327604F"/>
    <w:rsid w:val="632C14B3"/>
    <w:rsid w:val="63307853"/>
    <w:rsid w:val="63316ACA"/>
    <w:rsid w:val="63332862"/>
    <w:rsid w:val="633345F0"/>
    <w:rsid w:val="63351AF5"/>
    <w:rsid w:val="633839B4"/>
    <w:rsid w:val="633B0D1D"/>
    <w:rsid w:val="633B165F"/>
    <w:rsid w:val="633F733D"/>
    <w:rsid w:val="63400ABB"/>
    <w:rsid w:val="63415DF0"/>
    <w:rsid w:val="63430186"/>
    <w:rsid w:val="634405AB"/>
    <w:rsid w:val="63443525"/>
    <w:rsid w:val="634525C3"/>
    <w:rsid w:val="63494739"/>
    <w:rsid w:val="634C7F12"/>
    <w:rsid w:val="634D1708"/>
    <w:rsid w:val="634E4F86"/>
    <w:rsid w:val="63501214"/>
    <w:rsid w:val="63514A76"/>
    <w:rsid w:val="635446C9"/>
    <w:rsid w:val="6355484A"/>
    <w:rsid w:val="635808A7"/>
    <w:rsid w:val="635909D8"/>
    <w:rsid w:val="635A1B7D"/>
    <w:rsid w:val="635A392B"/>
    <w:rsid w:val="635B6302"/>
    <w:rsid w:val="635C3B47"/>
    <w:rsid w:val="635C3E4B"/>
    <w:rsid w:val="635F406D"/>
    <w:rsid w:val="635F53E5"/>
    <w:rsid w:val="6360236C"/>
    <w:rsid w:val="63616223"/>
    <w:rsid w:val="63642186"/>
    <w:rsid w:val="63653516"/>
    <w:rsid w:val="63676048"/>
    <w:rsid w:val="636C365E"/>
    <w:rsid w:val="6370314E"/>
    <w:rsid w:val="63723C63"/>
    <w:rsid w:val="63733F5D"/>
    <w:rsid w:val="6375048D"/>
    <w:rsid w:val="63766563"/>
    <w:rsid w:val="637750F1"/>
    <w:rsid w:val="637D586B"/>
    <w:rsid w:val="637F1920"/>
    <w:rsid w:val="637F36E5"/>
    <w:rsid w:val="638033FD"/>
    <w:rsid w:val="63820428"/>
    <w:rsid w:val="638210D3"/>
    <w:rsid w:val="638259C1"/>
    <w:rsid w:val="63825CCB"/>
    <w:rsid w:val="63832437"/>
    <w:rsid w:val="6386440B"/>
    <w:rsid w:val="63864720"/>
    <w:rsid w:val="638732C2"/>
    <w:rsid w:val="638906B4"/>
    <w:rsid w:val="638B02BB"/>
    <w:rsid w:val="638E17F6"/>
    <w:rsid w:val="638E7A78"/>
    <w:rsid w:val="639257BA"/>
    <w:rsid w:val="63934EFE"/>
    <w:rsid w:val="6393508F"/>
    <w:rsid w:val="63936E3D"/>
    <w:rsid w:val="63973CB4"/>
    <w:rsid w:val="63980B17"/>
    <w:rsid w:val="639826A5"/>
    <w:rsid w:val="639A466F"/>
    <w:rsid w:val="639A641D"/>
    <w:rsid w:val="639C6B04"/>
    <w:rsid w:val="639C7A33"/>
    <w:rsid w:val="639F1C85"/>
    <w:rsid w:val="63A15907"/>
    <w:rsid w:val="63A159FD"/>
    <w:rsid w:val="63A20EB2"/>
    <w:rsid w:val="63A249FB"/>
    <w:rsid w:val="63A252D2"/>
    <w:rsid w:val="63A33F34"/>
    <w:rsid w:val="63A63014"/>
    <w:rsid w:val="63AA37AD"/>
    <w:rsid w:val="63AA7E44"/>
    <w:rsid w:val="63AB687C"/>
    <w:rsid w:val="63AE778A"/>
    <w:rsid w:val="63AF083E"/>
    <w:rsid w:val="63B15515"/>
    <w:rsid w:val="63B35731"/>
    <w:rsid w:val="63B53257"/>
    <w:rsid w:val="63BA4F4D"/>
    <w:rsid w:val="63BC2837"/>
    <w:rsid w:val="63BD1ABC"/>
    <w:rsid w:val="63BD210C"/>
    <w:rsid w:val="63BE6A87"/>
    <w:rsid w:val="63BF7C32"/>
    <w:rsid w:val="63C01095"/>
    <w:rsid w:val="63C35974"/>
    <w:rsid w:val="63C77EDB"/>
    <w:rsid w:val="63C82DE8"/>
    <w:rsid w:val="63CB65D6"/>
    <w:rsid w:val="63CC17C6"/>
    <w:rsid w:val="63CF4AA9"/>
    <w:rsid w:val="63D06D5A"/>
    <w:rsid w:val="63D25BB7"/>
    <w:rsid w:val="63D26FFE"/>
    <w:rsid w:val="63D52A21"/>
    <w:rsid w:val="63D60AE8"/>
    <w:rsid w:val="63DB09A1"/>
    <w:rsid w:val="63DC7C3A"/>
    <w:rsid w:val="63DD19E8"/>
    <w:rsid w:val="63DF02D4"/>
    <w:rsid w:val="63DF4505"/>
    <w:rsid w:val="63E16410"/>
    <w:rsid w:val="63E20C5C"/>
    <w:rsid w:val="63E27A90"/>
    <w:rsid w:val="63E34D49"/>
    <w:rsid w:val="63E44724"/>
    <w:rsid w:val="63E46F54"/>
    <w:rsid w:val="63E545FF"/>
    <w:rsid w:val="63E61662"/>
    <w:rsid w:val="63E64480"/>
    <w:rsid w:val="63E94CAF"/>
    <w:rsid w:val="63E974D6"/>
    <w:rsid w:val="63F06720"/>
    <w:rsid w:val="63F2498A"/>
    <w:rsid w:val="63F7561D"/>
    <w:rsid w:val="63F76C81"/>
    <w:rsid w:val="63F95208"/>
    <w:rsid w:val="63F975E8"/>
    <w:rsid w:val="63FA13B8"/>
    <w:rsid w:val="63FD676A"/>
    <w:rsid w:val="63FE69AC"/>
    <w:rsid w:val="63FF0976"/>
    <w:rsid w:val="63FF423C"/>
    <w:rsid w:val="6401649C"/>
    <w:rsid w:val="64032214"/>
    <w:rsid w:val="6403445E"/>
    <w:rsid w:val="64052B2B"/>
    <w:rsid w:val="64055F8C"/>
    <w:rsid w:val="64060882"/>
    <w:rsid w:val="64077B7B"/>
    <w:rsid w:val="640819C5"/>
    <w:rsid w:val="640971E9"/>
    <w:rsid w:val="640C21BF"/>
    <w:rsid w:val="640D3E11"/>
    <w:rsid w:val="640F4477"/>
    <w:rsid w:val="64102764"/>
    <w:rsid w:val="641470AD"/>
    <w:rsid w:val="6418295D"/>
    <w:rsid w:val="641837BB"/>
    <w:rsid w:val="64183B7B"/>
    <w:rsid w:val="641A755E"/>
    <w:rsid w:val="641B0BF7"/>
    <w:rsid w:val="641C3D20"/>
    <w:rsid w:val="641F749C"/>
    <w:rsid w:val="642024A4"/>
    <w:rsid w:val="64236EFA"/>
    <w:rsid w:val="6426755D"/>
    <w:rsid w:val="64284BF5"/>
    <w:rsid w:val="6428605E"/>
    <w:rsid w:val="64286BCF"/>
    <w:rsid w:val="64294F4B"/>
    <w:rsid w:val="642A06BE"/>
    <w:rsid w:val="642A3B5D"/>
    <w:rsid w:val="642D103F"/>
    <w:rsid w:val="642E47FB"/>
    <w:rsid w:val="643028DD"/>
    <w:rsid w:val="64335B74"/>
    <w:rsid w:val="64354F74"/>
    <w:rsid w:val="64357641"/>
    <w:rsid w:val="64370110"/>
    <w:rsid w:val="64371EBE"/>
    <w:rsid w:val="64375715"/>
    <w:rsid w:val="64376220"/>
    <w:rsid w:val="643847A7"/>
    <w:rsid w:val="643A7875"/>
    <w:rsid w:val="643C0B2C"/>
    <w:rsid w:val="643E149E"/>
    <w:rsid w:val="643F0DC9"/>
    <w:rsid w:val="64424BA7"/>
    <w:rsid w:val="6443255A"/>
    <w:rsid w:val="64462101"/>
    <w:rsid w:val="644A5646"/>
    <w:rsid w:val="644C25DC"/>
    <w:rsid w:val="644F2F98"/>
    <w:rsid w:val="6450287C"/>
    <w:rsid w:val="64502F80"/>
    <w:rsid w:val="6452606E"/>
    <w:rsid w:val="64540CC2"/>
    <w:rsid w:val="6454268D"/>
    <w:rsid w:val="6454481E"/>
    <w:rsid w:val="64555BB2"/>
    <w:rsid w:val="645667E8"/>
    <w:rsid w:val="645669EC"/>
    <w:rsid w:val="64577652"/>
    <w:rsid w:val="6458622F"/>
    <w:rsid w:val="64587AB1"/>
    <w:rsid w:val="64594FB1"/>
    <w:rsid w:val="645962D8"/>
    <w:rsid w:val="6459725F"/>
    <w:rsid w:val="645C4EC5"/>
    <w:rsid w:val="645D5BA3"/>
    <w:rsid w:val="645F70B0"/>
    <w:rsid w:val="64601415"/>
    <w:rsid w:val="6460766E"/>
    <w:rsid w:val="646100DD"/>
    <w:rsid w:val="646238BF"/>
    <w:rsid w:val="646329A6"/>
    <w:rsid w:val="64636AF7"/>
    <w:rsid w:val="64642AF5"/>
    <w:rsid w:val="64657637"/>
    <w:rsid w:val="64682077"/>
    <w:rsid w:val="646A379F"/>
    <w:rsid w:val="646A497D"/>
    <w:rsid w:val="646A758E"/>
    <w:rsid w:val="646B4D5B"/>
    <w:rsid w:val="646D1D84"/>
    <w:rsid w:val="646D58E0"/>
    <w:rsid w:val="647D276A"/>
    <w:rsid w:val="648000E8"/>
    <w:rsid w:val="64803865"/>
    <w:rsid w:val="64813139"/>
    <w:rsid w:val="64817FB5"/>
    <w:rsid w:val="64825537"/>
    <w:rsid w:val="648325DD"/>
    <w:rsid w:val="648825FB"/>
    <w:rsid w:val="648A12CC"/>
    <w:rsid w:val="648C133C"/>
    <w:rsid w:val="648D5302"/>
    <w:rsid w:val="648D5F82"/>
    <w:rsid w:val="648D7D30"/>
    <w:rsid w:val="648F3AA8"/>
    <w:rsid w:val="649535A2"/>
    <w:rsid w:val="649539DE"/>
    <w:rsid w:val="64963088"/>
    <w:rsid w:val="6497295D"/>
    <w:rsid w:val="649750EF"/>
    <w:rsid w:val="649A0DC1"/>
    <w:rsid w:val="649B7C4E"/>
    <w:rsid w:val="64A21A2D"/>
    <w:rsid w:val="64A271BE"/>
    <w:rsid w:val="64A30CF5"/>
    <w:rsid w:val="64A534B7"/>
    <w:rsid w:val="64AA2690"/>
    <w:rsid w:val="64AA7F0D"/>
    <w:rsid w:val="64AD6A7C"/>
    <w:rsid w:val="64AE0B72"/>
    <w:rsid w:val="64AF7F89"/>
    <w:rsid w:val="64B21544"/>
    <w:rsid w:val="64B521DC"/>
    <w:rsid w:val="64B70E92"/>
    <w:rsid w:val="64B80AB7"/>
    <w:rsid w:val="64B8437E"/>
    <w:rsid w:val="64B928D3"/>
    <w:rsid w:val="64BB3C9A"/>
    <w:rsid w:val="64BE613B"/>
    <w:rsid w:val="64C22C58"/>
    <w:rsid w:val="64C33752"/>
    <w:rsid w:val="64C37BF6"/>
    <w:rsid w:val="64C77543"/>
    <w:rsid w:val="64C87389"/>
    <w:rsid w:val="64CA0BFB"/>
    <w:rsid w:val="64CA45CF"/>
    <w:rsid w:val="64CA4AE0"/>
    <w:rsid w:val="64CA675F"/>
    <w:rsid w:val="64CC2845"/>
    <w:rsid w:val="64D12312"/>
    <w:rsid w:val="64D15E6F"/>
    <w:rsid w:val="64D56443"/>
    <w:rsid w:val="64D751A7"/>
    <w:rsid w:val="64D76F95"/>
    <w:rsid w:val="64D911C7"/>
    <w:rsid w:val="64DA3A74"/>
    <w:rsid w:val="64DB3645"/>
    <w:rsid w:val="64DB689C"/>
    <w:rsid w:val="64DD04F8"/>
    <w:rsid w:val="64DD1B9F"/>
    <w:rsid w:val="64E026E7"/>
    <w:rsid w:val="64E060B2"/>
    <w:rsid w:val="64E32274"/>
    <w:rsid w:val="64E947E9"/>
    <w:rsid w:val="64E97D5C"/>
    <w:rsid w:val="64EA250A"/>
    <w:rsid w:val="64EA35E2"/>
    <w:rsid w:val="64EB0C45"/>
    <w:rsid w:val="64EB5A9B"/>
    <w:rsid w:val="64EE4C72"/>
    <w:rsid w:val="64EF09EB"/>
    <w:rsid w:val="64EF27FA"/>
    <w:rsid w:val="64F63B27"/>
    <w:rsid w:val="64F93799"/>
    <w:rsid w:val="64FA5F89"/>
    <w:rsid w:val="64FB2EEB"/>
    <w:rsid w:val="64FD3107"/>
    <w:rsid w:val="64FF16AF"/>
    <w:rsid w:val="64FF34DE"/>
    <w:rsid w:val="65007F6E"/>
    <w:rsid w:val="65042353"/>
    <w:rsid w:val="65044496"/>
    <w:rsid w:val="65045E61"/>
    <w:rsid w:val="65047E8C"/>
    <w:rsid w:val="650753E9"/>
    <w:rsid w:val="65091AAC"/>
    <w:rsid w:val="650A5824"/>
    <w:rsid w:val="650E39E5"/>
    <w:rsid w:val="65100DA6"/>
    <w:rsid w:val="6511270F"/>
    <w:rsid w:val="651333B4"/>
    <w:rsid w:val="65156591"/>
    <w:rsid w:val="651652C4"/>
    <w:rsid w:val="651821E6"/>
    <w:rsid w:val="651B4EF5"/>
    <w:rsid w:val="651B533C"/>
    <w:rsid w:val="651B5EE5"/>
    <w:rsid w:val="651D2E62"/>
    <w:rsid w:val="65223ACC"/>
    <w:rsid w:val="65271F32"/>
    <w:rsid w:val="65273FA0"/>
    <w:rsid w:val="652F0DE7"/>
    <w:rsid w:val="65301F54"/>
    <w:rsid w:val="65312DB1"/>
    <w:rsid w:val="65362175"/>
    <w:rsid w:val="653715BC"/>
    <w:rsid w:val="65377536"/>
    <w:rsid w:val="65382034"/>
    <w:rsid w:val="65390BEF"/>
    <w:rsid w:val="653B3C30"/>
    <w:rsid w:val="653B5410"/>
    <w:rsid w:val="653D21D6"/>
    <w:rsid w:val="653D52B2"/>
    <w:rsid w:val="653F727C"/>
    <w:rsid w:val="6541318D"/>
    <w:rsid w:val="654274FE"/>
    <w:rsid w:val="65476500"/>
    <w:rsid w:val="654900FB"/>
    <w:rsid w:val="654913ED"/>
    <w:rsid w:val="654C3747"/>
    <w:rsid w:val="654C7AFD"/>
    <w:rsid w:val="65515201"/>
    <w:rsid w:val="65515618"/>
    <w:rsid w:val="65530459"/>
    <w:rsid w:val="655318C6"/>
    <w:rsid w:val="65556AAC"/>
    <w:rsid w:val="65562818"/>
    <w:rsid w:val="655645C6"/>
    <w:rsid w:val="65566374"/>
    <w:rsid w:val="65586259"/>
    <w:rsid w:val="655A15E0"/>
    <w:rsid w:val="655A755B"/>
    <w:rsid w:val="655D089A"/>
    <w:rsid w:val="655E52E5"/>
    <w:rsid w:val="655F4859"/>
    <w:rsid w:val="65613696"/>
    <w:rsid w:val="656211BC"/>
    <w:rsid w:val="656261B1"/>
    <w:rsid w:val="6562730B"/>
    <w:rsid w:val="656539C5"/>
    <w:rsid w:val="65666267"/>
    <w:rsid w:val="656756FF"/>
    <w:rsid w:val="656960A7"/>
    <w:rsid w:val="656B0071"/>
    <w:rsid w:val="656C177C"/>
    <w:rsid w:val="656F4DDA"/>
    <w:rsid w:val="65797E7F"/>
    <w:rsid w:val="657D1B52"/>
    <w:rsid w:val="65812491"/>
    <w:rsid w:val="65826AB4"/>
    <w:rsid w:val="6584647A"/>
    <w:rsid w:val="65846AD9"/>
    <w:rsid w:val="65874811"/>
    <w:rsid w:val="65883739"/>
    <w:rsid w:val="6589499B"/>
    <w:rsid w:val="658A0400"/>
    <w:rsid w:val="658B24C1"/>
    <w:rsid w:val="658D448B"/>
    <w:rsid w:val="658D65D9"/>
    <w:rsid w:val="65921AA2"/>
    <w:rsid w:val="659245F2"/>
    <w:rsid w:val="65934D46"/>
    <w:rsid w:val="65945215"/>
    <w:rsid w:val="65967E13"/>
    <w:rsid w:val="65982F48"/>
    <w:rsid w:val="659B022A"/>
    <w:rsid w:val="659B77D6"/>
    <w:rsid w:val="659F0703"/>
    <w:rsid w:val="659F2386"/>
    <w:rsid w:val="659F7D1B"/>
    <w:rsid w:val="65A17F37"/>
    <w:rsid w:val="65A34757"/>
    <w:rsid w:val="65A51588"/>
    <w:rsid w:val="65A65725"/>
    <w:rsid w:val="65A65A90"/>
    <w:rsid w:val="65A951B7"/>
    <w:rsid w:val="65AD4F99"/>
    <w:rsid w:val="65AE61B0"/>
    <w:rsid w:val="65AE649F"/>
    <w:rsid w:val="65B03CD6"/>
    <w:rsid w:val="65B04738"/>
    <w:rsid w:val="65B213C4"/>
    <w:rsid w:val="65B44C86"/>
    <w:rsid w:val="65B55790"/>
    <w:rsid w:val="65B5753E"/>
    <w:rsid w:val="65B675E0"/>
    <w:rsid w:val="65B74403"/>
    <w:rsid w:val="65B76BD8"/>
    <w:rsid w:val="65B8702E"/>
    <w:rsid w:val="65BA7E90"/>
    <w:rsid w:val="65BB267B"/>
    <w:rsid w:val="65BB3BBF"/>
    <w:rsid w:val="65BC0EB4"/>
    <w:rsid w:val="65BF660F"/>
    <w:rsid w:val="65C10DF3"/>
    <w:rsid w:val="65C44362"/>
    <w:rsid w:val="65CB0B10"/>
    <w:rsid w:val="65CC7BB1"/>
    <w:rsid w:val="65D025CA"/>
    <w:rsid w:val="65D20F15"/>
    <w:rsid w:val="65D3619D"/>
    <w:rsid w:val="65D43361"/>
    <w:rsid w:val="65D5435B"/>
    <w:rsid w:val="65D545B3"/>
    <w:rsid w:val="65D8322D"/>
    <w:rsid w:val="65D83E4E"/>
    <w:rsid w:val="65DA51F7"/>
    <w:rsid w:val="65DC2665"/>
    <w:rsid w:val="65DC2D1D"/>
    <w:rsid w:val="65DF280D"/>
    <w:rsid w:val="65DF3C55"/>
    <w:rsid w:val="65E068DF"/>
    <w:rsid w:val="65E16585"/>
    <w:rsid w:val="65E27591"/>
    <w:rsid w:val="65E63B9C"/>
    <w:rsid w:val="65E93A96"/>
    <w:rsid w:val="65EC6FDC"/>
    <w:rsid w:val="65EE6A1E"/>
    <w:rsid w:val="65F00576"/>
    <w:rsid w:val="65F30067"/>
    <w:rsid w:val="65F308E5"/>
    <w:rsid w:val="65F77B57"/>
    <w:rsid w:val="65F938CF"/>
    <w:rsid w:val="65FA1D21"/>
    <w:rsid w:val="65FC5965"/>
    <w:rsid w:val="65FD4C4A"/>
    <w:rsid w:val="65FF4C5D"/>
    <w:rsid w:val="66011053"/>
    <w:rsid w:val="66011D42"/>
    <w:rsid w:val="660423C7"/>
    <w:rsid w:val="66062D44"/>
    <w:rsid w:val="66066779"/>
    <w:rsid w:val="66075896"/>
    <w:rsid w:val="66093E5A"/>
    <w:rsid w:val="660A0257"/>
    <w:rsid w:val="660C0B9E"/>
    <w:rsid w:val="660C4FD0"/>
    <w:rsid w:val="660E3AE9"/>
    <w:rsid w:val="661029C7"/>
    <w:rsid w:val="66173D55"/>
    <w:rsid w:val="66187ACD"/>
    <w:rsid w:val="66197755"/>
    <w:rsid w:val="66252916"/>
    <w:rsid w:val="66265411"/>
    <w:rsid w:val="662700C8"/>
    <w:rsid w:val="662945E2"/>
    <w:rsid w:val="662A0899"/>
    <w:rsid w:val="662A3E1E"/>
    <w:rsid w:val="66303069"/>
    <w:rsid w:val="66324ED0"/>
    <w:rsid w:val="66331334"/>
    <w:rsid w:val="663366B5"/>
    <w:rsid w:val="66342969"/>
    <w:rsid w:val="66342B59"/>
    <w:rsid w:val="66342FEC"/>
    <w:rsid w:val="6635242D"/>
    <w:rsid w:val="6637710B"/>
    <w:rsid w:val="6639277A"/>
    <w:rsid w:val="663A1103"/>
    <w:rsid w:val="663A5C95"/>
    <w:rsid w:val="663B6ADC"/>
    <w:rsid w:val="663C7647"/>
    <w:rsid w:val="663D5FA4"/>
    <w:rsid w:val="663F505A"/>
    <w:rsid w:val="66417840"/>
    <w:rsid w:val="664240C0"/>
    <w:rsid w:val="66446A37"/>
    <w:rsid w:val="66446C4D"/>
    <w:rsid w:val="664837A4"/>
    <w:rsid w:val="664B25CB"/>
    <w:rsid w:val="664F72DD"/>
    <w:rsid w:val="664F7993"/>
    <w:rsid w:val="66500DD9"/>
    <w:rsid w:val="6652016B"/>
    <w:rsid w:val="66531338"/>
    <w:rsid w:val="6655487D"/>
    <w:rsid w:val="66574256"/>
    <w:rsid w:val="66591D95"/>
    <w:rsid w:val="665A00E6"/>
    <w:rsid w:val="665A6519"/>
    <w:rsid w:val="665B6338"/>
    <w:rsid w:val="665C3E5E"/>
    <w:rsid w:val="665E3732"/>
    <w:rsid w:val="6660394E"/>
    <w:rsid w:val="66613222"/>
    <w:rsid w:val="66616504"/>
    <w:rsid w:val="66633128"/>
    <w:rsid w:val="6663343E"/>
    <w:rsid w:val="666430EE"/>
    <w:rsid w:val="6664409E"/>
    <w:rsid w:val="666925E0"/>
    <w:rsid w:val="666D0841"/>
    <w:rsid w:val="666D750A"/>
    <w:rsid w:val="666F525E"/>
    <w:rsid w:val="66741533"/>
    <w:rsid w:val="667747F4"/>
    <w:rsid w:val="66794A10"/>
    <w:rsid w:val="667973E5"/>
    <w:rsid w:val="667A42E4"/>
    <w:rsid w:val="667C3B32"/>
    <w:rsid w:val="667E3DD4"/>
    <w:rsid w:val="6680596B"/>
    <w:rsid w:val="668236EA"/>
    <w:rsid w:val="66824FD0"/>
    <w:rsid w:val="66827E6C"/>
    <w:rsid w:val="66833198"/>
    <w:rsid w:val="6686426B"/>
    <w:rsid w:val="6686630A"/>
    <w:rsid w:val="668D04BB"/>
    <w:rsid w:val="668D2269"/>
    <w:rsid w:val="668E47AE"/>
    <w:rsid w:val="668F3FD0"/>
    <w:rsid w:val="668F5DE4"/>
    <w:rsid w:val="668F5FE1"/>
    <w:rsid w:val="6694184A"/>
    <w:rsid w:val="669435F8"/>
    <w:rsid w:val="669807A6"/>
    <w:rsid w:val="669C06FE"/>
    <w:rsid w:val="669D6802"/>
    <w:rsid w:val="669E446B"/>
    <w:rsid w:val="669E7F9F"/>
    <w:rsid w:val="66A37E59"/>
    <w:rsid w:val="66A66BBD"/>
    <w:rsid w:val="66AA65DF"/>
    <w:rsid w:val="66AD290B"/>
    <w:rsid w:val="66AE5484"/>
    <w:rsid w:val="66AF137B"/>
    <w:rsid w:val="66AF3614"/>
    <w:rsid w:val="66B0201E"/>
    <w:rsid w:val="66B05968"/>
    <w:rsid w:val="66B07D06"/>
    <w:rsid w:val="66B37EEE"/>
    <w:rsid w:val="66B5531C"/>
    <w:rsid w:val="66B71094"/>
    <w:rsid w:val="66B73214"/>
    <w:rsid w:val="66B7465B"/>
    <w:rsid w:val="66B74F88"/>
    <w:rsid w:val="66B811D9"/>
    <w:rsid w:val="66B9216D"/>
    <w:rsid w:val="66BD002E"/>
    <w:rsid w:val="66BF3C73"/>
    <w:rsid w:val="66C330C1"/>
    <w:rsid w:val="66C45D71"/>
    <w:rsid w:val="66C56152"/>
    <w:rsid w:val="66CC190A"/>
    <w:rsid w:val="66CC2D91"/>
    <w:rsid w:val="66CC3721"/>
    <w:rsid w:val="66CD13A4"/>
    <w:rsid w:val="66D153C9"/>
    <w:rsid w:val="66D278D9"/>
    <w:rsid w:val="66D41C46"/>
    <w:rsid w:val="66D566F3"/>
    <w:rsid w:val="66D67673"/>
    <w:rsid w:val="66D734E4"/>
    <w:rsid w:val="66DB44CF"/>
    <w:rsid w:val="66DC70CB"/>
    <w:rsid w:val="66DF1531"/>
    <w:rsid w:val="66E32189"/>
    <w:rsid w:val="66E412B4"/>
    <w:rsid w:val="66E531EF"/>
    <w:rsid w:val="66E77BCB"/>
    <w:rsid w:val="66E83943"/>
    <w:rsid w:val="66E856F1"/>
    <w:rsid w:val="66EA1A90"/>
    <w:rsid w:val="66EA2404"/>
    <w:rsid w:val="66EA3218"/>
    <w:rsid w:val="66EF2FA4"/>
    <w:rsid w:val="66EF6C76"/>
    <w:rsid w:val="66F55E9C"/>
    <w:rsid w:val="66F61BBC"/>
    <w:rsid w:val="66F9449F"/>
    <w:rsid w:val="66F948FB"/>
    <w:rsid w:val="66FD119D"/>
    <w:rsid w:val="66FF50F8"/>
    <w:rsid w:val="67002A3B"/>
    <w:rsid w:val="67020A40"/>
    <w:rsid w:val="67035B4C"/>
    <w:rsid w:val="67065B78"/>
    <w:rsid w:val="670660AD"/>
    <w:rsid w:val="67066277"/>
    <w:rsid w:val="670847DD"/>
    <w:rsid w:val="67103ED9"/>
    <w:rsid w:val="67144738"/>
    <w:rsid w:val="671B5AC7"/>
    <w:rsid w:val="671D77BF"/>
    <w:rsid w:val="671E085F"/>
    <w:rsid w:val="671F55B7"/>
    <w:rsid w:val="67211593"/>
    <w:rsid w:val="67252C90"/>
    <w:rsid w:val="67296564"/>
    <w:rsid w:val="672A1360"/>
    <w:rsid w:val="672B082D"/>
    <w:rsid w:val="672D1356"/>
    <w:rsid w:val="672F1572"/>
    <w:rsid w:val="672F3320"/>
    <w:rsid w:val="67316DA2"/>
    <w:rsid w:val="67334D67"/>
    <w:rsid w:val="67335906"/>
    <w:rsid w:val="6734593C"/>
    <w:rsid w:val="673646FA"/>
    <w:rsid w:val="67380427"/>
    <w:rsid w:val="673821D5"/>
    <w:rsid w:val="6739091C"/>
    <w:rsid w:val="673B7F17"/>
    <w:rsid w:val="673C5929"/>
    <w:rsid w:val="673D77EB"/>
    <w:rsid w:val="673F17B5"/>
    <w:rsid w:val="673F7A07"/>
    <w:rsid w:val="6740552D"/>
    <w:rsid w:val="6742622C"/>
    <w:rsid w:val="674520EC"/>
    <w:rsid w:val="67497075"/>
    <w:rsid w:val="674B49AB"/>
    <w:rsid w:val="674C61D8"/>
    <w:rsid w:val="674E19F8"/>
    <w:rsid w:val="67530DBD"/>
    <w:rsid w:val="67550493"/>
    <w:rsid w:val="67563F46"/>
    <w:rsid w:val="67566AFF"/>
    <w:rsid w:val="67572B80"/>
    <w:rsid w:val="67580473"/>
    <w:rsid w:val="67597011"/>
    <w:rsid w:val="675B0B73"/>
    <w:rsid w:val="675D15A7"/>
    <w:rsid w:val="67600786"/>
    <w:rsid w:val="676254A4"/>
    <w:rsid w:val="67650AF0"/>
    <w:rsid w:val="67675300"/>
    <w:rsid w:val="676A4CE7"/>
    <w:rsid w:val="676E209B"/>
    <w:rsid w:val="676F7D78"/>
    <w:rsid w:val="677671A1"/>
    <w:rsid w:val="677749E8"/>
    <w:rsid w:val="67786039"/>
    <w:rsid w:val="67791707"/>
    <w:rsid w:val="67797F1D"/>
    <w:rsid w:val="677B0314"/>
    <w:rsid w:val="677D5E3A"/>
    <w:rsid w:val="677F46F4"/>
    <w:rsid w:val="67801DCE"/>
    <w:rsid w:val="67822E37"/>
    <w:rsid w:val="67830977"/>
    <w:rsid w:val="678409F5"/>
    <w:rsid w:val="6784541A"/>
    <w:rsid w:val="678467E4"/>
    <w:rsid w:val="67852F40"/>
    <w:rsid w:val="67856ED6"/>
    <w:rsid w:val="678948EE"/>
    <w:rsid w:val="678A0FE2"/>
    <w:rsid w:val="678A67A9"/>
    <w:rsid w:val="678B49AC"/>
    <w:rsid w:val="678B49FB"/>
    <w:rsid w:val="678B6832"/>
    <w:rsid w:val="678C42CF"/>
    <w:rsid w:val="678F5D43"/>
    <w:rsid w:val="67902011"/>
    <w:rsid w:val="67905BC8"/>
    <w:rsid w:val="67915D89"/>
    <w:rsid w:val="6795683F"/>
    <w:rsid w:val="67962B85"/>
    <w:rsid w:val="6796514D"/>
    <w:rsid w:val="6798362A"/>
    <w:rsid w:val="67991E9A"/>
    <w:rsid w:val="679A4C3E"/>
    <w:rsid w:val="67A006A9"/>
    <w:rsid w:val="67A1125C"/>
    <w:rsid w:val="67A535E2"/>
    <w:rsid w:val="67A72F8B"/>
    <w:rsid w:val="67A9329C"/>
    <w:rsid w:val="67AA3C86"/>
    <w:rsid w:val="67AC671F"/>
    <w:rsid w:val="67AE693B"/>
    <w:rsid w:val="67AF7FBD"/>
    <w:rsid w:val="67B04B11"/>
    <w:rsid w:val="67B07930"/>
    <w:rsid w:val="67B11C5B"/>
    <w:rsid w:val="67B3300F"/>
    <w:rsid w:val="67B43E96"/>
    <w:rsid w:val="67B51289"/>
    <w:rsid w:val="67B76FCF"/>
    <w:rsid w:val="67B92731"/>
    <w:rsid w:val="67BA52E0"/>
    <w:rsid w:val="67BB08D1"/>
    <w:rsid w:val="67BD07E7"/>
    <w:rsid w:val="67BD26DA"/>
    <w:rsid w:val="67BE14B7"/>
    <w:rsid w:val="67BE4809"/>
    <w:rsid w:val="67C1041C"/>
    <w:rsid w:val="67C1413C"/>
    <w:rsid w:val="67C27CF0"/>
    <w:rsid w:val="67C454CF"/>
    <w:rsid w:val="67C86621"/>
    <w:rsid w:val="67C938CC"/>
    <w:rsid w:val="67C972D1"/>
    <w:rsid w:val="67CA4DF7"/>
    <w:rsid w:val="67CA700A"/>
    <w:rsid w:val="67CC4FB6"/>
    <w:rsid w:val="67CD08DC"/>
    <w:rsid w:val="67CE2B39"/>
    <w:rsid w:val="67D00572"/>
    <w:rsid w:val="67D0150F"/>
    <w:rsid w:val="67D31EFE"/>
    <w:rsid w:val="67D53EC8"/>
    <w:rsid w:val="67DA758D"/>
    <w:rsid w:val="67DD1EAC"/>
    <w:rsid w:val="67E10F5A"/>
    <w:rsid w:val="67E22141"/>
    <w:rsid w:val="67E265E5"/>
    <w:rsid w:val="67E36C6B"/>
    <w:rsid w:val="67E45EB9"/>
    <w:rsid w:val="67E72935"/>
    <w:rsid w:val="67F12A69"/>
    <w:rsid w:val="67F351B9"/>
    <w:rsid w:val="67F500C6"/>
    <w:rsid w:val="67F50FDA"/>
    <w:rsid w:val="67F92491"/>
    <w:rsid w:val="67FA1E4A"/>
    <w:rsid w:val="68095942"/>
    <w:rsid w:val="680D1D06"/>
    <w:rsid w:val="680D3662"/>
    <w:rsid w:val="68104F00"/>
    <w:rsid w:val="681349F0"/>
    <w:rsid w:val="6814419E"/>
    <w:rsid w:val="68165B6A"/>
    <w:rsid w:val="681806A8"/>
    <w:rsid w:val="68191E99"/>
    <w:rsid w:val="68196D67"/>
    <w:rsid w:val="681C1AF7"/>
    <w:rsid w:val="681C5653"/>
    <w:rsid w:val="681D0E29"/>
    <w:rsid w:val="681D1441"/>
    <w:rsid w:val="681F5143"/>
    <w:rsid w:val="682057DE"/>
    <w:rsid w:val="682074A2"/>
    <w:rsid w:val="682958E2"/>
    <w:rsid w:val="68297E03"/>
    <w:rsid w:val="682B7F8C"/>
    <w:rsid w:val="682C260C"/>
    <w:rsid w:val="682C3ADA"/>
    <w:rsid w:val="682C6667"/>
    <w:rsid w:val="682D5AB2"/>
    <w:rsid w:val="68307350"/>
    <w:rsid w:val="6833299C"/>
    <w:rsid w:val="68357326"/>
    <w:rsid w:val="68376930"/>
    <w:rsid w:val="683C6BC2"/>
    <w:rsid w:val="683D085A"/>
    <w:rsid w:val="683E156B"/>
    <w:rsid w:val="68411681"/>
    <w:rsid w:val="68464DC5"/>
    <w:rsid w:val="68471323"/>
    <w:rsid w:val="68490412"/>
    <w:rsid w:val="684B1378"/>
    <w:rsid w:val="684B418A"/>
    <w:rsid w:val="684C67E4"/>
    <w:rsid w:val="684E1E7F"/>
    <w:rsid w:val="684E4CB6"/>
    <w:rsid w:val="684E59A6"/>
    <w:rsid w:val="6854080E"/>
    <w:rsid w:val="685D19F5"/>
    <w:rsid w:val="685D2763"/>
    <w:rsid w:val="685F1AC2"/>
    <w:rsid w:val="68657A62"/>
    <w:rsid w:val="68671F70"/>
    <w:rsid w:val="6867363C"/>
    <w:rsid w:val="686941F4"/>
    <w:rsid w:val="686A2573"/>
    <w:rsid w:val="686A46CE"/>
    <w:rsid w:val="686B0388"/>
    <w:rsid w:val="686F7E78"/>
    <w:rsid w:val="68702F0B"/>
    <w:rsid w:val="68744F30"/>
    <w:rsid w:val="687D28E3"/>
    <w:rsid w:val="687D4153"/>
    <w:rsid w:val="687D56CF"/>
    <w:rsid w:val="68815118"/>
    <w:rsid w:val="68837547"/>
    <w:rsid w:val="68866F70"/>
    <w:rsid w:val="68866FA8"/>
    <w:rsid w:val="688B4586"/>
    <w:rsid w:val="688B65DF"/>
    <w:rsid w:val="688D02FE"/>
    <w:rsid w:val="688D0451"/>
    <w:rsid w:val="688E3319"/>
    <w:rsid w:val="689124B3"/>
    <w:rsid w:val="68925915"/>
    <w:rsid w:val="68926EEC"/>
    <w:rsid w:val="6893393B"/>
    <w:rsid w:val="68975621"/>
    <w:rsid w:val="689773CF"/>
    <w:rsid w:val="689B7BB7"/>
    <w:rsid w:val="689C403A"/>
    <w:rsid w:val="689C7645"/>
    <w:rsid w:val="689E61F9"/>
    <w:rsid w:val="68A01523"/>
    <w:rsid w:val="68A0696E"/>
    <w:rsid w:val="68A4362E"/>
    <w:rsid w:val="68A4513D"/>
    <w:rsid w:val="68A4632C"/>
    <w:rsid w:val="68A636D9"/>
    <w:rsid w:val="68A80AAE"/>
    <w:rsid w:val="68AD274F"/>
    <w:rsid w:val="68AE6EE8"/>
    <w:rsid w:val="68AF4719"/>
    <w:rsid w:val="68AF64C7"/>
    <w:rsid w:val="68B04054"/>
    <w:rsid w:val="68B41D2F"/>
    <w:rsid w:val="68B451C3"/>
    <w:rsid w:val="68B47F81"/>
    <w:rsid w:val="68B57855"/>
    <w:rsid w:val="68B63CF9"/>
    <w:rsid w:val="68B66FDB"/>
    <w:rsid w:val="68B725B5"/>
    <w:rsid w:val="68B735CD"/>
    <w:rsid w:val="68BC0BE4"/>
    <w:rsid w:val="68C1269E"/>
    <w:rsid w:val="68C27158"/>
    <w:rsid w:val="68C3013B"/>
    <w:rsid w:val="68C301C4"/>
    <w:rsid w:val="68C308A3"/>
    <w:rsid w:val="68C33D20"/>
    <w:rsid w:val="68C70BFE"/>
    <w:rsid w:val="68C7438B"/>
    <w:rsid w:val="68C85EE7"/>
    <w:rsid w:val="68CF4DBB"/>
    <w:rsid w:val="68CF525A"/>
    <w:rsid w:val="68D743E0"/>
    <w:rsid w:val="68D87F7B"/>
    <w:rsid w:val="68D93544"/>
    <w:rsid w:val="68DB72BC"/>
    <w:rsid w:val="68DB7CFF"/>
    <w:rsid w:val="68E24AEE"/>
    <w:rsid w:val="68E52F3E"/>
    <w:rsid w:val="68E63EB3"/>
    <w:rsid w:val="68E819D9"/>
    <w:rsid w:val="68EA761D"/>
    <w:rsid w:val="68EB3277"/>
    <w:rsid w:val="68ED6FEF"/>
    <w:rsid w:val="68F00A95"/>
    <w:rsid w:val="68F23C58"/>
    <w:rsid w:val="68F4582E"/>
    <w:rsid w:val="68F6059A"/>
    <w:rsid w:val="68F640F6"/>
    <w:rsid w:val="68F760C0"/>
    <w:rsid w:val="68F91E38"/>
    <w:rsid w:val="68F92649"/>
    <w:rsid w:val="68F93BE6"/>
    <w:rsid w:val="68FA14EE"/>
    <w:rsid w:val="68FB6BF5"/>
    <w:rsid w:val="68FB795E"/>
    <w:rsid w:val="68FB7B65"/>
    <w:rsid w:val="68FC5FFB"/>
    <w:rsid w:val="68FC7232"/>
    <w:rsid w:val="68FF5D64"/>
    <w:rsid w:val="690069D6"/>
    <w:rsid w:val="690131A8"/>
    <w:rsid w:val="69020CEC"/>
    <w:rsid w:val="690245EB"/>
    <w:rsid w:val="69035BB4"/>
    <w:rsid w:val="69064C5E"/>
    <w:rsid w:val="69083E29"/>
    <w:rsid w:val="690C3919"/>
    <w:rsid w:val="690F6F65"/>
    <w:rsid w:val="690F7B9A"/>
    <w:rsid w:val="69140A20"/>
    <w:rsid w:val="691427CE"/>
    <w:rsid w:val="691436D0"/>
    <w:rsid w:val="69146461"/>
    <w:rsid w:val="69157842"/>
    <w:rsid w:val="691602F4"/>
    <w:rsid w:val="69165517"/>
    <w:rsid w:val="69170DB4"/>
    <w:rsid w:val="691777FF"/>
    <w:rsid w:val="691A3D76"/>
    <w:rsid w:val="691B6116"/>
    <w:rsid w:val="691D5B26"/>
    <w:rsid w:val="691F0ED3"/>
    <w:rsid w:val="69201173"/>
    <w:rsid w:val="69232A11"/>
    <w:rsid w:val="69256789"/>
    <w:rsid w:val="6926755D"/>
    <w:rsid w:val="692769A5"/>
    <w:rsid w:val="692A4E71"/>
    <w:rsid w:val="692F5E0D"/>
    <w:rsid w:val="69326EF5"/>
    <w:rsid w:val="6933534A"/>
    <w:rsid w:val="69352554"/>
    <w:rsid w:val="69392090"/>
    <w:rsid w:val="693B5FAC"/>
    <w:rsid w:val="693B7D53"/>
    <w:rsid w:val="693D709C"/>
    <w:rsid w:val="693E3CEF"/>
    <w:rsid w:val="694420CC"/>
    <w:rsid w:val="694507D7"/>
    <w:rsid w:val="6945507D"/>
    <w:rsid w:val="69464416"/>
    <w:rsid w:val="69470D4B"/>
    <w:rsid w:val="69470DF5"/>
    <w:rsid w:val="69480587"/>
    <w:rsid w:val="694A6B15"/>
    <w:rsid w:val="694A6E60"/>
    <w:rsid w:val="694E49B1"/>
    <w:rsid w:val="695A2FED"/>
    <w:rsid w:val="695A3497"/>
    <w:rsid w:val="695A58A7"/>
    <w:rsid w:val="695C60D9"/>
    <w:rsid w:val="695F683E"/>
    <w:rsid w:val="6965127B"/>
    <w:rsid w:val="69662FD9"/>
    <w:rsid w:val="69664A29"/>
    <w:rsid w:val="69676DA1"/>
    <w:rsid w:val="696A5114"/>
    <w:rsid w:val="696C260A"/>
    <w:rsid w:val="696E252C"/>
    <w:rsid w:val="696E6D41"/>
    <w:rsid w:val="69717258"/>
    <w:rsid w:val="69723913"/>
    <w:rsid w:val="69754B58"/>
    <w:rsid w:val="69771DE5"/>
    <w:rsid w:val="697735BC"/>
    <w:rsid w:val="69784E2E"/>
    <w:rsid w:val="697A0615"/>
    <w:rsid w:val="697A278A"/>
    <w:rsid w:val="697B3165"/>
    <w:rsid w:val="697D0373"/>
    <w:rsid w:val="697D4817"/>
    <w:rsid w:val="697F09F6"/>
    <w:rsid w:val="69800A62"/>
    <w:rsid w:val="69831701"/>
    <w:rsid w:val="69834628"/>
    <w:rsid w:val="698540B9"/>
    <w:rsid w:val="69871114"/>
    <w:rsid w:val="698A0CE2"/>
    <w:rsid w:val="698A60E5"/>
    <w:rsid w:val="698B05BD"/>
    <w:rsid w:val="698F7BA2"/>
    <w:rsid w:val="69937B96"/>
    <w:rsid w:val="69977DFC"/>
    <w:rsid w:val="699D6C67"/>
    <w:rsid w:val="699E1163"/>
    <w:rsid w:val="69A00505"/>
    <w:rsid w:val="69A03C4D"/>
    <w:rsid w:val="69A054F2"/>
    <w:rsid w:val="69A32817"/>
    <w:rsid w:val="69A45BA1"/>
    <w:rsid w:val="69A5402F"/>
    <w:rsid w:val="69AA1E33"/>
    <w:rsid w:val="69AC4D24"/>
    <w:rsid w:val="69AC6EAA"/>
    <w:rsid w:val="69AE229F"/>
    <w:rsid w:val="69B14F30"/>
    <w:rsid w:val="69B16A82"/>
    <w:rsid w:val="69B33D95"/>
    <w:rsid w:val="69B47B0D"/>
    <w:rsid w:val="69B7722D"/>
    <w:rsid w:val="69B777BF"/>
    <w:rsid w:val="69BB533F"/>
    <w:rsid w:val="69BB5960"/>
    <w:rsid w:val="69BD10B7"/>
    <w:rsid w:val="69BE2739"/>
    <w:rsid w:val="69BF2385"/>
    <w:rsid w:val="69C43979"/>
    <w:rsid w:val="69C51D1A"/>
    <w:rsid w:val="69C66CD0"/>
    <w:rsid w:val="69CA3F19"/>
    <w:rsid w:val="69CA765E"/>
    <w:rsid w:val="69CA7684"/>
    <w:rsid w:val="69CD7DE6"/>
    <w:rsid w:val="69CE0BCF"/>
    <w:rsid w:val="69D43C36"/>
    <w:rsid w:val="69D505F5"/>
    <w:rsid w:val="69D54F09"/>
    <w:rsid w:val="69D97A59"/>
    <w:rsid w:val="69DD3507"/>
    <w:rsid w:val="69E226A0"/>
    <w:rsid w:val="69E249A3"/>
    <w:rsid w:val="69E25F77"/>
    <w:rsid w:val="69E7185D"/>
    <w:rsid w:val="69E832EC"/>
    <w:rsid w:val="69EB6ACE"/>
    <w:rsid w:val="69ED5F04"/>
    <w:rsid w:val="69EE37D7"/>
    <w:rsid w:val="69F36429"/>
    <w:rsid w:val="69F543AD"/>
    <w:rsid w:val="69FF0330"/>
    <w:rsid w:val="6A00187E"/>
    <w:rsid w:val="6A022F6E"/>
    <w:rsid w:val="6A0232C9"/>
    <w:rsid w:val="6A0273A9"/>
    <w:rsid w:val="6A044667"/>
    <w:rsid w:val="6A0565FD"/>
    <w:rsid w:val="6A0E1308"/>
    <w:rsid w:val="6A0E546F"/>
    <w:rsid w:val="6A1052CA"/>
    <w:rsid w:val="6A115871"/>
    <w:rsid w:val="6A1276E1"/>
    <w:rsid w:val="6A131ACF"/>
    <w:rsid w:val="6A1628B4"/>
    <w:rsid w:val="6A164324"/>
    <w:rsid w:val="6A184540"/>
    <w:rsid w:val="6A1C72CD"/>
    <w:rsid w:val="6A1D4FC2"/>
    <w:rsid w:val="6A1E5E37"/>
    <w:rsid w:val="6A1F7DE1"/>
    <w:rsid w:val="6A2133F4"/>
    <w:rsid w:val="6A2355D1"/>
    <w:rsid w:val="6A2856A8"/>
    <w:rsid w:val="6A29310F"/>
    <w:rsid w:val="6A294BE3"/>
    <w:rsid w:val="6A2E5B11"/>
    <w:rsid w:val="6A3273AF"/>
    <w:rsid w:val="6A3430A0"/>
    <w:rsid w:val="6A38019D"/>
    <w:rsid w:val="6A3816B8"/>
    <w:rsid w:val="6A3A223C"/>
    <w:rsid w:val="6A3A44B6"/>
    <w:rsid w:val="6A3A5139"/>
    <w:rsid w:val="6A3C33C1"/>
    <w:rsid w:val="6A3C72AF"/>
    <w:rsid w:val="6A3F66E9"/>
    <w:rsid w:val="6A413E0D"/>
    <w:rsid w:val="6A423C07"/>
    <w:rsid w:val="6A431373"/>
    <w:rsid w:val="6A460A67"/>
    <w:rsid w:val="6A480101"/>
    <w:rsid w:val="6A486324"/>
    <w:rsid w:val="6A4B221F"/>
    <w:rsid w:val="6A4D5924"/>
    <w:rsid w:val="6A4E3ABD"/>
    <w:rsid w:val="6A4E61B3"/>
    <w:rsid w:val="6A507B8C"/>
    <w:rsid w:val="6A5135AE"/>
    <w:rsid w:val="6A5437CA"/>
    <w:rsid w:val="6A582B8E"/>
    <w:rsid w:val="6A602252"/>
    <w:rsid w:val="6A6031E4"/>
    <w:rsid w:val="6A61126F"/>
    <w:rsid w:val="6A615EE7"/>
    <w:rsid w:val="6A622CBF"/>
    <w:rsid w:val="6A68013B"/>
    <w:rsid w:val="6A681023"/>
    <w:rsid w:val="6A6C05BF"/>
    <w:rsid w:val="6A6D5FE0"/>
    <w:rsid w:val="6A723C50"/>
    <w:rsid w:val="6A7259FE"/>
    <w:rsid w:val="6A731776"/>
    <w:rsid w:val="6A7709E0"/>
    <w:rsid w:val="6A7B77E5"/>
    <w:rsid w:val="6A7E03EF"/>
    <w:rsid w:val="6A800E78"/>
    <w:rsid w:val="6A832E8A"/>
    <w:rsid w:val="6A834668"/>
    <w:rsid w:val="6A836D63"/>
    <w:rsid w:val="6A845C7C"/>
    <w:rsid w:val="6A876FCF"/>
    <w:rsid w:val="6A877A56"/>
    <w:rsid w:val="6A8B0035"/>
    <w:rsid w:val="6A8B3DF9"/>
    <w:rsid w:val="6A8D0A8A"/>
    <w:rsid w:val="6A8D7B2E"/>
    <w:rsid w:val="6A8E07C0"/>
    <w:rsid w:val="6A9236FA"/>
    <w:rsid w:val="6A9242F2"/>
    <w:rsid w:val="6A926173"/>
    <w:rsid w:val="6A9300DF"/>
    <w:rsid w:val="6A935974"/>
    <w:rsid w:val="6A94006A"/>
    <w:rsid w:val="6A962AC7"/>
    <w:rsid w:val="6A967BF1"/>
    <w:rsid w:val="6AA32DCE"/>
    <w:rsid w:val="6AA7008F"/>
    <w:rsid w:val="6AA81420"/>
    <w:rsid w:val="6AAA163C"/>
    <w:rsid w:val="6AAD4C88"/>
    <w:rsid w:val="6AAD6A36"/>
    <w:rsid w:val="6AB31434"/>
    <w:rsid w:val="6AB32BC8"/>
    <w:rsid w:val="6AB432EC"/>
    <w:rsid w:val="6AB44268"/>
    <w:rsid w:val="6AB65A10"/>
    <w:rsid w:val="6AB7120B"/>
    <w:rsid w:val="6ABA73A5"/>
    <w:rsid w:val="6ABB304D"/>
    <w:rsid w:val="6ABD141B"/>
    <w:rsid w:val="6AC10733"/>
    <w:rsid w:val="6AC12765"/>
    <w:rsid w:val="6AC1415C"/>
    <w:rsid w:val="6AC145E0"/>
    <w:rsid w:val="6AC56475"/>
    <w:rsid w:val="6ACB20FD"/>
    <w:rsid w:val="6ACC4216"/>
    <w:rsid w:val="6ACD532A"/>
    <w:rsid w:val="6ACE5AD4"/>
    <w:rsid w:val="6AD72385"/>
    <w:rsid w:val="6AD83998"/>
    <w:rsid w:val="6AD93CCF"/>
    <w:rsid w:val="6ADA17F5"/>
    <w:rsid w:val="6ADC37BF"/>
    <w:rsid w:val="6ADC556D"/>
    <w:rsid w:val="6ADC731B"/>
    <w:rsid w:val="6ADF0BB9"/>
    <w:rsid w:val="6AE61F48"/>
    <w:rsid w:val="6AE646D7"/>
    <w:rsid w:val="6AE82164"/>
    <w:rsid w:val="6AE94CE1"/>
    <w:rsid w:val="6AEC0549"/>
    <w:rsid w:val="6AEF52A0"/>
    <w:rsid w:val="6AF01018"/>
    <w:rsid w:val="6AF02DC7"/>
    <w:rsid w:val="6AF17F80"/>
    <w:rsid w:val="6AF30DBD"/>
    <w:rsid w:val="6AF44665"/>
    <w:rsid w:val="6AF5162B"/>
    <w:rsid w:val="6AF5284F"/>
    <w:rsid w:val="6AF9611F"/>
    <w:rsid w:val="6AFC79BD"/>
    <w:rsid w:val="6AFE1680"/>
    <w:rsid w:val="6B003763"/>
    <w:rsid w:val="6B040620"/>
    <w:rsid w:val="6B064398"/>
    <w:rsid w:val="6B07083C"/>
    <w:rsid w:val="6B0D03B2"/>
    <w:rsid w:val="6B0D2415"/>
    <w:rsid w:val="6B120F8F"/>
    <w:rsid w:val="6B1267C9"/>
    <w:rsid w:val="6B144D07"/>
    <w:rsid w:val="6B16224E"/>
    <w:rsid w:val="6B1637B6"/>
    <w:rsid w:val="6B166CD1"/>
    <w:rsid w:val="6B1A0188"/>
    <w:rsid w:val="6B1B02AE"/>
    <w:rsid w:val="6B1B42E7"/>
    <w:rsid w:val="6B1F5398"/>
    <w:rsid w:val="6B2167C2"/>
    <w:rsid w:val="6B234F4A"/>
    <w:rsid w:val="6B2430E0"/>
    <w:rsid w:val="6B2A1DF0"/>
    <w:rsid w:val="6B2D5C0B"/>
    <w:rsid w:val="6B2F38EF"/>
    <w:rsid w:val="6B301415"/>
    <w:rsid w:val="6B3158B9"/>
    <w:rsid w:val="6B3511F7"/>
    <w:rsid w:val="6B361121"/>
    <w:rsid w:val="6B364E9B"/>
    <w:rsid w:val="6B397FBC"/>
    <w:rsid w:val="6B3C7DBA"/>
    <w:rsid w:val="6B3E60A0"/>
    <w:rsid w:val="6B3F7D4D"/>
    <w:rsid w:val="6B41332B"/>
    <w:rsid w:val="6B453609"/>
    <w:rsid w:val="6B472AFB"/>
    <w:rsid w:val="6B47361F"/>
    <w:rsid w:val="6B4849B1"/>
    <w:rsid w:val="6B492F3C"/>
    <w:rsid w:val="6B4C4FC6"/>
    <w:rsid w:val="6B507BB4"/>
    <w:rsid w:val="6B52582F"/>
    <w:rsid w:val="6B546F6D"/>
    <w:rsid w:val="6B5541AB"/>
    <w:rsid w:val="6B581C23"/>
    <w:rsid w:val="6B596BBE"/>
    <w:rsid w:val="6B5A0B62"/>
    <w:rsid w:val="6B5D2041"/>
    <w:rsid w:val="6B5D4704"/>
    <w:rsid w:val="6B5D5BA8"/>
    <w:rsid w:val="6B5E41D4"/>
    <w:rsid w:val="6B5F48F3"/>
    <w:rsid w:val="6B60619E"/>
    <w:rsid w:val="6B612FF6"/>
    <w:rsid w:val="6B624D63"/>
    <w:rsid w:val="6B63067C"/>
    <w:rsid w:val="6B655C2A"/>
    <w:rsid w:val="6B6712DB"/>
    <w:rsid w:val="6B684CDE"/>
    <w:rsid w:val="6B685053"/>
    <w:rsid w:val="6B6F1F3D"/>
    <w:rsid w:val="6B6F79AD"/>
    <w:rsid w:val="6B70183E"/>
    <w:rsid w:val="6B713F07"/>
    <w:rsid w:val="6B714110"/>
    <w:rsid w:val="6B7155BB"/>
    <w:rsid w:val="6B727144"/>
    <w:rsid w:val="6B772AE7"/>
    <w:rsid w:val="6B7A5DE9"/>
    <w:rsid w:val="6B7B3012"/>
    <w:rsid w:val="6B7D62B1"/>
    <w:rsid w:val="6B833C3B"/>
    <w:rsid w:val="6B851E0E"/>
    <w:rsid w:val="6B8626C8"/>
    <w:rsid w:val="6B871463"/>
    <w:rsid w:val="6B872B9F"/>
    <w:rsid w:val="6B8754D9"/>
    <w:rsid w:val="6B876D25"/>
    <w:rsid w:val="6B882FFF"/>
    <w:rsid w:val="6B8846E9"/>
    <w:rsid w:val="6B8B0933"/>
    <w:rsid w:val="6B8B0CD9"/>
    <w:rsid w:val="6B916C2F"/>
    <w:rsid w:val="6B930322"/>
    <w:rsid w:val="6B9320D0"/>
    <w:rsid w:val="6B943AE7"/>
    <w:rsid w:val="6B971653"/>
    <w:rsid w:val="6B973A76"/>
    <w:rsid w:val="6B981494"/>
    <w:rsid w:val="6B9B16D8"/>
    <w:rsid w:val="6B9B737D"/>
    <w:rsid w:val="6B9D4CFC"/>
    <w:rsid w:val="6B9F5F48"/>
    <w:rsid w:val="6B9F6CC6"/>
    <w:rsid w:val="6BA1566C"/>
    <w:rsid w:val="6BA22313"/>
    <w:rsid w:val="6BA736B2"/>
    <w:rsid w:val="6BAA566B"/>
    <w:rsid w:val="6BAC3191"/>
    <w:rsid w:val="6BAC75D4"/>
    <w:rsid w:val="6BAD4C93"/>
    <w:rsid w:val="6BAE515B"/>
    <w:rsid w:val="6BAF4A30"/>
    <w:rsid w:val="6BAF67DE"/>
    <w:rsid w:val="6BAF7D3A"/>
    <w:rsid w:val="6BB42046"/>
    <w:rsid w:val="6BB467E8"/>
    <w:rsid w:val="6BBA246A"/>
    <w:rsid w:val="6BBA4545"/>
    <w:rsid w:val="6BBB1626"/>
    <w:rsid w:val="6BBC3C61"/>
    <w:rsid w:val="6BBD7707"/>
    <w:rsid w:val="6BBE4CE4"/>
    <w:rsid w:val="6BC14927"/>
    <w:rsid w:val="6BC54253"/>
    <w:rsid w:val="6BC61258"/>
    <w:rsid w:val="6BC6145D"/>
    <w:rsid w:val="6BC66DF1"/>
    <w:rsid w:val="6BC77FCB"/>
    <w:rsid w:val="6BC905D3"/>
    <w:rsid w:val="6BC93BC7"/>
    <w:rsid w:val="6BC95AF1"/>
    <w:rsid w:val="6BCC55E2"/>
    <w:rsid w:val="6BCD7AB9"/>
    <w:rsid w:val="6BCE08F2"/>
    <w:rsid w:val="6BCE212E"/>
    <w:rsid w:val="6BCF7E6D"/>
    <w:rsid w:val="6BD02357"/>
    <w:rsid w:val="6BD10E4A"/>
    <w:rsid w:val="6BD408DF"/>
    <w:rsid w:val="6BD44EF8"/>
    <w:rsid w:val="6BD4750E"/>
    <w:rsid w:val="6BD6579B"/>
    <w:rsid w:val="6BD91EF0"/>
    <w:rsid w:val="6BDB3A77"/>
    <w:rsid w:val="6BDC545F"/>
    <w:rsid w:val="6BE40A67"/>
    <w:rsid w:val="6BE45EF9"/>
    <w:rsid w:val="6BE624AF"/>
    <w:rsid w:val="6BEA3CBA"/>
    <w:rsid w:val="6BEE123C"/>
    <w:rsid w:val="6BF1329A"/>
    <w:rsid w:val="6BF13710"/>
    <w:rsid w:val="6BF222CE"/>
    <w:rsid w:val="6BF84629"/>
    <w:rsid w:val="6BFB7C75"/>
    <w:rsid w:val="6BFE07D8"/>
    <w:rsid w:val="6C0019EF"/>
    <w:rsid w:val="6C00528B"/>
    <w:rsid w:val="6C012F54"/>
    <w:rsid w:val="6C0134DD"/>
    <w:rsid w:val="6C022DB1"/>
    <w:rsid w:val="6C027255"/>
    <w:rsid w:val="6C054FF1"/>
    <w:rsid w:val="6C061F17"/>
    <w:rsid w:val="6C063C82"/>
    <w:rsid w:val="6C0716E0"/>
    <w:rsid w:val="6C087338"/>
    <w:rsid w:val="6C0905E4"/>
    <w:rsid w:val="6C0A7EB8"/>
    <w:rsid w:val="6C0F54CE"/>
    <w:rsid w:val="6C104B90"/>
    <w:rsid w:val="6C143A78"/>
    <w:rsid w:val="6C1A0417"/>
    <w:rsid w:val="6C1B20C5"/>
    <w:rsid w:val="6C1B3E73"/>
    <w:rsid w:val="6C1C60A9"/>
    <w:rsid w:val="6C1D5E3D"/>
    <w:rsid w:val="6C1E5E63"/>
    <w:rsid w:val="6C1F1BB5"/>
    <w:rsid w:val="6C1F6EE3"/>
    <w:rsid w:val="6C2216A6"/>
    <w:rsid w:val="6C233EFD"/>
    <w:rsid w:val="6C240F7A"/>
    <w:rsid w:val="6C244DB0"/>
    <w:rsid w:val="6C27034A"/>
    <w:rsid w:val="6C29298E"/>
    <w:rsid w:val="6C2A4A39"/>
    <w:rsid w:val="6C2B055A"/>
    <w:rsid w:val="6C2B34A7"/>
    <w:rsid w:val="6C2F7D6E"/>
    <w:rsid w:val="6C30748A"/>
    <w:rsid w:val="6C315445"/>
    <w:rsid w:val="6C353187"/>
    <w:rsid w:val="6C355F4E"/>
    <w:rsid w:val="6C362FA1"/>
    <w:rsid w:val="6C3D18C7"/>
    <w:rsid w:val="6C3E614A"/>
    <w:rsid w:val="6C435476"/>
    <w:rsid w:val="6C43743B"/>
    <w:rsid w:val="6C446A93"/>
    <w:rsid w:val="6C482A24"/>
    <w:rsid w:val="6C501D6F"/>
    <w:rsid w:val="6C50367B"/>
    <w:rsid w:val="6C53185F"/>
    <w:rsid w:val="6C574AED"/>
    <w:rsid w:val="6C580C23"/>
    <w:rsid w:val="6C5A2BED"/>
    <w:rsid w:val="6C5B05A7"/>
    <w:rsid w:val="6C6003D6"/>
    <w:rsid w:val="6C635F46"/>
    <w:rsid w:val="6C643A6C"/>
    <w:rsid w:val="6C697FF8"/>
    <w:rsid w:val="6C6D5542"/>
    <w:rsid w:val="6C6E0447"/>
    <w:rsid w:val="6C6E0DD3"/>
    <w:rsid w:val="6C6E4605"/>
    <w:rsid w:val="6C6E6699"/>
    <w:rsid w:val="6C7069A3"/>
    <w:rsid w:val="6C722E24"/>
    <w:rsid w:val="6C726189"/>
    <w:rsid w:val="6C731519"/>
    <w:rsid w:val="6C784200"/>
    <w:rsid w:val="6C7A3B4E"/>
    <w:rsid w:val="6C7B305C"/>
    <w:rsid w:val="6C7C7008"/>
    <w:rsid w:val="6C7F08A6"/>
    <w:rsid w:val="6C7F14B1"/>
    <w:rsid w:val="6C82171B"/>
    <w:rsid w:val="6C8816FE"/>
    <w:rsid w:val="6C8A76E6"/>
    <w:rsid w:val="6C8B0B2A"/>
    <w:rsid w:val="6C8C72D3"/>
    <w:rsid w:val="6C8E3A2B"/>
    <w:rsid w:val="6C902384"/>
    <w:rsid w:val="6C9854C4"/>
    <w:rsid w:val="6C9C27CD"/>
    <w:rsid w:val="6C9D4FC5"/>
    <w:rsid w:val="6C9D53FB"/>
    <w:rsid w:val="6C9F4AA4"/>
    <w:rsid w:val="6C9F5EA7"/>
    <w:rsid w:val="6CA22E91"/>
    <w:rsid w:val="6CA64744"/>
    <w:rsid w:val="6CA65E33"/>
    <w:rsid w:val="6CA7026D"/>
    <w:rsid w:val="6CA760E2"/>
    <w:rsid w:val="6CAB4C35"/>
    <w:rsid w:val="6CB00A5F"/>
    <w:rsid w:val="6CB06D3E"/>
    <w:rsid w:val="6CB12ED2"/>
    <w:rsid w:val="6CB22C08"/>
    <w:rsid w:val="6CB57A4F"/>
    <w:rsid w:val="6CB84909"/>
    <w:rsid w:val="6CBA1692"/>
    <w:rsid w:val="6CBB4949"/>
    <w:rsid w:val="6CBE1305"/>
    <w:rsid w:val="6CBE13CE"/>
    <w:rsid w:val="6CBE7A84"/>
    <w:rsid w:val="6CBF142B"/>
    <w:rsid w:val="6CC11D87"/>
    <w:rsid w:val="6CC53D21"/>
    <w:rsid w:val="6CC804C8"/>
    <w:rsid w:val="6CC91389"/>
    <w:rsid w:val="6CCA4EF8"/>
    <w:rsid w:val="6CCC1AC1"/>
    <w:rsid w:val="6CCD1611"/>
    <w:rsid w:val="6CD02EB0"/>
    <w:rsid w:val="6CD054F9"/>
    <w:rsid w:val="6CD47E6C"/>
    <w:rsid w:val="6CD519ED"/>
    <w:rsid w:val="6CD6347C"/>
    <w:rsid w:val="6CD7423E"/>
    <w:rsid w:val="6CD852D8"/>
    <w:rsid w:val="6CD92E74"/>
    <w:rsid w:val="6CDA3D2E"/>
    <w:rsid w:val="6CDB1F80"/>
    <w:rsid w:val="6CDC595B"/>
    <w:rsid w:val="6CDC7AA6"/>
    <w:rsid w:val="6CDD63AD"/>
    <w:rsid w:val="6CE01545"/>
    <w:rsid w:val="6CE40709"/>
    <w:rsid w:val="6CE60925"/>
    <w:rsid w:val="6CEC6E3F"/>
    <w:rsid w:val="6CED3187"/>
    <w:rsid w:val="6CEE4880"/>
    <w:rsid w:val="6CF046B3"/>
    <w:rsid w:val="6CF10E9A"/>
    <w:rsid w:val="6CF22E26"/>
    <w:rsid w:val="6CF50B68"/>
    <w:rsid w:val="6CF52602"/>
    <w:rsid w:val="6CF64B08"/>
    <w:rsid w:val="6CF748E0"/>
    <w:rsid w:val="6CF8441F"/>
    <w:rsid w:val="6CFB3A00"/>
    <w:rsid w:val="6CFC5B6D"/>
    <w:rsid w:val="6CFD2563"/>
    <w:rsid w:val="6CFD705D"/>
    <w:rsid w:val="6CFE17CB"/>
    <w:rsid w:val="6D001C13"/>
    <w:rsid w:val="6D01750D"/>
    <w:rsid w:val="6D02085D"/>
    <w:rsid w:val="6D022E16"/>
    <w:rsid w:val="6D033D14"/>
    <w:rsid w:val="6D045B43"/>
    <w:rsid w:val="6D067F76"/>
    <w:rsid w:val="6D07720E"/>
    <w:rsid w:val="6D082649"/>
    <w:rsid w:val="6D0C174E"/>
    <w:rsid w:val="6D0E5DBA"/>
    <w:rsid w:val="6D106599"/>
    <w:rsid w:val="6D11069A"/>
    <w:rsid w:val="6D147240"/>
    <w:rsid w:val="6D155425"/>
    <w:rsid w:val="6D17288C"/>
    <w:rsid w:val="6D177280"/>
    <w:rsid w:val="6D1924DB"/>
    <w:rsid w:val="6D194857"/>
    <w:rsid w:val="6D1C120E"/>
    <w:rsid w:val="6D1C4347"/>
    <w:rsid w:val="6D1C56FF"/>
    <w:rsid w:val="6D1D70C2"/>
    <w:rsid w:val="6D1E1058"/>
    <w:rsid w:val="6D20018F"/>
    <w:rsid w:val="6D205BE5"/>
    <w:rsid w:val="6D21195D"/>
    <w:rsid w:val="6D264D81"/>
    <w:rsid w:val="6D280809"/>
    <w:rsid w:val="6D2A0A99"/>
    <w:rsid w:val="6D2A73CB"/>
    <w:rsid w:val="6D2C27DC"/>
    <w:rsid w:val="6D2E3DFE"/>
    <w:rsid w:val="6D305122"/>
    <w:rsid w:val="6D34319C"/>
    <w:rsid w:val="6D3449FA"/>
    <w:rsid w:val="6D35040B"/>
    <w:rsid w:val="6D3508FE"/>
    <w:rsid w:val="6D351262"/>
    <w:rsid w:val="6D361187"/>
    <w:rsid w:val="6D365409"/>
    <w:rsid w:val="6D3B2178"/>
    <w:rsid w:val="6D3B2878"/>
    <w:rsid w:val="6D3C0545"/>
    <w:rsid w:val="6D3D065C"/>
    <w:rsid w:val="6D3F3718"/>
    <w:rsid w:val="6D3F3B91"/>
    <w:rsid w:val="6D3F7477"/>
    <w:rsid w:val="6D400035"/>
    <w:rsid w:val="6D404DF2"/>
    <w:rsid w:val="6D413C7A"/>
    <w:rsid w:val="6D427557"/>
    <w:rsid w:val="6D4549E6"/>
    <w:rsid w:val="6D464F20"/>
    <w:rsid w:val="6D4748B6"/>
    <w:rsid w:val="6D4B0788"/>
    <w:rsid w:val="6D4D4960"/>
    <w:rsid w:val="6D4D62AE"/>
    <w:rsid w:val="6D4D74EE"/>
    <w:rsid w:val="6D4E1190"/>
    <w:rsid w:val="6D521B8E"/>
    <w:rsid w:val="6D555CF9"/>
    <w:rsid w:val="6D57537F"/>
    <w:rsid w:val="6D586DDA"/>
    <w:rsid w:val="6D592EA5"/>
    <w:rsid w:val="6D5D0BE7"/>
    <w:rsid w:val="6D5D40D0"/>
    <w:rsid w:val="6D601360"/>
    <w:rsid w:val="6D604233"/>
    <w:rsid w:val="6D611D5A"/>
    <w:rsid w:val="6D6279BC"/>
    <w:rsid w:val="6D656DD9"/>
    <w:rsid w:val="6D6754BE"/>
    <w:rsid w:val="6D67744E"/>
    <w:rsid w:val="6D6C0E2A"/>
    <w:rsid w:val="6D6C6EDF"/>
    <w:rsid w:val="6D6E7421"/>
    <w:rsid w:val="6D6F091A"/>
    <w:rsid w:val="6D7423DE"/>
    <w:rsid w:val="6D744A44"/>
    <w:rsid w:val="6D745F31"/>
    <w:rsid w:val="6D747CDF"/>
    <w:rsid w:val="6D7952F5"/>
    <w:rsid w:val="6D7B4A6F"/>
    <w:rsid w:val="6D7D4DE5"/>
    <w:rsid w:val="6D84127D"/>
    <w:rsid w:val="6D8617C0"/>
    <w:rsid w:val="6D8F4B19"/>
    <w:rsid w:val="6D9143ED"/>
    <w:rsid w:val="6D920165"/>
    <w:rsid w:val="6D9640F9"/>
    <w:rsid w:val="6D981C1F"/>
    <w:rsid w:val="6D9D5488"/>
    <w:rsid w:val="6D9E1607"/>
    <w:rsid w:val="6DA20A2F"/>
    <w:rsid w:val="6DA253D5"/>
    <w:rsid w:val="6DA32372"/>
    <w:rsid w:val="6DA467B4"/>
    <w:rsid w:val="6DA9017B"/>
    <w:rsid w:val="6DAA54AF"/>
    <w:rsid w:val="6DAB73F8"/>
    <w:rsid w:val="6DAB7F9D"/>
    <w:rsid w:val="6DB225B5"/>
    <w:rsid w:val="6DB22C9E"/>
    <w:rsid w:val="6DB328B4"/>
    <w:rsid w:val="6DB427D1"/>
    <w:rsid w:val="6DB769E1"/>
    <w:rsid w:val="6DB77BCC"/>
    <w:rsid w:val="6DBA72D2"/>
    <w:rsid w:val="6DBB3B60"/>
    <w:rsid w:val="6DBD1686"/>
    <w:rsid w:val="6DBE0F5A"/>
    <w:rsid w:val="6DC20A4A"/>
    <w:rsid w:val="6DC36A13"/>
    <w:rsid w:val="6DC44DFE"/>
    <w:rsid w:val="6DC5053A"/>
    <w:rsid w:val="6DC733BC"/>
    <w:rsid w:val="6DC94451"/>
    <w:rsid w:val="6DCA67FD"/>
    <w:rsid w:val="6DCE0330"/>
    <w:rsid w:val="6DCE4F7A"/>
    <w:rsid w:val="6DD30EA9"/>
    <w:rsid w:val="6DD37613"/>
    <w:rsid w:val="6DD469CF"/>
    <w:rsid w:val="6DD50B69"/>
    <w:rsid w:val="6DD56B42"/>
    <w:rsid w:val="6DDA7352"/>
    <w:rsid w:val="6DDD1535"/>
    <w:rsid w:val="6DDD5884"/>
    <w:rsid w:val="6DDE6956"/>
    <w:rsid w:val="6DE035C6"/>
    <w:rsid w:val="6DE22E9A"/>
    <w:rsid w:val="6DE258F0"/>
    <w:rsid w:val="6DE629E4"/>
    <w:rsid w:val="6DEA5FB9"/>
    <w:rsid w:val="6DEB4FE7"/>
    <w:rsid w:val="6DEC0780"/>
    <w:rsid w:val="6DEF55B7"/>
    <w:rsid w:val="6DF131CA"/>
    <w:rsid w:val="6DF35928"/>
    <w:rsid w:val="6DF46E4A"/>
    <w:rsid w:val="6DF572B5"/>
    <w:rsid w:val="6DF626E8"/>
    <w:rsid w:val="6DF730E1"/>
    <w:rsid w:val="6DF91479"/>
    <w:rsid w:val="6DFB0400"/>
    <w:rsid w:val="6DFD3153"/>
    <w:rsid w:val="6DFD5F26"/>
    <w:rsid w:val="6DFF0065"/>
    <w:rsid w:val="6DFF4013"/>
    <w:rsid w:val="6DFF6962"/>
    <w:rsid w:val="6E054C74"/>
    <w:rsid w:val="6E070B53"/>
    <w:rsid w:val="6E0A2967"/>
    <w:rsid w:val="6E0B3860"/>
    <w:rsid w:val="6E0F175E"/>
    <w:rsid w:val="6E1119D2"/>
    <w:rsid w:val="6E120929"/>
    <w:rsid w:val="6E134630"/>
    <w:rsid w:val="6E16432E"/>
    <w:rsid w:val="6E1A6948"/>
    <w:rsid w:val="6E1A6AD8"/>
    <w:rsid w:val="6E1B63AC"/>
    <w:rsid w:val="6E1C16C2"/>
    <w:rsid w:val="6E1E6EDE"/>
    <w:rsid w:val="6E1F5633"/>
    <w:rsid w:val="6E1F5E9D"/>
    <w:rsid w:val="6E201C15"/>
    <w:rsid w:val="6E206FB9"/>
    <w:rsid w:val="6E23083E"/>
    <w:rsid w:val="6E247035"/>
    <w:rsid w:val="6E253E75"/>
    <w:rsid w:val="6E274D51"/>
    <w:rsid w:val="6E283B85"/>
    <w:rsid w:val="6E290AC9"/>
    <w:rsid w:val="6E2B7591"/>
    <w:rsid w:val="6E3000AA"/>
    <w:rsid w:val="6E317B76"/>
    <w:rsid w:val="6E376F09"/>
    <w:rsid w:val="6E3B256F"/>
    <w:rsid w:val="6E3C2AA3"/>
    <w:rsid w:val="6E3D14BD"/>
    <w:rsid w:val="6E3E0E48"/>
    <w:rsid w:val="6E401198"/>
    <w:rsid w:val="6E445903"/>
    <w:rsid w:val="6E46167B"/>
    <w:rsid w:val="6E486E44"/>
    <w:rsid w:val="6E4B6747"/>
    <w:rsid w:val="6E4C2A0A"/>
    <w:rsid w:val="6E4C47B8"/>
    <w:rsid w:val="6E4C520D"/>
    <w:rsid w:val="6E4E0530"/>
    <w:rsid w:val="6E4F6056"/>
    <w:rsid w:val="6E503829"/>
    <w:rsid w:val="6E5A623E"/>
    <w:rsid w:val="6E5C6E8A"/>
    <w:rsid w:val="6E6164B5"/>
    <w:rsid w:val="6E6223ED"/>
    <w:rsid w:val="6E623FDB"/>
    <w:rsid w:val="6E663ACB"/>
    <w:rsid w:val="6E6B1671"/>
    <w:rsid w:val="6E704A0F"/>
    <w:rsid w:val="6E713A48"/>
    <w:rsid w:val="6E714CD0"/>
    <w:rsid w:val="6E7322F5"/>
    <w:rsid w:val="6E733541"/>
    <w:rsid w:val="6E740412"/>
    <w:rsid w:val="6E751F61"/>
    <w:rsid w:val="6E7669EE"/>
    <w:rsid w:val="6E7C32EF"/>
    <w:rsid w:val="6E7D0E15"/>
    <w:rsid w:val="6E82467D"/>
    <w:rsid w:val="6E847951"/>
    <w:rsid w:val="6E847A44"/>
    <w:rsid w:val="6E860F1E"/>
    <w:rsid w:val="6E861244"/>
    <w:rsid w:val="6E8757F0"/>
    <w:rsid w:val="6E8C1826"/>
    <w:rsid w:val="6E8D2AF8"/>
    <w:rsid w:val="6E8F4A58"/>
    <w:rsid w:val="6E906D9A"/>
    <w:rsid w:val="6E933E0D"/>
    <w:rsid w:val="6E9811AE"/>
    <w:rsid w:val="6E9951C2"/>
    <w:rsid w:val="6E9A1476"/>
    <w:rsid w:val="6E9F0D8B"/>
    <w:rsid w:val="6E9F2B3A"/>
    <w:rsid w:val="6EA73C08"/>
    <w:rsid w:val="6EA77C40"/>
    <w:rsid w:val="6EA77EF9"/>
    <w:rsid w:val="6EA91C0A"/>
    <w:rsid w:val="6EAD34A8"/>
    <w:rsid w:val="6EB74042"/>
    <w:rsid w:val="6EB7406D"/>
    <w:rsid w:val="6EB8009F"/>
    <w:rsid w:val="6EBE187F"/>
    <w:rsid w:val="6EBE56B6"/>
    <w:rsid w:val="6EC10D02"/>
    <w:rsid w:val="6EC72090"/>
    <w:rsid w:val="6ECA086A"/>
    <w:rsid w:val="6ECB3AAD"/>
    <w:rsid w:val="6ECF180A"/>
    <w:rsid w:val="6ECF22DD"/>
    <w:rsid w:val="6ED3145C"/>
    <w:rsid w:val="6ED36C87"/>
    <w:rsid w:val="6ED57E3D"/>
    <w:rsid w:val="6EDA6267"/>
    <w:rsid w:val="6EDA703D"/>
    <w:rsid w:val="6EDE7B06"/>
    <w:rsid w:val="6EE76183"/>
    <w:rsid w:val="6EE772B1"/>
    <w:rsid w:val="6EE8019E"/>
    <w:rsid w:val="6EE82732"/>
    <w:rsid w:val="6EE93917"/>
    <w:rsid w:val="6EED3AB9"/>
    <w:rsid w:val="6EEE3AC1"/>
    <w:rsid w:val="6EEF1D13"/>
    <w:rsid w:val="6EF07839"/>
    <w:rsid w:val="6EF404A6"/>
    <w:rsid w:val="6EF74925"/>
    <w:rsid w:val="6EFD5043"/>
    <w:rsid w:val="6EFD5AB2"/>
    <w:rsid w:val="6EFE1369"/>
    <w:rsid w:val="6F017CEE"/>
    <w:rsid w:val="6F0357BE"/>
    <w:rsid w:val="6F040895"/>
    <w:rsid w:val="6F0917CE"/>
    <w:rsid w:val="6F0926A9"/>
    <w:rsid w:val="6F0B4673"/>
    <w:rsid w:val="6F0B557E"/>
    <w:rsid w:val="6F0C7739"/>
    <w:rsid w:val="6F1126CC"/>
    <w:rsid w:val="6F1174A8"/>
    <w:rsid w:val="6F133A47"/>
    <w:rsid w:val="6F152DFC"/>
    <w:rsid w:val="6F174DC6"/>
    <w:rsid w:val="6F176B74"/>
    <w:rsid w:val="6F1B293A"/>
    <w:rsid w:val="6F1C23DC"/>
    <w:rsid w:val="6F1E1193"/>
    <w:rsid w:val="6F1F517A"/>
    <w:rsid w:val="6F2474E3"/>
    <w:rsid w:val="6F250CF6"/>
    <w:rsid w:val="6F26325B"/>
    <w:rsid w:val="6F2637B4"/>
    <w:rsid w:val="6F272857"/>
    <w:rsid w:val="6F2B0871"/>
    <w:rsid w:val="6F2B6C8F"/>
    <w:rsid w:val="6F2C3CE9"/>
    <w:rsid w:val="6F2D283B"/>
    <w:rsid w:val="6F2D45E9"/>
    <w:rsid w:val="6F2D6397"/>
    <w:rsid w:val="6F343288"/>
    <w:rsid w:val="6F345978"/>
    <w:rsid w:val="6F361E1E"/>
    <w:rsid w:val="6F364DDC"/>
    <w:rsid w:val="6F3911E0"/>
    <w:rsid w:val="6F3A5490"/>
    <w:rsid w:val="6F3B4F58"/>
    <w:rsid w:val="6F40256E"/>
    <w:rsid w:val="6F433E0D"/>
    <w:rsid w:val="6F457B85"/>
    <w:rsid w:val="6F472BFF"/>
    <w:rsid w:val="6F481423"/>
    <w:rsid w:val="6F4875B9"/>
    <w:rsid w:val="6F4A519B"/>
    <w:rsid w:val="6F5002D8"/>
    <w:rsid w:val="6F526AE6"/>
    <w:rsid w:val="6F5463D0"/>
    <w:rsid w:val="6F5613DF"/>
    <w:rsid w:val="6F562E77"/>
    <w:rsid w:val="6F5708FE"/>
    <w:rsid w:val="6F5B1156"/>
    <w:rsid w:val="6F5C6C7D"/>
    <w:rsid w:val="6F5E0C47"/>
    <w:rsid w:val="6F5F10A7"/>
    <w:rsid w:val="6F6049BF"/>
    <w:rsid w:val="6F6204D9"/>
    <w:rsid w:val="6F6B334D"/>
    <w:rsid w:val="6F6C4631"/>
    <w:rsid w:val="6F6D5F2B"/>
    <w:rsid w:val="6F6E74EB"/>
    <w:rsid w:val="6F6F30E2"/>
    <w:rsid w:val="6F6F4C02"/>
    <w:rsid w:val="6F6F69B0"/>
    <w:rsid w:val="6F6F7721"/>
    <w:rsid w:val="6F784D67"/>
    <w:rsid w:val="6F7B7678"/>
    <w:rsid w:val="6F847DEE"/>
    <w:rsid w:val="6F8561D3"/>
    <w:rsid w:val="6F89409D"/>
    <w:rsid w:val="6F8A11EE"/>
    <w:rsid w:val="6F8D1D57"/>
    <w:rsid w:val="6F906926"/>
    <w:rsid w:val="6F914B78"/>
    <w:rsid w:val="6F92002E"/>
    <w:rsid w:val="6F941206"/>
    <w:rsid w:val="6F965C2F"/>
    <w:rsid w:val="6F966EFB"/>
    <w:rsid w:val="6F9C351D"/>
    <w:rsid w:val="6FA26D85"/>
    <w:rsid w:val="6FA32730"/>
    <w:rsid w:val="6FA61BB3"/>
    <w:rsid w:val="6FAC3760"/>
    <w:rsid w:val="6FAC7C04"/>
    <w:rsid w:val="6FB30ED0"/>
    <w:rsid w:val="6FB52B94"/>
    <w:rsid w:val="6FB62831"/>
    <w:rsid w:val="6FB65109"/>
    <w:rsid w:val="6FB70357"/>
    <w:rsid w:val="6FBE7937"/>
    <w:rsid w:val="6FC00223"/>
    <w:rsid w:val="6FC0545D"/>
    <w:rsid w:val="6FC6037A"/>
    <w:rsid w:val="6FC64095"/>
    <w:rsid w:val="6FC67704"/>
    <w:rsid w:val="6FC82564"/>
    <w:rsid w:val="6FC860C0"/>
    <w:rsid w:val="6FCA62DC"/>
    <w:rsid w:val="6FCE551F"/>
    <w:rsid w:val="6FD14188"/>
    <w:rsid w:val="6FD249F3"/>
    <w:rsid w:val="6FD53CF4"/>
    <w:rsid w:val="6FD54156"/>
    <w:rsid w:val="6FD7767A"/>
    <w:rsid w:val="6FD9207B"/>
    <w:rsid w:val="6FD96330"/>
    <w:rsid w:val="6FDB2803"/>
    <w:rsid w:val="6FDE58E3"/>
    <w:rsid w:val="6FDE7692"/>
    <w:rsid w:val="6FE06BF4"/>
    <w:rsid w:val="6FEA072C"/>
    <w:rsid w:val="6FEA38F1"/>
    <w:rsid w:val="6FED5B27"/>
    <w:rsid w:val="6FEE011C"/>
    <w:rsid w:val="6FEE1FCA"/>
    <w:rsid w:val="6FF11ABB"/>
    <w:rsid w:val="6FF14419"/>
    <w:rsid w:val="6FF60E7F"/>
    <w:rsid w:val="6FF62C2D"/>
    <w:rsid w:val="6FF670D1"/>
    <w:rsid w:val="6FF84336"/>
    <w:rsid w:val="6FFB6495"/>
    <w:rsid w:val="6FFD2810"/>
    <w:rsid w:val="7000585A"/>
    <w:rsid w:val="70025A76"/>
    <w:rsid w:val="700370F8"/>
    <w:rsid w:val="7004359C"/>
    <w:rsid w:val="7007308C"/>
    <w:rsid w:val="700A6A9D"/>
    <w:rsid w:val="700B4D69"/>
    <w:rsid w:val="700D3632"/>
    <w:rsid w:val="700D7F77"/>
    <w:rsid w:val="70135A4D"/>
    <w:rsid w:val="70156034"/>
    <w:rsid w:val="70161236"/>
    <w:rsid w:val="7016312F"/>
    <w:rsid w:val="701A2B04"/>
    <w:rsid w:val="701D7CB8"/>
    <w:rsid w:val="7020414E"/>
    <w:rsid w:val="702047C6"/>
    <w:rsid w:val="70205EFC"/>
    <w:rsid w:val="70207CAA"/>
    <w:rsid w:val="7021355F"/>
    <w:rsid w:val="70231548"/>
    <w:rsid w:val="702552C0"/>
    <w:rsid w:val="70270ABE"/>
    <w:rsid w:val="702A28D7"/>
    <w:rsid w:val="702C08FA"/>
    <w:rsid w:val="702E0844"/>
    <w:rsid w:val="702E26CE"/>
    <w:rsid w:val="702F3ED5"/>
    <w:rsid w:val="70310109"/>
    <w:rsid w:val="7031472E"/>
    <w:rsid w:val="70333E81"/>
    <w:rsid w:val="703419A7"/>
    <w:rsid w:val="7035646B"/>
    <w:rsid w:val="70397BE1"/>
    <w:rsid w:val="703A1AC1"/>
    <w:rsid w:val="703A5210"/>
    <w:rsid w:val="703C2C54"/>
    <w:rsid w:val="703D53F9"/>
    <w:rsid w:val="703F45D4"/>
    <w:rsid w:val="70400485"/>
    <w:rsid w:val="7040785D"/>
    <w:rsid w:val="70452A53"/>
    <w:rsid w:val="7045431C"/>
    <w:rsid w:val="70457711"/>
    <w:rsid w:val="7047792D"/>
    <w:rsid w:val="704C0A9F"/>
    <w:rsid w:val="70505CFE"/>
    <w:rsid w:val="70515609"/>
    <w:rsid w:val="70567B70"/>
    <w:rsid w:val="70587444"/>
    <w:rsid w:val="7059546C"/>
    <w:rsid w:val="705C4DFB"/>
    <w:rsid w:val="705F44AC"/>
    <w:rsid w:val="7060454A"/>
    <w:rsid w:val="7062240D"/>
    <w:rsid w:val="70625868"/>
    <w:rsid w:val="706E310B"/>
    <w:rsid w:val="706E6C67"/>
    <w:rsid w:val="706F0A4E"/>
    <w:rsid w:val="707029DF"/>
    <w:rsid w:val="707334C9"/>
    <w:rsid w:val="707519AD"/>
    <w:rsid w:val="70757EA5"/>
    <w:rsid w:val="70757FF6"/>
    <w:rsid w:val="70780034"/>
    <w:rsid w:val="70782B75"/>
    <w:rsid w:val="70840239"/>
    <w:rsid w:val="70875F7B"/>
    <w:rsid w:val="70896E7E"/>
    <w:rsid w:val="708C0D01"/>
    <w:rsid w:val="708C3591"/>
    <w:rsid w:val="709366CE"/>
    <w:rsid w:val="70954F1B"/>
    <w:rsid w:val="709661BE"/>
    <w:rsid w:val="709A133F"/>
    <w:rsid w:val="709D4420"/>
    <w:rsid w:val="709D7504"/>
    <w:rsid w:val="709F38BB"/>
    <w:rsid w:val="70A32E66"/>
    <w:rsid w:val="70A94143"/>
    <w:rsid w:val="70AB6D3D"/>
    <w:rsid w:val="70AB7EBB"/>
    <w:rsid w:val="70AC59E2"/>
    <w:rsid w:val="70AC747F"/>
    <w:rsid w:val="70AE0F3B"/>
    <w:rsid w:val="70AE3EBC"/>
    <w:rsid w:val="70AE6944"/>
    <w:rsid w:val="70B07280"/>
    <w:rsid w:val="70B4172A"/>
    <w:rsid w:val="70B7060E"/>
    <w:rsid w:val="70B76860"/>
    <w:rsid w:val="70BB084F"/>
    <w:rsid w:val="70BB79D3"/>
    <w:rsid w:val="70BC3CDD"/>
    <w:rsid w:val="70BF5715"/>
    <w:rsid w:val="70C10CB0"/>
    <w:rsid w:val="70C3772A"/>
    <w:rsid w:val="70C40F7D"/>
    <w:rsid w:val="70C5219A"/>
    <w:rsid w:val="70C574C0"/>
    <w:rsid w:val="70C60851"/>
    <w:rsid w:val="70CA7E7D"/>
    <w:rsid w:val="70CC398E"/>
    <w:rsid w:val="70CC53D1"/>
    <w:rsid w:val="70CE3BAA"/>
    <w:rsid w:val="70D17BB9"/>
    <w:rsid w:val="70D2369A"/>
    <w:rsid w:val="70D34D1C"/>
    <w:rsid w:val="70D56281"/>
    <w:rsid w:val="70D72C81"/>
    <w:rsid w:val="70D7317A"/>
    <w:rsid w:val="70D75786"/>
    <w:rsid w:val="70D80585"/>
    <w:rsid w:val="70D8120D"/>
    <w:rsid w:val="70D834A7"/>
    <w:rsid w:val="70DC1E23"/>
    <w:rsid w:val="70E06530"/>
    <w:rsid w:val="70E360B7"/>
    <w:rsid w:val="70E37655"/>
    <w:rsid w:val="70E46696"/>
    <w:rsid w:val="70E535CC"/>
    <w:rsid w:val="70E53871"/>
    <w:rsid w:val="70E63ACF"/>
    <w:rsid w:val="70E92792"/>
    <w:rsid w:val="70E97ED5"/>
    <w:rsid w:val="70EB02B8"/>
    <w:rsid w:val="70EF07CB"/>
    <w:rsid w:val="70EF7EF1"/>
    <w:rsid w:val="70F10A19"/>
    <w:rsid w:val="70F16067"/>
    <w:rsid w:val="70F730F9"/>
    <w:rsid w:val="70F76C5D"/>
    <w:rsid w:val="70FB198C"/>
    <w:rsid w:val="70FF2DCA"/>
    <w:rsid w:val="70FF6E19"/>
    <w:rsid w:val="71017ADB"/>
    <w:rsid w:val="71022D79"/>
    <w:rsid w:val="71042289"/>
    <w:rsid w:val="71062415"/>
    <w:rsid w:val="710E3FA6"/>
    <w:rsid w:val="7110168C"/>
    <w:rsid w:val="71120427"/>
    <w:rsid w:val="71136DF9"/>
    <w:rsid w:val="71145A61"/>
    <w:rsid w:val="711723F6"/>
    <w:rsid w:val="711A31C5"/>
    <w:rsid w:val="711C2B67"/>
    <w:rsid w:val="711C4915"/>
    <w:rsid w:val="711E01CF"/>
    <w:rsid w:val="71225906"/>
    <w:rsid w:val="712372AB"/>
    <w:rsid w:val="71241A1C"/>
    <w:rsid w:val="7124712B"/>
    <w:rsid w:val="7126137C"/>
    <w:rsid w:val="71267542"/>
    <w:rsid w:val="71267D14"/>
    <w:rsid w:val="71277617"/>
    <w:rsid w:val="71286CF8"/>
    <w:rsid w:val="712B4B58"/>
    <w:rsid w:val="712D6B22"/>
    <w:rsid w:val="712D6D4D"/>
    <w:rsid w:val="712D74FB"/>
    <w:rsid w:val="712F7D64"/>
    <w:rsid w:val="713374DE"/>
    <w:rsid w:val="71372C06"/>
    <w:rsid w:val="713855A1"/>
    <w:rsid w:val="71422285"/>
    <w:rsid w:val="7143043C"/>
    <w:rsid w:val="714459EF"/>
    <w:rsid w:val="71461992"/>
    <w:rsid w:val="71485475"/>
    <w:rsid w:val="7148570A"/>
    <w:rsid w:val="714A20C2"/>
    <w:rsid w:val="714B1F28"/>
    <w:rsid w:val="714B3F05"/>
    <w:rsid w:val="714E0A5A"/>
    <w:rsid w:val="714E7C4B"/>
    <w:rsid w:val="714F0D1E"/>
    <w:rsid w:val="71500A63"/>
    <w:rsid w:val="71502811"/>
    <w:rsid w:val="71557E27"/>
    <w:rsid w:val="71567590"/>
    <w:rsid w:val="71570161"/>
    <w:rsid w:val="71573B9F"/>
    <w:rsid w:val="715776FB"/>
    <w:rsid w:val="71593474"/>
    <w:rsid w:val="715C4409"/>
    <w:rsid w:val="7160394B"/>
    <w:rsid w:val="71606934"/>
    <w:rsid w:val="71611588"/>
    <w:rsid w:val="71614A1E"/>
    <w:rsid w:val="71630025"/>
    <w:rsid w:val="71655A4E"/>
    <w:rsid w:val="71662034"/>
    <w:rsid w:val="71662982"/>
    <w:rsid w:val="716A6CEF"/>
    <w:rsid w:val="716B31A7"/>
    <w:rsid w:val="716B7F01"/>
    <w:rsid w:val="716D5171"/>
    <w:rsid w:val="717100DF"/>
    <w:rsid w:val="71722787"/>
    <w:rsid w:val="71723D2E"/>
    <w:rsid w:val="71725481"/>
    <w:rsid w:val="7174528B"/>
    <w:rsid w:val="71751495"/>
    <w:rsid w:val="71755DD4"/>
    <w:rsid w:val="71771B4C"/>
    <w:rsid w:val="717958C4"/>
    <w:rsid w:val="717B468E"/>
    <w:rsid w:val="717C1858"/>
    <w:rsid w:val="717C69C3"/>
    <w:rsid w:val="717C6E02"/>
    <w:rsid w:val="717C7162"/>
    <w:rsid w:val="71813B10"/>
    <w:rsid w:val="71856318"/>
    <w:rsid w:val="718801FD"/>
    <w:rsid w:val="71893357"/>
    <w:rsid w:val="718A7AD1"/>
    <w:rsid w:val="718C7DC5"/>
    <w:rsid w:val="718F6E95"/>
    <w:rsid w:val="7190720D"/>
    <w:rsid w:val="71920B24"/>
    <w:rsid w:val="719548BD"/>
    <w:rsid w:val="71957968"/>
    <w:rsid w:val="71A00ED1"/>
    <w:rsid w:val="71A072F4"/>
    <w:rsid w:val="71A369B5"/>
    <w:rsid w:val="71A60B27"/>
    <w:rsid w:val="71A740D7"/>
    <w:rsid w:val="71A805B7"/>
    <w:rsid w:val="71A861A9"/>
    <w:rsid w:val="71AA18E0"/>
    <w:rsid w:val="71B2527A"/>
    <w:rsid w:val="71B52BC7"/>
    <w:rsid w:val="71B608C6"/>
    <w:rsid w:val="71B765E0"/>
    <w:rsid w:val="71B81792"/>
    <w:rsid w:val="71BB679D"/>
    <w:rsid w:val="71BC1C54"/>
    <w:rsid w:val="71BE5D07"/>
    <w:rsid w:val="71C12F3C"/>
    <w:rsid w:val="71C17BC1"/>
    <w:rsid w:val="71C32FE3"/>
    <w:rsid w:val="71C35BEB"/>
    <w:rsid w:val="71C6395B"/>
    <w:rsid w:val="71C64881"/>
    <w:rsid w:val="71CB0748"/>
    <w:rsid w:val="71CD79BE"/>
    <w:rsid w:val="71CF3736"/>
    <w:rsid w:val="71D31E10"/>
    <w:rsid w:val="71D47931"/>
    <w:rsid w:val="71D84FB6"/>
    <w:rsid w:val="71D92806"/>
    <w:rsid w:val="71DE1BCB"/>
    <w:rsid w:val="71E0317D"/>
    <w:rsid w:val="71E2790D"/>
    <w:rsid w:val="71E47A8D"/>
    <w:rsid w:val="71E57F8B"/>
    <w:rsid w:val="71E74F23"/>
    <w:rsid w:val="71E76CD1"/>
    <w:rsid w:val="71ED289B"/>
    <w:rsid w:val="71EF3DD8"/>
    <w:rsid w:val="71F04D7A"/>
    <w:rsid w:val="71F118FE"/>
    <w:rsid w:val="71F31B1A"/>
    <w:rsid w:val="71F4319C"/>
    <w:rsid w:val="71F475E4"/>
    <w:rsid w:val="71F6391E"/>
    <w:rsid w:val="71FA6925"/>
    <w:rsid w:val="71FB277D"/>
    <w:rsid w:val="71FE111C"/>
    <w:rsid w:val="72001B41"/>
    <w:rsid w:val="72016014"/>
    <w:rsid w:val="72070B3D"/>
    <w:rsid w:val="720B63C0"/>
    <w:rsid w:val="720D141A"/>
    <w:rsid w:val="720E5E3F"/>
    <w:rsid w:val="72132523"/>
    <w:rsid w:val="72132DA2"/>
    <w:rsid w:val="72143460"/>
    <w:rsid w:val="721450E8"/>
    <w:rsid w:val="721675B7"/>
    <w:rsid w:val="7219581F"/>
    <w:rsid w:val="721D0945"/>
    <w:rsid w:val="72200435"/>
    <w:rsid w:val="722103D4"/>
    <w:rsid w:val="72236769"/>
    <w:rsid w:val="722412F4"/>
    <w:rsid w:val="72254CAF"/>
    <w:rsid w:val="722577FA"/>
    <w:rsid w:val="722639B4"/>
    <w:rsid w:val="722C1BCB"/>
    <w:rsid w:val="723074CC"/>
    <w:rsid w:val="72312813"/>
    <w:rsid w:val="72323CC5"/>
    <w:rsid w:val="723273AE"/>
    <w:rsid w:val="72350A49"/>
    <w:rsid w:val="72371A9A"/>
    <w:rsid w:val="723B701D"/>
    <w:rsid w:val="723E08BB"/>
    <w:rsid w:val="7242215D"/>
    <w:rsid w:val="72426666"/>
    <w:rsid w:val="72453978"/>
    <w:rsid w:val="724703E6"/>
    <w:rsid w:val="7249173A"/>
    <w:rsid w:val="7249798C"/>
    <w:rsid w:val="72514749"/>
    <w:rsid w:val="72517C93"/>
    <w:rsid w:val="725325B9"/>
    <w:rsid w:val="72560E9E"/>
    <w:rsid w:val="7258787F"/>
    <w:rsid w:val="726227FC"/>
    <w:rsid w:val="72627A21"/>
    <w:rsid w:val="72677E12"/>
    <w:rsid w:val="72695111"/>
    <w:rsid w:val="726A1076"/>
    <w:rsid w:val="726D7E0E"/>
    <w:rsid w:val="726E2F4F"/>
    <w:rsid w:val="726F01A2"/>
    <w:rsid w:val="72710C91"/>
    <w:rsid w:val="72721744"/>
    <w:rsid w:val="72726413"/>
    <w:rsid w:val="727277B6"/>
    <w:rsid w:val="727724DD"/>
    <w:rsid w:val="72777559"/>
    <w:rsid w:val="727C634F"/>
    <w:rsid w:val="727D6267"/>
    <w:rsid w:val="727D7636"/>
    <w:rsid w:val="72800ED4"/>
    <w:rsid w:val="72807126"/>
    <w:rsid w:val="72816D82"/>
    <w:rsid w:val="72817281"/>
    <w:rsid w:val="72850965"/>
    <w:rsid w:val="72874010"/>
    <w:rsid w:val="728A58AF"/>
    <w:rsid w:val="728C1627"/>
    <w:rsid w:val="728C7879"/>
    <w:rsid w:val="728E4F0C"/>
    <w:rsid w:val="729055BB"/>
    <w:rsid w:val="72907369"/>
    <w:rsid w:val="729102C9"/>
    <w:rsid w:val="7294672D"/>
    <w:rsid w:val="7296160C"/>
    <w:rsid w:val="729755D8"/>
    <w:rsid w:val="72982AE7"/>
    <w:rsid w:val="729A12B3"/>
    <w:rsid w:val="729B7ABC"/>
    <w:rsid w:val="729E6778"/>
    <w:rsid w:val="72A2723D"/>
    <w:rsid w:val="72A30142"/>
    <w:rsid w:val="72A3401C"/>
    <w:rsid w:val="72A36BE8"/>
    <w:rsid w:val="72A465D8"/>
    <w:rsid w:val="72A46F5C"/>
    <w:rsid w:val="72A526E9"/>
    <w:rsid w:val="72A61886"/>
    <w:rsid w:val="72AE02EA"/>
    <w:rsid w:val="72AE1B71"/>
    <w:rsid w:val="72B26F8E"/>
    <w:rsid w:val="72B4247F"/>
    <w:rsid w:val="72B866DB"/>
    <w:rsid w:val="72B93740"/>
    <w:rsid w:val="72BA2FF4"/>
    <w:rsid w:val="72BA470E"/>
    <w:rsid w:val="72BB7763"/>
    <w:rsid w:val="72BC20E7"/>
    <w:rsid w:val="72C25048"/>
    <w:rsid w:val="72C30AE4"/>
    <w:rsid w:val="72C34A11"/>
    <w:rsid w:val="72C60FDD"/>
    <w:rsid w:val="72C97EAD"/>
    <w:rsid w:val="72CD4EB3"/>
    <w:rsid w:val="72CF4B8B"/>
    <w:rsid w:val="72D05D55"/>
    <w:rsid w:val="72D27E43"/>
    <w:rsid w:val="72D37256"/>
    <w:rsid w:val="72D4706A"/>
    <w:rsid w:val="72D66D46"/>
    <w:rsid w:val="72D817B7"/>
    <w:rsid w:val="72D82ABE"/>
    <w:rsid w:val="72D9226E"/>
    <w:rsid w:val="72D92EB3"/>
    <w:rsid w:val="72DD3B49"/>
    <w:rsid w:val="72E23271"/>
    <w:rsid w:val="72E36E6C"/>
    <w:rsid w:val="72E40557"/>
    <w:rsid w:val="72E41630"/>
    <w:rsid w:val="72E476B5"/>
    <w:rsid w:val="72E80D91"/>
    <w:rsid w:val="72E8136F"/>
    <w:rsid w:val="72EA3A76"/>
    <w:rsid w:val="72EB0A43"/>
    <w:rsid w:val="72EE3EF2"/>
    <w:rsid w:val="72F03074"/>
    <w:rsid w:val="72F13B80"/>
    <w:rsid w:val="72F1592E"/>
    <w:rsid w:val="72F47240"/>
    <w:rsid w:val="72F708DE"/>
    <w:rsid w:val="72F76F6E"/>
    <w:rsid w:val="72F84F0E"/>
    <w:rsid w:val="72FA6ED8"/>
    <w:rsid w:val="72FC1A3D"/>
    <w:rsid w:val="72FE34AF"/>
    <w:rsid w:val="73010A86"/>
    <w:rsid w:val="73012015"/>
    <w:rsid w:val="73027B3B"/>
    <w:rsid w:val="7306762B"/>
    <w:rsid w:val="73070965"/>
    <w:rsid w:val="730C0691"/>
    <w:rsid w:val="730C47CD"/>
    <w:rsid w:val="730D09BA"/>
    <w:rsid w:val="731004AA"/>
    <w:rsid w:val="73132A26"/>
    <w:rsid w:val="73133AF6"/>
    <w:rsid w:val="7315145E"/>
    <w:rsid w:val="73156701"/>
    <w:rsid w:val="7315786E"/>
    <w:rsid w:val="7318110C"/>
    <w:rsid w:val="731A04F4"/>
    <w:rsid w:val="731C0BFD"/>
    <w:rsid w:val="731E21D2"/>
    <w:rsid w:val="731F693F"/>
    <w:rsid w:val="732050AE"/>
    <w:rsid w:val="73216213"/>
    <w:rsid w:val="732460F9"/>
    <w:rsid w:val="73251E66"/>
    <w:rsid w:val="732950C8"/>
    <w:rsid w:val="732D5217"/>
    <w:rsid w:val="732D5F2D"/>
    <w:rsid w:val="732E26DE"/>
    <w:rsid w:val="73300245"/>
    <w:rsid w:val="7330467F"/>
    <w:rsid w:val="733046A8"/>
    <w:rsid w:val="73317DD8"/>
    <w:rsid w:val="73320420"/>
    <w:rsid w:val="73322577"/>
    <w:rsid w:val="73331D2A"/>
    <w:rsid w:val="73346078"/>
    <w:rsid w:val="73375A36"/>
    <w:rsid w:val="733817AF"/>
    <w:rsid w:val="733970E2"/>
    <w:rsid w:val="733A033B"/>
    <w:rsid w:val="733C0E56"/>
    <w:rsid w:val="733C4DFB"/>
    <w:rsid w:val="733D0B61"/>
    <w:rsid w:val="733F5642"/>
    <w:rsid w:val="734168B5"/>
    <w:rsid w:val="73441F01"/>
    <w:rsid w:val="73442A76"/>
    <w:rsid w:val="734608FB"/>
    <w:rsid w:val="73467A28"/>
    <w:rsid w:val="73474A6A"/>
    <w:rsid w:val="73494287"/>
    <w:rsid w:val="73497518"/>
    <w:rsid w:val="734C0DB6"/>
    <w:rsid w:val="735059AD"/>
    <w:rsid w:val="735071F1"/>
    <w:rsid w:val="73520AC2"/>
    <w:rsid w:val="73532145"/>
    <w:rsid w:val="735510AD"/>
    <w:rsid w:val="73593BFF"/>
    <w:rsid w:val="73596638"/>
    <w:rsid w:val="735A7768"/>
    <w:rsid w:val="735C2A82"/>
    <w:rsid w:val="735E7467"/>
    <w:rsid w:val="7366593A"/>
    <w:rsid w:val="7366631C"/>
    <w:rsid w:val="736675DE"/>
    <w:rsid w:val="7368410A"/>
    <w:rsid w:val="73692A41"/>
    <w:rsid w:val="736A39E4"/>
    <w:rsid w:val="736B1B84"/>
    <w:rsid w:val="73702CF6"/>
    <w:rsid w:val="7371538C"/>
    <w:rsid w:val="73726A6F"/>
    <w:rsid w:val="73733D2A"/>
    <w:rsid w:val="73734595"/>
    <w:rsid w:val="73735B67"/>
    <w:rsid w:val="737806D3"/>
    <w:rsid w:val="737846B5"/>
    <w:rsid w:val="737E3665"/>
    <w:rsid w:val="737F2BAA"/>
    <w:rsid w:val="73840DB4"/>
    <w:rsid w:val="7386251A"/>
    <w:rsid w:val="7386708A"/>
    <w:rsid w:val="73871F06"/>
    <w:rsid w:val="738B0ABC"/>
    <w:rsid w:val="738D1AFA"/>
    <w:rsid w:val="738D38A8"/>
    <w:rsid w:val="738F4DC4"/>
    <w:rsid w:val="73947409"/>
    <w:rsid w:val="739570D1"/>
    <w:rsid w:val="73977D3D"/>
    <w:rsid w:val="739B4217"/>
    <w:rsid w:val="739C3AEB"/>
    <w:rsid w:val="739C7F8F"/>
    <w:rsid w:val="73A17354"/>
    <w:rsid w:val="73A25A30"/>
    <w:rsid w:val="73A40BF2"/>
    <w:rsid w:val="73A664A3"/>
    <w:rsid w:val="73A85115"/>
    <w:rsid w:val="73A93B72"/>
    <w:rsid w:val="73AD7AA7"/>
    <w:rsid w:val="73AF749D"/>
    <w:rsid w:val="73B07597"/>
    <w:rsid w:val="73B12DFC"/>
    <w:rsid w:val="73B14E9C"/>
    <w:rsid w:val="73B159DB"/>
    <w:rsid w:val="73B64B88"/>
    <w:rsid w:val="73B827C6"/>
    <w:rsid w:val="73BB0416"/>
    <w:rsid w:val="73BB559D"/>
    <w:rsid w:val="73BE521F"/>
    <w:rsid w:val="73C117A4"/>
    <w:rsid w:val="73C44343"/>
    <w:rsid w:val="73C44DF0"/>
    <w:rsid w:val="73C51294"/>
    <w:rsid w:val="73C579D6"/>
    <w:rsid w:val="73C87B6B"/>
    <w:rsid w:val="73C923FE"/>
    <w:rsid w:val="73CB25D9"/>
    <w:rsid w:val="73D61BA7"/>
    <w:rsid w:val="73D6507B"/>
    <w:rsid w:val="73D76C1F"/>
    <w:rsid w:val="73D909DD"/>
    <w:rsid w:val="73D96AEE"/>
    <w:rsid w:val="73D97F55"/>
    <w:rsid w:val="73DA064A"/>
    <w:rsid w:val="73DC10EB"/>
    <w:rsid w:val="73DD02D9"/>
    <w:rsid w:val="73DD68D6"/>
    <w:rsid w:val="73E610C9"/>
    <w:rsid w:val="73E831D5"/>
    <w:rsid w:val="73EA536F"/>
    <w:rsid w:val="73EC4D50"/>
    <w:rsid w:val="73EE280E"/>
    <w:rsid w:val="73EF6311"/>
    <w:rsid w:val="73F15DB5"/>
    <w:rsid w:val="73F228E8"/>
    <w:rsid w:val="73F23547"/>
    <w:rsid w:val="73F36F7D"/>
    <w:rsid w:val="73F456D6"/>
    <w:rsid w:val="73F66052"/>
    <w:rsid w:val="73F71C58"/>
    <w:rsid w:val="73F77AD1"/>
    <w:rsid w:val="73F83DEF"/>
    <w:rsid w:val="74055E02"/>
    <w:rsid w:val="7406783B"/>
    <w:rsid w:val="7407365B"/>
    <w:rsid w:val="74082F2F"/>
    <w:rsid w:val="740B6505"/>
    <w:rsid w:val="740D4F91"/>
    <w:rsid w:val="740D6797"/>
    <w:rsid w:val="740F250F"/>
    <w:rsid w:val="741529D7"/>
    <w:rsid w:val="74174FF2"/>
    <w:rsid w:val="741915E0"/>
    <w:rsid w:val="74196D2E"/>
    <w:rsid w:val="741B5358"/>
    <w:rsid w:val="741E09A4"/>
    <w:rsid w:val="741E2752"/>
    <w:rsid w:val="74207B19"/>
    <w:rsid w:val="74235FBB"/>
    <w:rsid w:val="742C101D"/>
    <w:rsid w:val="742C30C1"/>
    <w:rsid w:val="742C3D60"/>
    <w:rsid w:val="742E508B"/>
    <w:rsid w:val="742F314F"/>
    <w:rsid w:val="74301B0E"/>
    <w:rsid w:val="743106D8"/>
    <w:rsid w:val="7431087C"/>
    <w:rsid w:val="743242DA"/>
    <w:rsid w:val="743401C8"/>
    <w:rsid w:val="74345C0A"/>
    <w:rsid w:val="743C0E2B"/>
    <w:rsid w:val="743C7AF5"/>
    <w:rsid w:val="743E6772"/>
    <w:rsid w:val="74403584"/>
    <w:rsid w:val="74454183"/>
    <w:rsid w:val="74455F31"/>
    <w:rsid w:val="74487635"/>
    <w:rsid w:val="744A1799"/>
    <w:rsid w:val="744B7E00"/>
    <w:rsid w:val="744D1707"/>
    <w:rsid w:val="744D7520"/>
    <w:rsid w:val="74503CDC"/>
    <w:rsid w:val="74523D17"/>
    <w:rsid w:val="74565CC5"/>
    <w:rsid w:val="74593C0F"/>
    <w:rsid w:val="745D1C31"/>
    <w:rsid w:val="745F570D"/>
    <w:rsid w:val="74604224"/>
    <w:rsid w:val="74632526"/>
    <w:rsid w:val="746740F9"/>
    <w:rsid w:val="746A7ED7"/>
    <w:rsid w:val="746D7236"/>
    <w:rsid w:val="746E3F1F"/>
    <w:rsid w:val="746E5488"/>
    <w:rsid w:val="746F2544"/>
    <w:rsid w:val="74710B02"/>
    <w:rsid w:val="74734B4C"/>
    <w:rsid w:val="74752E62"/>
    <w:rsid w:val="74764AC6"/>
    <w:rsid w:val="747832E2"/>
    <w:rsid w:val="747B7BA5"/>
    <w:rsid w:val="747C51B0"/>
    <w:rsid w:val="747D1B6F"/>
    <w:rsid w:val="748178D4"/>
    <w:rsid w:val="74820F7F"/>
    <w:rsid w:val="74832B7A"/>
    <w:rsid w:val="748676A5"/>
    <w:rsid w:val="74870180"/>
    <w:rsid w:val="748A0207"/>
    <w:rsid w:val="748A428C"/>
    <w:rsid w:val="748B36B5"/>
    <w:rsid w:val="748C63D3"/>
    <w:rsid w:val="74934EEE"/>
    <w:rsid w:val="74943E9C"/>
    <w:rsid w:val="749725AC"/>
    <w:rsid w:val="74980757"/>
    <w:rsid w:val="74A00D62"/>
    <w:rsid w:val="74A05A55"/>
    <w:rsid w:val="74A23383"/>
    <w:rsid w:val="74A52E74"/>
    <w:rsid w:val="74A72748"/>
    <w:rsid w:val="74A809DB"/>
    <w:rsid w:val="74AA2238"/>
    <w:rsid w:val="74AC4202"/>
    <w:rsid w:val="74AD208C"/>
    <w:rsid w:val="74AE5639"/>
    <w:rsid w:val="74AE7F7A"/>
    <w:rsid w:val="74B005D4"/>
    <w:rsid w:val="74B15375"/>
    <w:rsid w:val="74B47F1F"/>
    <w:rsid w:val="74B62CA0"/>
    <w:rsid w:val="74B77420"/>
    <w:rsid w:val="74B9247B"/>
    <w:rsid w:val="74B92E7F"/>
    <w:rsid w:val="74BA06CD"/>
    <w:rsid w:val="74BB61F3"/>
    <w:rsid w:val="74BF637A"/>
    <w:rsid w:val="74C10D01"/>
    <w:rsid w:val="74C14001"/>
    <w:rsid w:val="74C27582"/>
    <w:rsid w:val="74C47B08"/>
    <w:rsid w:val="74CA6436"/>
    <w:rsid w:val="74CA6887"/>
    <w:rsid w:val="74CC1CD7"/>
    <w:rsid w:val="74CD45E2"/>
    <w:rsid w:val="74D04BCC"/>
    <w:rsid w:val="74D13C69"/>
    <w:rsid w:val="74D15A17"/>
    <w:rsid w:val="74D3178F"/>
    <w:rsid w:val="74D61EEE"/>
    <w:rsid w:val="74D83B3F"/>
    <w:rsid w:val="74DA0D6F"/>
    <w:rsid w:val="74DB6B9B"/>
    <w:rsid w:val="74DD32EA"/>
    <w:rsid w:val="74DD616A"/>
    <w:rsid w:val="74DF3BA2"/>
    <w:rsid w:val="74DF6386"/>
    <w:rsid w:val="74E03EAC"/>
    <w:rsid w:val="74E24DC3"/>
    <w:rsid w:val="74E357BB"/>
    <w:rsid w:val="74E41AE4"/>
    <w:rsid w:val="74E7523A"/>
    <w:rsid w:val="74E8050C"/>
    <w:rsid w:val="74E90FB2"/>
    <w:rsid w:val="74E97204"/>
    <w:rsid w:val="74EE0377"/>
    <w:rsid w:val="74EE481B"/>
    <w:rsid w:val="74EE567F"/>
    <w:rsid w:val="74F23398"/>
    <w:rsid w:val="74F31E31"/>
    <w:rsid w:val="74F6722B"/>
    <w:rsid w:val="74F811F5"/>
    <w:rsid w:val="74F867D4"/>
    <w:rsid w:val="74FA31C0"/>
    <w:rsid w:val="74FA7758"/>
    <w:rsid w:val="74FD2A1F"/>
    <w:rsid w:val="74FE034B"/>
    <w:rsid w:val="74FF4332"/>
    <w:rsid w:val="75021C8E"/>
    <w:rsid w:val="750300CE"/>
    <w:rsid w:val="75063912"/>
    <w:rsid w:val="75072A7D"/>
    <w:rsid w:val="75072EF7"/>
    <w:rsid w:val="75074E48"/>
    <w:rsid w:val="750821FD"/>
    <w:rsid w:val="75090556"/>
    <w:rsid w:val="750A799E"/>
    <w:rsid w:val="750B23F3"/>
    <w:rsid w:val="750C6461"/>
    <w:rsid w:val="750D64B8"/>
    <w:rsid w:val="750E0E46"/>
    <w:rsid w:val="75107633"/>
    <w:rsid w:val="75175D2D"/>
    <w:rsid w:val="751C6215"/>
    <w:rsid w:val="751F5141"/>
    <w:rsid w:val="75205D45"/>
    <w:rsid w:val="752977B7"/>
    <w:rsid w:val="752B57D9"/>
    <w:rsid w:val="752D6E4A"/>
    <w:rsid w:val="753233B2"/>
    <w:rsid w:val="753541F8"/>
    <w:rsid w:val="753B2068"/>
    <w:rsid w:val="753E27F3"/>
    <w:rsid w:val="753E5ABC"/>
    <w:rsid w:val="7541616E"/>
    <w:rsid w:val="75436252"/>
    <w:rsid w:val="7544268D"/>
    <w:rsid w:val="754902B7"/>
    <w:rsid w:val="754937FF"/>
    <w:rsid w:val="754A1711"/>
    <w:rsid w:val="754A33BA"/>
    <w:rsid w:val="754B04A9"/>
    <w:rsid w:val="754B46EE"/>
    <w:rsid w:val="754E52B9"/>
    <w:rsid w:val="75524BFE"/>
    <w:rsid w:val="75526B58"/>
    <w:rsid w:val="755503F6"/>
    <w:rsid w:val="75564E94"/>
    <w:rsid w:val="755952A5"/>
    <w:rsid w:val="755A5A0C"/>
    <w:rsid w:val="755A6385"/>
    <w:rsid w:val="755C4B65"/>
    <w:rsid w:val="755E374E"/>
    <w:rsid w:val="755F1275"/>
    <w:rsid w:val="7560245D"/>
    <w:rsid w:val="7561323F"/>
    <w:rsid w:val="75642C11"/>
    <w:rsid w:val="75644ADD"/>
    <w:rsid w:val="75647EE4"/>
    <w:rsid w:val="75674F3A"/>
    <w:rsid w:val="7568182B"/>
    <w:rsid w:val="75696C79"/>
    <w:rsid w:val="756D0BD0"/>
    <w:rsid w:val="756F7946"/>
    <w:rsid w:val="75742F72"/>
    <w:rsid w:val="757545F4"/>
    <w:rsid w:val="757768F3"/>
    <w:rsid w:val="75790588"/>
    <w:rsid w:val="757A4300"/>
    <w:rsid w:val="757C1915"/>
    <w:rsid w:val="757D67EF"/>
    <w:rsid w:val="757F2F5F"/>
    <w:rsid w:val="757F5C41"/>
    <w:rsid w:val="75812F99"/>
    <w:rsid w:val="75861309"/>
    <w:rsid w:val="75862FE7"/>
    <w:rsid w:val="75867C1B"/>
    <w:rsid w:val="758807CB"/>
    <w:rsid w:val="758B2E3F"/>
    <w:rsid w:val="758D193E"/>
    <w:rsid w:val="75930F1E"/>
    <w:rsid w:val="75931266"/>
    <w:rsid w:val="75994786"/>
    <w:rsid w:val="759A494C"/>
    <w:rsid w:val="759D0B26"/>
    <w:rsid w:val="759E1D9D"/>
    <w:rsid w:val="759F3BA6"/>
    <w:rsid w:val="759F78C3"/>
    <w:rsid w:val="759F7FAD"/>
    <w:rsid w:val="75A211B6"/>
    <w:rsid w:val="75A21C85"/>
    <w:rsid w:val="75A44ED9"/>
    <w:rsid w:val="75A51014"/>
    <w:rsid w:val="75A650F5"/>
    <w:rsid w:val="75A66E6C"/>
    <w:rsid w:val="75AB76AB"/>
    <w:rsid w:val="75AF5B42"/>
    <w:rsid w:val="75B1647F"/>
    <w:rsid w:val="75B2702A"/>
    <w:rsid w:val="75B45616"/>
    <w:rsid w:val="75B4584F"/>
    <w:rsid w:val="75B55E9A"/>
    <w:rsid w:val="75B86DA1"/>
    <w:rsid w:val="75B90231"/>
    <w:rsid w:val="75B96BD7"/>
    <w:rsid w:val="75BA46FD"/>
    <w:rsid w:val="75BC2223"/>
    <w:rsid w:val="75BE0083"/>
    <w:rsid w:val="75BE5576"/>
    <w:rsid w:val="75BF2CDD"/>
    <w:rsid w:val="75BF7F65"/>
    <w:rsid w:val="75C3471E"/>
    <w:rsid w:val="75C430EC"/>
    <w:rsid w:val="75C5557C"/>
    <w:rsid w:val="75C922BD"/>
    <w:rsid w:val="75CA033B"/>
    <w:rsid w:val="75CC286E"/>
    <w:rsid w:val="75CD12CF"/>
    <w:rsid w:val="75CD2682"/>
    <w:rsid w:val="75D27C98"/>
    <w:rsid w:val="75D42821"/>
    <w:rsid w:val="75D81AA9"/>
    <w:rsid w:val="75D9146A"/>
    <w:rsid w:val="75D91A00"/>
    <w:rsid w:val="75D91BB6"/>
    <w:rsid w:val="75D97EEB"/>
    <w:rsid w:val="75DA35DC"/>
    <w:rsid w:val="75DA6B4D"/>
    <w:rsid w:val="75DC4FB1"/>
    <w:rsid w:val="75DD0EE6"/>
    <w:rsid w:val="75E071B6"/>
    <w:rsid w:val="75E40914"/>
    <w:rsid w:val="75E4196E"/>
    <w:rsid w:val="75E43C29"/>
    <w:rsid w:val="75E8126A"/>
    <w:rsid w:val="75E86FC4"/>
    <w:rsid w:val="75E904F2"/>
    <w:rsid w:val="75EA3234"/>
    <w:rsid w:val="75EF08ED"/>
    <w:rsid w:val="75EF6EB1"/>
    <w:rsid w:val="75F15AA2"/>
    <w:rsid w:val="75F335CE"/>
    <w:rsid w:val="75F42D8E"/>
    <w:rsid w:val="75F47C0F"/>
    <w:rsid w:val="75F55735"/>
    <w:rsid w:val="75F61BD9"/>
    <w:rsid w:val="75F83410"/>
    <w:rsid w:val="75FA786C"/>
    <w:rsid w:val="75FA7C03"/>
    <w:rsid w:val="75FC6AC3"/>
    <w:rsid w:val="75FE6B53"/>
    <w:rsid w:val="75FF5F9F"/>
    <w:rsid w:val="76056C1E"/>
    <w:rsid w:val="76085468"/>
    <w:rsid w:val="760B4326"/>
    <w:rsid w:val="760C303C"/>
    <w:rsid w:val="760C6A44"/>
    <w:rsid w:val="760F2C9B"/>
    <w:rsid w:val="7614205F"/>
    <w:rsid w:val="761738FD"/>
    <w:rsid w:val="76180C4D"/>
    <w:rsid w:val="761B75CE"/>
    <w:rsid w:val="761C6C24"/>
    <w:rsid w:val="761F09B2"/>
    <w:rsid w:val="761F2E34"/>
    <w:rsid w:val="76200A04"/>
    <w:rsid w:val="7620778A"/>
    <w:rsid w:val="76212261"/>
    <w:rsid w:val="7621652A"/>
    <w:rsid w:val="762556D9"/>
    <w:rsid w:val="76270F89"/>
    <w:rsid w:val="76290B75"/>
    <w:rsid w:val="762A6205"/>
    <w:rsid w:val="762B73A9"/>
    <w:rsid w:val="762E6A4A"/>
    <w:rsid w:val="762F6ED4"/>
    <w:rsid w:val="763224E5"/>
    <w:rsid w:val="763267CE"/>
    <w:rsid w:val="76330627"/>
    <w:rsid w:val="763349AE"/>
    <w:rsid w:val="76341048"/>
    <w:rsid w:val="7634625D"/>
    <w:rsid w:val="763B063C"/>
    <w:rsid w:val="763B604B"/>
    <w:rsid w:val="763C472D"/>
    <w:rsid w:val="763E0E3E"/>
    <w:rsid w:val="764346F2"/>
    <w:rsid w:val="76465F91"/>
    <w:rsid w:val="76472434"/>
    <w:rsid w:val="764728DD"/>
    <w:rsid w:val="76487991"/>
    <w:rsid w:val="7649264C"/>
    <w:rsid w:val="764A4B4A"/>
    <w:rsid w:val="764C17F9"/>
    <w:rsid w:val="764D79E4"/>
    <w:rsid w:val="76520F1B"/>
    <w:rsid w:val="76556A94"/>
    <w:rsid w:val="76561499"/>
    <w:rsid w:val="765A5421"/>
    <w:rsid w:val="765B6DB6"/>
    <w:rsid w:val="765D0AC2"/>
    <w:rsid w:val="765D3A06"/>
    <w:rsid w:val="76612DCA"/>
    <w:rsid w:val="766506E4"/>
    <w:rsid w:val="76661A35"/>
    <w:rsid w:val="766823AB"/>
    <w:rsid w:val="766850C7"/>
    <w:rsid w:val="766A0949"/>
    <w:rsid w:val="766F7295"/>
    <w:rsid w:val="7672658D"/>
    <w:rsid w:val="76754F96"/>
    <w:rsid w:val="76772951"/>
    <w:rsid w:val="76780840"/>
    <w:rsid w:val="767945B8"/>
    <w:rsid w:val="7679573B"/>
    <w:rsid w:val="767D72A0"/>
    <w:rsid w:val="767E4360"/>
    <w:rsid w:val="767F2A60"/>
    <w:rsid w:val="768070B8"/>
    <w:rsid w:val="768176A2"/>
    <w:rsid w:val="7682346D"/>
    <w:rsid w:val="76840A16"/>
    <w:rsid w:val="768717C8"/>
    <w:rsid w:val="7687705D"/>
    <w:rsid w:val="768B4886"/>
    <w:rsid w:val="768B78D0"/>
    <w:rsid w:val="7691545E"/>
    <w:rsid w:val="769242CB"/>
    <w:rsid w:val="769431A0"/>
    <w:rsid w:val="76991A48"/>
    <w:rsid w:val="769A1337"/>
    <w:rsid w:val="769B6AA2"/>
    <w:rsid w:val="769F401E"/>
    <w:rsid w:val="76A03194"/>
    <w:rsid w:val="76A11A1F"/>
    <w:rsid w:val="76A13293"/>
    <w:rsid w:val="76A64435"/>
    <w:rsid w:val="76A71125"/>
    <w:rsid w:val="76AE10C8"/>
    <w:rsid w:val="76B15B00"/>
    <w:rsid w:val="76B25D27"/>
    <w:rsid w:val="76B37ACA"/>
    <w:rsid w:val="76B63F2A"/>
    <w:rsid w:val="76B80C3C"/>
    <w:rsid w:val="76BB3C09"/>
    <w:rsid w:val="76BB4D58"/>
    <w:rsid w:val="76BC7790"/>
    <w:rsid w:val="76BD6AA4"/>
    <w:rsid w:val="76BF07A3"/>
    <w:rsid w:val="76C05D43"/>
    <w:rsid w:val="76C250C0"/>
    <w:rsid w:val="76C526AD"/>
    <w:rsid w:val="76C577FD"/>
    <w:rsid w:val="76C61E58"/>
    <w:rsid w:val="76C62D39"/>
    <w:rsid w:val="76C73713"/>
    <w:rsid w:val="76C92E49"/>
    <w:rsid w:val="76CE7DF8"/>
    <w:rsid w:val="76D30972"/>
    <w:rsid w:val="76D33CC8"/>
    <w:rsid w:val="76D41059"/>
    <w:rsid w:val="76D4359C"/>
    <w:rsid w:val="76D66828"/>
    <w:rsid w:val="76D67314"/>
    <w:rsid w:val="76DA32A9"/>
    <w:rsid w:val="76DD5829"/>
    <w:rsid w:val="76DD7484"/>
    <w:rsid w:val="76E44DE7"/>
    <w:rsid w:val="76E539D7"/>
    <w:rsid w:val="76E77620"/>
    <w:rsid w:val="76EA3A4E"/>
    <w:rsid w:val="76EC08E6"/>
    <w:rsid w:val="76EE28B0"/>
    <w:rsid w:val="76F35C53"/>
    <w:rsid w:val="76F37A7A"/>
    <w:rsid w:val="76F53C3E"/>
    <w:rsid w:val="76F73438"/>
    <w:rsid w:val="76FC0C4C"/>
    <w:rsid w:val="770004EB"/>
    <w:rsid w:val="77000835"/>
    <w:rsid w:val="77003D79"/>
    <w:rsid w:val="77005040"/>
    <w:rsid w:val="77005DC7"/>
    <w:rsid w:val="77036E0C"/>
    <w:rsid w:val="770420D4"/>
    <w:rsid w:val="77043EA9"/>
    <w:rsid w:val="77091498"/>
    <w:rsid w:val="770C2D36"/>
    <w:rsid w:val="770D60D4"/>
    <w:rsid w:val="77106CCA"/>
    <w:rsid w:val="7711659E"/>
    <w:rsid w:val="771216A4"/>
    <w:rsid w:val="77147E3D"/>
    <w:rsid w:val="77150087"/>
    <w:rsid w:val="77161E07"/>
    <w:rsid w:val="77163BB5"/>
    <w:rsid w:val="771A0836"/>
    <w:rsid w:val="771A18F7"/>
    <w:rsid w:val="771C30D8"/>
    <w:rsid w:val="771E56D2"/>
    <w:rsid w:val="7722231A"/>
    <w:rsid w:val="772269FE"/>
    <w:rsid w:val="7723419F"/>
    <w:rsid w:val="77243B1B"/>
    <w:rsid w:val="77275B32"/>
    <w:rsid w:val="77277B70"/>
    <w:rsid w:val="772D54ED"/>
    <w:rsid w:val="772E7A30"/>
    <w:rsid w:val="772F0407"/>
    <w:rsid w:val="77324E93"/>
    <w:rsid w:val="77356731"/>
    <w:rsid w:val="773C1FA3"/>
    <w:rsid w:val="77420E4E"/>
    <w:rsid w:val="774C0A76"/>
    <w:rsid w:val="774C1FAB"/>
    <w:rsid w:val="774D3A7A"/>
    <w:rsid w:val="77534E09"/>
    <w:rsid w:val="77542A91"/>
    <w:rsid w:val="77574966"/>
    <w:rsid w:val="775F37AE"/>
    <w:rsid w:val="77613082"/>
    <w:rsid w:val="77624247"/>
    <w:rsid w:val="77642B72"/>
    <w:rsid w:val="77672662"/>
    <w:rsid w:val="776826BC"/>
    <w:rsid w:val="776A794F"/>
    <w:rsid w:val="776B3F01"/>
    <w:rsid w:val="776B44D0"/>
    <w:rsid w:val="776B5CAF"/>
    <w:rsid w:val="776E4F4F"/>
    <w:rsid w:val="777051D3"/>
    <w:rsid w:val="777059BB"/>
    <w:rsid w:val="77732DB5"/>
    <w:rsid w:val="77752FD1"/>
    <w:rsid w:val="77770AF7"/>
    <w:rsid w:val="7777277A"/>
    <w:rsid w:val="777A05E8"/>
    <w:rsid w:val="777D1E86"/>
    <w:rsid w:val="777D59E2"/>
    <w:rsid w:val="777E475A"/>
    <w:rsid w:val="778154D2"/>
    <w:rsid w:val="77827C9A"/>
    <w:rsid w:val="77831553"/>
    <w:rsid w:val="77846D70"/>
    <w:rsid w:val="77862097"/>
    <w:rsid w:val="778C2D97"/>
    <w:rsid w:val="778D2B15"/>
    <w:rsid w:val="778E4A5D"/>
    <w:rsid w:val="77903967"/>
    <w:rsid w:val="77950F7E"/>
    <w:rsid w:val="7797040E"/>
    <w:rsid w:val="77972F48"/>
    <w:rsid w:val="77985E5E"/>
    <w:rsid w:val="77991A3A"/>
    <w:rsid w:val="779B2290"/>
    <w:rsid w:val="77A17922"/>
    <w:rsid w:val="77A2329A"/>
    <w:rsid w:val="77A340BA"/>
    <w:rsid w:val="77A47413"/>
    <w:rsid w:val="77A718F9"/>
    <w:rsid w:val="77A92C7B"/>
    <w:rsid w:val="77A967D7"/>
    <w:rsid w:val="77AA164B"/>
    <w:rsid w:val="77AE0291"/>
    <w:rsid w:val="77B12B16"/>
    <w:rsid w:val="77B329DB"/>
    <w:rsid w:val="77B358A8"/>
    <w:rsid w:val="77B51620"/>
    <w:rsid w:val="77B56A06"/>
    <w:rsid w:val="77B6551D"/>
    <w:rsid w:val="77B84C6C"/>
    <w:rsid w:val="77BF424C"/>
    <w:rsid w:val="77BF5FFA"/>
    <w:rsid w:val="77C24589"/>
    <w:rsid w:val="77C67272"/>
    <w:rsid w:val="77C720FB"/>
    <w:rsid w:val="77C95EAB"/>
    <w:rsid w:val="77CB291E"/>
    <w:rsid w:val="77CC27D2"/>
    <w:rsid w:val="77CE4490"/>
    <w:rsid w:val="77D00208"/>
    <w:rsid w:val="77D44FB1"/>
    <w:rsid w:val="77D575CC"/>
    <w:rsid w:val="77D674EC"/>
    <w:rsid w:val="77D9530E"/>
    <w:rsid w:val="77DB1A01"/>
    <w:rsid w:val="77DE2925"/>
    <w:rsid w:val="77E141C3"/>
    <w:rsid w:val="77E33291"/>
    <w:rsid w:val="77E85551"/>
    <w:rsid w:val="77EC380F"/>
    <w:rsid w:val="77ED0DBA"/>
    <w:rsid w:val="77ED700C"/>
    <w:rsid w:val="77EE068E"/>
    <w:rsid w:val="77EF4B32"/>
    <w:rsid w:val="77F02658"/>
    <w:rsid w:val="77F0465E"/>
    <w:rsid w:val="77F167F8"/>
    <w:rsid w:val="77F21213"/>
    <w:rsid w:val="77F35CA4"/>
    <w:rsid w:val="77F4039A"/>
    <w:rsid w:val="77F702FD"/>
    <w:rsid w:val="77F75794"/>
    <w:rsid w:val="77F85B7A"/>
    <w:rsid w:val="78014865"/>
    <w:rsid w:val="78023F49"/>
    <w:rsid w:val="7802497C"/>
    <w:rsid w:val="78080ED9"/>
    <w:rsid w:val="780A1873"/>
    <w:rsid w:val="780A47CE"/>
    <w:rsid w:val="780C082F"/>
    <w:rsid w:val="78102B7F"/>
    <w:rsid w:val="78104A38"/>
    <w:rsid w:val="781520BE"/>
    <w:rsid w:val="78165BF2"/>
    <w:rsid w:val="78197E01"/>
    <w:rsid w:val="781A0C60"/>
    <w:rsid w:val="781A6563"/>
    <w:rsid w:val="781A76D5"/>
    <w:rsid w:val="781C63ED"/>
    <w:rsid w:val="781E2697"/>
    <w:rsid w:val="782347DB"/>
    <w:rsid w:val="78280044"/>
    <w:rsid w:val="7829375C"/>
    <w:rsid w:val="78297D56"/>
    <w:rsid w:val="782A4F3F"/>
    <w:rsid w:val="782C0F98"/>
    <w:rsid w:val="782F4F2E"/>
    <w:rsid w:val="78305787"/>
    <w:rsid w:val="78320835"/>
    <w:rsid w:val="78320EC2"/>
    <w:rsid w:val="783267CC"/>
    <w:rsid w:val="78351F9A"/>
    <w:rsid w:val="78362F27"/>
    <w:rsid w:val="78366B84"/>
    <w:rsid w:val="78395DAD"/>
    <w:rsid w:val="783A3370"/>
    <w:rsid w:val="783B1B25"/>
    <w:rsid w:val="783C0375"/>
    <w:rsid w:val="7840538D"/>
    <w:rsid w:val="78407785"/>
    <w:rsid w:val="7847671C"/>
    <w:rsid w:val="7848504E"/>
    <w:rsid w:val="78490BBA"/>
    <w:rsid w:val="784A0269"/>
    <w:rsid w:val="784A7FBA"/>
    <w:rsid w:val="784B5AE0"/>
    <w:rsid w:val="784D37F8"/>
    <w:rsid w:val="784F6E70"/>
    <w:rsid w:val="7851759A"/>
    <w:rsid w:val="785250C1"/>
    <w:rsid w:val="78557DD0"/>
    <w:rsid w:val="785B3F75"/>
    <w:rsid w:val="785F3032"/>
    <w:rsid w:val="78623374"/>
    <w:rsid w:val="78632E2A"/>
    <w:rsid w:val="78656BA2"/>
    <w:rsid w:val="78663D77"/>
    <w:rsid w:val="78664918"/>
    <w:rsid w:val="786848E1"/>
    <w:rsid w:val="786945CD"/>
    <w:rsid w:val="78694C47"/>
    <w:rsid w:val="786E7BCB"/>
    <w:rsid w:val="78713799"/>
    <w:rsid w:val="78762B5D"/>
    <w:rsid w:val="78772BA2"/>
    <w:rsid w:val="787768D5"/>
    <w:rsid w:val="7879264D"/>
    <w:rsid w:val="787E6E14"/>
    <w:rsid w:val="787F3397"/>
    <w:rsid w:val="78801C2E"/>
    <w:rsid w:val="788164D6"/>
    <w:rsid w:val="78816D75"/>
    <w:rsid w:val="7883171E"/>
    <w:rsid w:val="7883527A"/>
    <w:rsid w:val="78872FBC"/>
    <w:rsid w:val="788A485A"/>
    <w:rsid w:val="788B3286"/>
    <w:rsid w:val="788F00C3"/>
    <w:rsid w:val="788F5234"/>
    <w:rsid w:val="789254BD"/>
    <w:rsid w:val="78925B44"/>
    <w:rsid w:val="78967DBC"/>
    <w:rsid w:val="7899189E"/>
    <w:rsid w:val="789920CD"/>
    <w:rsid w:val="78992912"/>
    <w:rsid w:val="789D458E"/>
    <w:rsid w:val="789F5602"/>
    <w:rsid w:val="78A01552"/>
    <w:rsid w:val="78A05CA1"/>
    <w:rsid w:val="78A05E2C"/>
    <w:rsid w:val="78A13985"/>
    <w:rsid w:val="78A328FA"/>
    <w:rsid w:val="78A43B6E"/>
    <w:rsid w:val="78A5543C"/>
    <w:rsid w:val="78A753B9"/>
    <w:rsid w:val="78A76463"/>
    <w:rsid w:val="78A961AD"/>
    <w:rsid w:val="78AA6CAB"/>
    <w:rsid w:val="78AB6A35"/>
    <w:rsid w:val="78AE37F4"/>
    <w:rsid w:val="78AF42C1"/>
    <w:rsid w:val="78B113A3"/>
    <w:rsid w:val="78B11DE7"/>
    <w:rsid w:val="78B84E4E"/>
    <w:rsid w:val="78B90C9C"/>
    <w:rsid w:val="78B96EEE"/>
    <w:rsid w:val="78BA2C31"/>
    <w:rsid w:val="78BD078C"/>
    <w:rsid w:val="78C54E9F"/>
    <w:rsid w:val="78C55892"/>
    <w:rsid w:val="78C567A6"/>
    <w:rsid w:val="78C7160B"/>
    <w:rsid w:val="78C71E82"/>
    <w:rsid w:val="78C935D5"/>
    <w:rsid w:val="78D01B3A"/>
    <w:rsid w:val="78D05653"/>
    <w:rsid w:val="78D14237"/>
    <w:rsid w:val="78D21D5D"/>
    <w:rsid w:val="78D22DC6"/>
    <w:rsid w:val="78D2661A"/>
    <w:rsid w:val="78D41F79"/>
    <w:rsid w:val="78D45AD6"/>
    <w:rsid w:val="78D67AA0"/>
    <w:rsid w:val="78D73FB1"/>
    <w:rsid w:val="78D745B3"/>
    <w:rsid w:val="78D977D2"/>
    <w:rsid w:val="78DD4DE5"/>
    <w:rsid w:val="78DE490E"/>
    <w:rsid w:val="78E13DE7"/>
    <w:rsid w:val="78E13E62"/>
    <w:rsid w:val="78E54CDF"/>
    <w:rsid w:val="78E71CAD"/>
    <w:rsid w:val="78E73A5B"/>
    <w:rsid w:val="78E75809"/>
    <w:rsid w:val="78E844FB"/>
    <w:rsid w:val="78E86225"/>
    <w:rsid w:val="78EA3B70"/>
    <w:rsid w:val="78EA5028"/>
    <w:rsid w:val="78EE3CC8"/>
    <w:rsid w:val="78EF7625"/>
    <w:rsid w:val="78F133D7"/>
    <w:rsid w:val="78F15118"/>
    <w:rsid w:val="78F56274"/>
    <w:rsid w:val="78F9159B"/>
    <w:rsid w:val="78F9553C"/>
    <w:rsid w:val="78FB12B4"/>
    <w:rsid w:val="78FB3062"/>
    <w:rsid w:val="78FD502C"/>
    <w:rsid w:val="78FE7AB3"/>
    <w:rsid w:val="79004B1D"/>
    <w:rsid w:val="7903111A"/>
    <w:rsid w:val="79032D0F"/>
    <w:rsid w:val="7903300F"/>
    <w:rsid w:val="790747D9"/>
    <w:rsid w:val="790A14F7"/>
    <w:rsid w:val="790C08DF"/>
    <w:rsid w:val="790D664B"/>
    <w:rsid w:val="7910090B"/>
    <w:rsid w:val="791256B9"/>
    <w:rsid w:val="79127ADC"/>
    <w:rsid w:val="791751C6"/>
    <w:rsid w:val="791858A1"/>
    <w:rsid w:val="791959EE"/>
    <w:rsid w:val="7919798C"/>
    <w:rsid w:val="791A0D3C"/>
    <w:rsid w:val="791A5BDE"/>
    <w:rsid w:val="791C10DE"/>
    <w:rsid w:val="791D122B"/>
    <w:rsid w:val="791E6521"/>
    <w:rsid w:val="791F1447"/>
    <w:rsid w:val="792168EA"/>
    <w:rsid w:val="792321ED"/>
    <w:rsid w:val="79237515"/>
    <w:rsid w:val="79244D8E"/>
    <w:rsid w:val="792720A9"/>
    <w:rsid w:val="7928686B"/>
    <w:rsid w:val="7929564D"/>
    <w:rsid w:val="792A0363"/>
    <w:rsid w:val="792B7DEB"/>
    <w:rsid w:val="792C5981"/>
    <w:rsid w:val="79305B0E"/>
    <w:rsid w:val="79317119"/>
    <w:rsid w:val="79330A4E"/>
    <w:rsid w:val="79334EF2"/>
    <w:rsid w:val="79370FD8"/>
    <w:rsid w:val="79382A94"/>
    <w:rsid w:val="79395CE2"/>
    <w:rsid w:val="793965C7"/>
    <w:rsid w:val="793B3D85"/>
    <w:rsid w:val="793B5B55"/>
    <w:rsid w:val="793C1741"/>
    <w:rsid w:val="7940326E"/>
    <w:rsid w:val="79411FFF"/>
    <w:rsid w:val="79432B7A"/>
    <w:rsid w:val="794644CA"/>
    <w:rsid w:val="79470B9A"/>
    <w:rsid w:val="794813F1"/>
    <w:rsid w:val="794A702A"/>
    <w:rsid w:val="794B31B2"/>
    <w:rsid w:val="794C0ACC"/>
    <w:rsid w:val="794C7D62"/>
    <w:rsid w:val="794D4C08"/>
    <w:rsid w:val="794E3ADA"/>
    <w:rsid w:val="79502CD7"/>
    <w:rsid w:val="795135CA"/>
    <w:rsid w:val="79517126"/>
    <w:rsid w:val="79547DAC"/>
    <w:rsid w:val="79554E68"/>
    <w:rsid w:val="7957544F"/>
    <w:rsid w:val="795A422D"/>
    <w:rsid w:val="795C12C1"/>
    <w:rsid w:val="795D1F6F"/>
    <w:rsid w:val="795D5ACB"/>
    <w:rsid w:val="795D5FB5"/>
    <w:rsid w:val="795D6A97"/>
    <w:rsid w:val="795E095D"/>
    <w:rsid w:val="795E7DE4"/>
    <w:rsid w:val="795F1C25"/>
    <w:rsid w:val="79601E1C"/>
    <w:rsid w:val="7961440B"/>
    <w:rsid w:val="79643500"/>
    <w:rsid w:val="79662EC5"/>
    <w:rsid w:val="7967301D"/>
    <w:rsid w:val="79687C77"/>
    <w:rsid w:val="79695006"/>
    <w:rsid w:val="796B643A"/>
    <w:rsid w:val="796C5D0E"/>
    <w:rsid w:val="796E6C9A"/>
    <w:rsid w:val="797238EA"/>
    <w:rsid w:val="7976529F"/>
    <w:rsid w:val="797937F9"/>
    <w:rsid w:val="797A042B"/>
    <w:rsid w:val="797B58ED"/>
    <w:rsid w:val="797B5AC3"/>
    <w:rsid w:val="79800C57"/>
    <w:rsid w:val="79813791"/>
    <w:rsid w:val="79853103"/>
    <w:rsid w:val="798B088A"/>
    <w:rsid w:val="798B5F70"/>
    <w:rsid w:val="798C63B0"/>
    <w:rsid w:val="798C6424"/>
    <w:rsid w:val="798C6F19"/>
    <w:rsid w:val="7993773F"/>
    <w:rsid w:val="79957FC1"/>
    <w:rsid w:val="79966DD3"/>
    <w:rsid w:val="799905F0"/>
    <w:rsid w:val="79990882"/>
    <w:rsid w:val="799C2DD2"/>
    <w:rsid w:val="79A178BA"/>
    <w:rsid w:val="79A21110"/>
    <w:rsid w:val="79A352D6"/>
    <w:rsid w:val="79A77DD8"/>
    <w:rsid w:val="79A90CBF"/>
    <w:rsid w:val="79B83764"/>
    <w:rsid w:val="79BB4657"/>
    <w:rsid w:val="79BF46CB"/>
    <w:rsid w:val="79C30024"/>
    <w:rsid w:val="79C36BB6"/>
    <w:rsid w:val="79C40C62"/>
    <w:rsid w:val="79C5595F"/>
    <w:rsid w:val="79C8563A"/>
    <w:rsid w:val="79C95236"/>
    <w:rsid w:val="79CC4CE4"/>
    <w:rsid w:val="79CE69C9"/>
    <w:rsid w:val="79D20267"/>
    <w:rsid w:val="79D22CC3"/>
    <w:rsid w:val="79D45873"/>
    <w:rsid w:val="79D4645B"/>
    <w:rsid w:val="79D61F74"/>
    <w:rsid w:val="79DA3728"/>
    <w:rsid w:val="79DC10E6"/>
    <w:rsid w:val="79DC28B9"/>
    <w:rsid w:val="79DD6C0C"/>
    <w:rsid w:val="79DE0BC2"/>
    <w:rsid w:val="79DE3564"/>
    <w:rsid w:val="79E1204E"/>
    <w:rsid w:val="79E1494E"/>
    <w:rsid w:val="79E22784"/>
    <w:rsid w:val="79E32474"/>
    <w:rsid w:val="79E56A30"/>
    <w:rsid w:val="79E836BE"/>
    <w:rsid w:val="79EB3F2F"/>
    <w:rsid w:val="79EB757B"/>
    <w:rsid w:val="79EC3B03"/>
    <w:rsid w:val="79EE0E19"/>
    <w:rsid w:val="79F04910"/>
    <w:rsid w:val="79F27AF7"/>
    <w:rsid w:val="79F35F64"/>
    <w:rsid w:val="79F9310E"/>
    <w:rsid w:val="79F93A46"/>
    <w:rsid w:val="79F97EAF"/>
    <w:rsid w:val="79FA5990"/>
    <w:rsid w:val="79FC03C9"/>
    <w:rsid w:val="79FF4DD4"/>
    <w:rsid w:val="7A007BF0"/>
    <w:rsid w:val="7A020420"/>
    <w:rsid w:val="7A047B5A"/>
    <w:rsid w:val="7A05109D"/>
    <w:rsid w:val="7A070125"/>
    <w:rsid w:val="7A08012D"/>
    <w:rsid w:val="7A0917AF"/>
    <w:rsid w:val="7A096A06"/>
    <w:rsid w:val="7A0A7FB4"/>
    <w:rsid w:val="7A0F14BB"/>
    <w:rsid w:val="7A100D8F"/>
    <w:rsid w:val="7A173ECC"/>
    <w:rsid w:val="7A1C4FF3"/>
    <w:rsid w:val="7A1E3393"/>
    <w:rsid w:val="7A210B1F"/>
    <w:rsid w:val="7A230AC3"/>
    <w:rsid w:val="7A252A8D"/>
    <w:rsid w:val="7A25774A"/>
    <w:rsid w:val="7A2610C8"/>
    <w:rsid w:val="7A2860D9"/>
    <w:rsid w:val="7A2B3E1B"/>
    <w:rsid w:val="7A2B5BC9"/>
    <w:rsid w:val="7A2B7977"/>
    <w:rsid w:val="7A2C0AE0"/>
    <w:rsid w:val="7A2C1DA5"/>
    <w:rsid w:val="7A2D1941"/>
    <w:rsid w:val="7A2E0758"/>
    <w:rsid w:val="7A3376D6"/>
    <w:rsid w:val="7A340F22"/>
    <w:rsid w:val="7A344A7E"/>
    <w:rsid w:val="7A351AB3"/>
    <w:rsid w:val="7A395C82"/>
    <w:rsid w:val="7A396538"/>
    <w:rsid w:val="7A3A09E7"/>
    <w:rsid w:val="7A3C5A92"/>
    <w:rsid w:val="7A3D2163"/>
    <w:rsid w:val="7A3E58FC"/>
    <w:rsid w:val="7A444A03"/>
    <w:rsid w:val="7A471417"/>
    <w:rsid w:val="7A480094"/>
    <w:rsid w:val="7A4D5B40"/>
    <w:rsid w:val="7A5213A8"/>
    <w:rsid w:val="7A523156"/>
    <w:rsid w:val="7A543574"/>
    <w:rsid w:val="7A574C10"/>
    <w:rsid w:val="7A592BA5"/>
    <w:rsid w:val="7A5E0B33"/>
    <w:rsid w:val="7A5E1AFB"/>
    <w:rsid w:val="7A5E4292"/>
    <w:rsid w:val="7A5E6D90"/>
    <w:rsid w:val="7A5F13CA"/>
    <w:rsid w:val="7A5F3E0B"/>
    <w:rsid w:val="7A607EF5"/>
    <w:rsid w:val="7A625368"/>
    <w:rsid w:val="7A6335B5"/>
    <w:rsid w:val="7A633FE0"/>
    <w:rsid w:val="7A637111"/>
    <w:rsid w:val="7A65347F"/>
    <w:rsid w:val="7A65625B"/>
    <w:rsid w:val="7A656B15"/>
    <w:rsid w:val="7A6730A5"/>
    <w:rsid w:val="7A67399B"/>
    <w:rsid w:val="7A680872"/>
    <w:rsid w:val="7A684727"/>
    <w:rsid w:val="7A6C06BC"/>
    <w:rsid w:val="7A6D61E2"/>
    <w:rsid w:val="7A6E50E6"/>
    <w:rsid w:val="7A6F235F"/>
    <w:rsid w:val="7A6F5AB6"/>
    <w:rsid w:val="7A722A83"/>
    <w:rsid w:val="7A747570"/>
    <w:rsid w:val="7A7B26AD"/>
    <w:rsid w:val="7A7C6425"/>
    <w:rsid w:val="7A7C796B"/>
    <w:rsid w:val="7A801A3E"/>
    <w:rsid w:val="7A810926"/>
    <w:rsid w:val="7A8377B3"/>
    <w:rsid w:val="7A856975"/>
    <w:rsid w:val="7A86633E"/>
    <w:rsid w:val="7A8A0B42"/>
    <w:rsid w:val="7A8D06C1"/>
    <w:rsid w:val="7A94046B"/>
    <w:rsid w:val="7A95203B"/>
    <w:rsid w:val="7A955AA2"/>
    <w:rsid w:val="7A957009"/>
    <w:rsid w:val="7A965738"/>
    <w:rsid w:val="7A97500D"/>
    <w:rsid w:val="7A98013D"/>
    <w:rsid w:val="7A9B69FF"/>
    <w:rsid w:val="7A9F78CA"/>
    <w:rsid w:val="7AA02113"/>
    <w:rsid w:val="7AA339B1"/>
    <w:rsid w:val="7AA64AEE"/>
    <w:rsid w:val="7AA65250"/>
    <w:rsid w:val="7AAA20B4"/>
    <w:rsid w:val="7AAA3A13"/>
    <w:rsid w:val="7AAB2866"/>
    <w:rsid w:val="7AAC4F5C"/>
    <w:rsid w:val="7AAE35C7"/>
    <w:rsid w:val="7AAE62A0"/>
    <w:rsid w:val="7AAF12DF"/>
    <w:rsid w:val="7AAF3E60"/>
    <w:rsid w:val="7AB0084B"/>
    <w:rsid w:val="7AB42380"/>
    <w:rsid w:val="7AB50017"/>
    <w:rsid w:val="7ABB613D"/>
    <w:rsid w:val="7AC04563"/>
    <w:rsid w:val="7AC6607B"/>
    <w:rsid w:val="7ACC022F"/>
    <w:rsid w:val="7ACE4ED2"/>
    <w:rsid w:val="7ACE584F"/>
    <w:rsid w:val="7AD16771"/>
    <w:rsid w:val="7AD41DBD"/>
    <w:rsid w:val="7AD539A8"/>
    <w:rsid w:val="7AD5469E"/>
    <w:rsid w:val="7AD61426"/>
    <w:rsid w:val="7AD71C07"/>
    <w:rsid w:val="7AD767F4"/>
    <w:rsid w:val="7AD85D51"/>
    <w:rsid w:val="7ADC2B45"/>
    <w:rsid w:val="7ADC67D6"/>
    <w:rsid w:val="7AE13153"/>
    <w:rsid w:val="7AE14586"/>
    <w:rsid w:val="7AE17643"/>
    <w:rsid w:val="7AE2272C"/>
    <w:rsid w:val="7AE33045"/>
    <w:rsid w:val="7AE55D78"/>
    <w:rsid w:val="7AE6647C"/>
    <w:rsid w:val="7AEB48C6"/>
    <w:rsid w:val="7AEF6BF7"/>
    <w:rsid w:val="7AF26EA8"/>
    <w:rsid w:val="7AF51B84"/>
    <w:rsid w:val="7AF60706"/>
    <w:rsid w:val="7AF66194"/>
    <w:rsid w:val="7AFB3BDC"/>
    <w:rsid w:val="7AFE3411"/>
    <w:rsid w:val="7B047574"/>
    <w:rsid w:val="7B05297E"/>
    <w:rsid w:val="7B07517F"/>
    <w:rsid w:val="7B0F54EB"/>
    <w:rsid w:val="7B1447B1"/>
    <w:rsid w:val="7B152B01"/>
    <w:rsid w:val="7B167964"/>
    <w:rsid w:val="7B176C54"/>
    <w:rsid w:val="7B193C74"/>
    <w:rsid w:val="7B1B3700"/>
    <w:rsid w:val="7B1B5C45"/>
    <w:rsid w:val="7B1B79EC"/>
    <w:rsid w:val="7B1D3764"/>
    <w:rsid w:val="7B1D5512"/>
    <w:rsid w:val="7B1E74DC"/>
    <w:rsid w:val="7B20429A"/>
    <w:rsid w:val="7B216E3F"/>
    <w:rsid w:val="7B292109"/>
    <w:rsid w:val="7B2A676B"/>
    <w:rsid w:val="7B2B5D70"/>
    <w:rsid w:val="7B2C7E4B"/>
    <w:rsid w:val="7B2F045C"/>
    <w:rsid w:val="7B2F195E"/>
    <w:rsid w:val="7B30793B"/>
    <w:rsid w:val="7B312E05"/>
    <w:rsid w:val="7B32304F"/>
    <w:rsid w:val="7B32428B"/>
    <w:rsid w:val="7B326CE2"/>
    <w:rsid w:val="7B377A75"/>
    <w:rsid w:val="7B3B7C15"/>
    <w:rsid w:val="7B3C2CDD"/>
    <w:rsid w:val="7B3D4422"/>
    <w:rsid w:val="7B3D5BB4"/>
    <w:rsid w:val="7B430CF1"/>
    <w:rsid w:val="7B452E5A"/>
    <w:rsid w:val="7B46589E"/>
    <w:rsid w:val="7B471F45"/>
    <w:rsid w:val="7B4758B6"/>
    <w:rsid w:val="7B483FA9"/>
    <w:rsid w:val="7B4A44C4"/>
    <w:rsid w:val="7B4C541B"/>
    <w:rsid w:val="7B4D4A4A"/>
    <w:rsid w:val="7B58479C"/>
    <w:rsid w:val="7B590784"/>
    <w:rsid w:val="7B5D172D"/>
    <w:rsid w:val="7B5F5B2A"/>
    <w:rsid w:val="7B600EA1"/>
    <w:rsid w:val="7B6018A2"/>
    <w:rsid w:val="7B617BD6"/>
    <w:rsid w:val="7B661A27"/>
    <w:rsid w:val="7B684B94"/>
    <w:rsid w:val="7B690757"/>
    <w:rsid w:val="7B6B0973"/>
    <w:rsid w:val="7B7535A0"/>
    <w:rsid w:val="7B7778F1"/>
    <w:rsid w:val="7B7B048A"/>
    <w:rsid w:val="7B7C3816"/>
    <w:rsid w:val="7B7F441F"/>
    <w:rsid w:val="7B812165"/>
    <w:rsid w:val="7B8166EA"/>
    <w:rsid w:val="7B8473ED"/>
    <w:rsid w:val="7B85061B"/>
    <w:rsid w:val="7B851309"/>
    <w:rsid w:val="7B897D2C"/>
    <w:rsid w:val="7B8C2698"/>
    <w:rsid w:val="7B8F4C44"/>
    <w:rsid w:val="7B95779E"/>
    <w:rsid w:val="7B973637"/>
    <w:rsid w:val="7B9A4DB4"/>
    <w:rsid w:val="7B9E325B"/>
    <w:rsid w:val="7BA007EB"/>
    <w:rsid w:val="7BA05D07"/>
    <w:rsid w:val="7BA07EF1"/>
    <w:rsid w:val="7BA501B2"/>
    <w:rsid w:val="7BA54739"/>
    <w:rsid w:val="7BAC2D3A"/>
    <w:rsid w:val="7BB265A2"/>
    <w:rsid w:val="7BB51BEE"/>
    <w:rsid w:val="7BB71508"/>
    <w:rsid w:val="7BB75966"/>
    <w:rsid w:val="7BB77745"/>
    <w:rsid w:val="7BB87930"/>
    <w:rsid w:val="7BBA175F"/>
    <w:rsid w:val="7BBA1C29"/>
    <w:rsid w:val="7BBD0AA3"/>
    <w:rsid w:val="7BBD33E8"/>
    <w:rsid w:val="7BBD6A93"/>
    <w:rsid w:val="7BBF34BB"/>
    <w:rsid w:val="7BC05414"/>
    <w:rsid w:val="7BC0706F"/>
    <w:rsid w:val="7BC16766"/>
    <w:rsid w:val="7BC40A16"/>
    <w:rsid w:val="7BC4130D"/>
    <w:rsid w:val="7BC4797D"/>
    <w:rsid w:val="7BC731BE"/>
    <w:rsid w:val="7BC963CD"/>
    <w:rsid w:val="7BCA21AE"/>
    <w:rsid w:val="7BCA3D42"/>
    <w:rsid w:val="7BCB484F"/>
    <w:rsid w:val="7BCB7664"/>
    <w:rsid w:val="7BCB76C6"/>
    <w:rsid w:val="7BCC16EB"/>
    <w:rsid w:val="7BCC6F38"/>
    <w:rsid w:val="7BCD6478"/>
    <w:rsid w:val="7BD03936"/>
    <w:rsid w:val="7BD03CE7"/>
    <w:rsid w:val="7BD27829"/>
    <w:rsid w:val="7BD4388A"/>
    <w:rsid w:val="7BD80ACB"/>
    <w:rsid w:val="7BD83B2F"/>
    <w:rsid w:val="7BD858DD"/>
    <w:rsid w:val="7BDA1655"/>
    <w:rsid w:val="7BDC7AFE"/>
    <w:rsid w:val="7BE16BC2"/>
    <w:rsid w:val="7BE424D4"/>
    <w:rsid w:val="7BE572DD"/>
    <w:rsid w:val="7BE75B20"/>
    <w:rsid w:val="7BE92EDF"/>
    <w:rsid w:val="7BE95962"/>
    <w:rsid w:val="7BEC714D"/>
    <w:rsid w:val="7BEE3352"/>
    <w:rsid w:val="7BF10779"/>
    <w:rsid w:val="7BF350B5"/>
    <w:rsid w:val="7BF45ABD"/>
    <w:rsid w:val="7BF602EE"/>
    <w:rsid w:val="7BFA63AD"/>
    <w:rsid w:val="7BFB5810"/>
    <w:rsid w:val="7BFF10BB"/>
    <w:rsid w:val="7BFF730D"/>
    <w:rsid w:val="7BFF7ADF"/>
    <w:rsid w:val="7C0246F1"/>
    <w:rsid w:val="7C036DFE"/>
    <w:rsid w:val="7C0727F2"/>
    <w:rsid w:val="7C091F3A"/>
    <w:rsid w:val="7C0A53B6"/>
    <w:rsid w:val="7C0B180E"/>
    <w:rsid w:val="7C0B3F04"/>
    <w:rsid w:val="7C0D4886"/>
    <w:rsid w:val="7C0D63ED"/>
    <w:rsid w:val="7C0D64DD"/>
    <w:rsid w:val="7C127041"/>
    <w:rsid w:val="7C172B18"/>
    <w:rsid w:val="7C175F5D"/>
    <w:rsid w:val="7C19174B"/>
    <w:rsid w:val="7C1C396E"/>
    <w:rsid w:val="7C211032"/>
    <w:rsid w:val="7C217284"/>
    <w:rsid w:val="7C23124E"/>
    <w:rsid w:val="7C23582A"/>
    <w:rsid w:val="7C244BE7"/>
    <w:rsid w:val="7C273E08"/>
    <w:rsid w:val="7C280612"/>
    <w:rsid w:val="7C2D233C"/>
    <w:rsid w:val="7C2E5189"/>
    <w:rsid w:val="7C2F6DB5"/>
    <w:rsid w:val="7C305719"/>
    <w:rsid w:val="7C36089F"/>
    <w:rsid w:val="7C370855"/>
    <w:rsid w:val="7C386AE4"/>
    <w:rsid w:val="7C3A64E7"/>
    <w:rsid w:val="7C3F770A"/>
    <w:rsid w:val="7C446982"/>
    <w:rsid w:val="7C4A2C12"/>
    <w:rsid w:val="7C5238E1"/>
    <w:rsid w:val="7C52568F"/>
    <w:rsid w:val="7C5331B5"/>
    <w:rsid w:val="7C580217"/>
    <w:rsid w:val="7C594C70"/>
    <w:rsid w:val="7C5A5AC4"/>
    <w:rsid w:val="7C5E2286"/>
    <w:rsid w:val="7C621117"/>
    <w:rsid w:val="7C653D45"/>
    <w:rsid w:val="7C6572DE"/>
    <w:rsid w:val="7C66738C"/>
    <w:rsid w:val="7C684EB3"/>
    <w:rsid w:val="7C6C28E5"/>
    <w:rsid w:val="7C6E01E7"/>
    <w:rsid w:val="7C75312C"/>
    <w:rsid w:val="7C773348"/>
    <w:rsid w:val="7C7E460D"/>
    <w:rsid w:val="7C800ABB"/>
    <w:rsid w:val="7C81776C"/>
    <w:rsid w:val="7C8228F7"/>
    <w:rsid w:val="7C8A1112"/>
    <w:rsid w:val="7C8B770E"/>
    <w:rsid w:val="7C8D2B6B"/>
    <w:rsid w:val="7C8D4919"/>
    <w:rsid w:val="7C8E1F7D"/>
    <w:rsid w:val="7C8F243F"/>
    <w:rsid w:val="7C914409"/>
    <w:rsid w:val="7C920CD4"/>
    <w:rsid w:val="7C922503"/>
    <w:rsid w:val="7C92747F"/>
    <w:rsid w:val="7C9417C7"/>
    <w:rsid w:val="7C961A20"/>
    <w:rsid w:val="7C966998"/>
    <w:rsid w:val="7C993310"/>
    <w:rsid w:val="7C9F6AE6"/>
    <w:rsid w:val="7CA02200"/>
    <w:rsid w:val="7CA13F21"/>
    <w:rsid w:val="7CA41BE6"/>
    <w:rsid w:val="7CA61B51"/>
    <w:rsid w:val="7CA80C74"/>
    <w:rsid w:val="7CA87018"/>
    <w:rsid w:val="7CA9195E"/>
    <w:rsid w:val="7CAA2C27"/>
    <w:rsid w:val="7CAA7279"/>
    <w:rsid w:val="7CAC0859"/>
    <w:rsid w:val="7CAD42CC"/>
    <w:rsid w:val="7CB00608"/>
    <w:rsid w:val="7CB50FA6"/>
    <w:rsid w:val="7CB53414"/>
    <w:rsid w:val="7CB97DD7"/>
    <w:rsid w:val="7CBB76D8"/>
    <w:rsid w:val="7CBB7D83"/>
    <w:rsid w:val="7CBE38C6"/>
    <w:rsid w:val="7CC26A8D"/>
    <w:rsid w:val="7CC26F3D"/>
    <w:rsid w:val="7CC41356"/>
    <w:rsid w:val="7CC46BE1"/>
    <w:rsid w:val="7CC876FF"/>
    <w:rsid w:val="7CCB2C8D"/>
    <w:rsid w:val="7CD042D9"/>
    <w:rsid w:val="7CD204C6"/>
    <w:rsid w:val="7CD2057E"/>
    <w:rsid w:val="7CD27D14"/>
    <w:rsid w:val="7CD64676"/>
    <w:rsid w:val="7CD95DB0"/>
    <w:rsid w:val="7CDD26FB"/>
    <w:rsid w:val="7CDE6F23"/>
    <w:rsid w:val="7CDE70DF"/>
    <w:rsid w:val="7CE516A3"/>
    <w:rsid w:val="7CE8316E"/>
    <w:rsid w:val="7CE85FF3"/>
    <w:rsid w:val="7CE9012A"/>
    <w:rsid w:val="7CEA18F2"/>
    <w:rsid w:val="7CEB7C76"/>
    <w:rsid w:val="7CF00AFE"/>
    <w:rsid w:val="7CF10953"/>
    <w:rsid w:val="7CF130FA"/>
    <w:rsid w:val="7CF229CE"/>
    <w:rsid w:val="7CF32703"/>
    <w:rsid w:val="7CF43259"/>
    <w:rsid w:val="7CF60710"/>
    <w:rsid w:val="7CF910DF"/>
    <w:rsid w:val="7CFD1825"/>
    <w:rsid w:val="7CFE2601"/>
    <w:rsid w:val="7CFE5817"/>
    <w:rsid w:val="7D007C35"/>
    <w:rsid w:val="7D027E03"/>
    <w:rsid w:val="7D052701"/>
    <w:rsid w:val="7D057E91"/>
    <w:rsid w:val="7D0C0EC9"/>
    <w:rsid w:val="7D11554A"/>
    <w:rsid w:val="7D163164"/>
    <w:rsid w:val="7D171AF4"/>
    <w:rsid w:val="7D231EC9"/>
    <w:rsid w:val="7D2362E5"/>
    <w:rsid w:val="7D270829"/>
    <w:rsid w:val="7D2708CA"/>
    <w:rsid w:val="7D286029"/>
    <w:rsid w:val="7D3923AB"/>
    <w:rsid w:val="7D3B6123"/>
    <w:rsid w:val="7D3D00ED"/>
    <w:rsid w:val="7D3E110D"/>
    <w:rsid w:val="7D3E5C13"/>
    <w:rsid w:val="7D40198C"/>
    <w:rsid w:val="7D420008"/>
    <w:rsid w:val="7D422505"/>
    <w:rsid w:val="7D423956"/>
    <w:rsid w:val="7D491DF8"/>
    <w:rsid w:val="7D4D134C"/>
    <w:rsid w:val="7D4D6CAA"/>
    <w:rsid w:val="7D4F1BCF"/>
    <w:rsid w:val="7D500C62"/>
    <w:rsid w:val="7D505B98"/>
    <w:rsid w:val="7D553689"/>
    <w:rsid w:val="7D557485"/>
    <w:rsid w:val="7D562F5D"/>
    <w:rsid w:val="7D5972E2"/>
    <w:rsid w:val="7D5B67C5"/>
    <w:rsid w:val="7D5C4DB0"/>
    <w:rsid w:val="7D602B12"/>
    <w:rsid w:val="7D624885"/>
    <w:rsid w:val="7D6278C6"/>
    <w:rsid w:val="7D657BDF"/>
    <w:rsid w:val="7D6A07B6"/>
    <w:rsid w:val="7D6A4C5A"/>
    <w:rsid w:val="7D6C538E"/>
    <w:rsid w:val="7D6E474B"/>
    <w:rsid w:val="7D733B0F"/>
    <w:rsid w:val="7D742DB2"/>
    <w:rsid w:val="7D7540AC"/>
    <w:rsid w:val="7D7963D5"/>
    <w:rsid w:val="7D7A1368"/>
    <w:rsid w:val="7D7B6E68"/>
    <w:rsid w:val="7D7D673C"/>
    <w:rsid w:val="7D7E7E9D"/>
    <w:rsid w:val="7D7F0706"/>
    <w:rsid w:val="7D807FDA"/>
    <w:rsid w:val="7D8201F6"/>
    <w:rsid w:val="7D834076"/>
    <w:rsid w:val="7D847ACA"/>
    <w:rsid w:val="7D87352C"/>
    <w:rsid w:val="7D885FD9"/>
    <w:rsid w:val="7D8B2B7A"/>
    <w:rsid w:val="7D8E26F7"/>
    <w:rsid w:val="7D8E349D"/>
    <w:rsid w:val="7D8F16AE"/>
    <w:rsid w:val="7D8F480F"/>
    <w:rsid w:val="7D9046C1"/>
    <w:rsid w:val="7D93697A"/>
    <w:rsid w:val="7D952E84"/>
    <w:rsid w:val="7D965A4F"/>
    <w:rsid w:val="7D967084"/>
    <w:rsid w:val="7D977FF2"/>
    <w:rsid w:val="7D9879F5"/>
    <w:rsid w:val="7D9B29EF"/>
    <w:rsid w:val="7D9E383F"/>
    <w:rsid w:val="7DA52E3B"/>
    <w:rsid w:val="7DA57A41"/>
    <w:rsid w:val="7DA843F0"/>
    <w:rsid w:val="7DA92A99"/>
    <w:rsid w:val="7DAC0DCF"/>
    <w:rsid w:val="7DAC7021"/>
    <w:rsid w:val="7DAD2C48"/>
    <w:rsid w:val="7DAE2D99"/>
    <w:rsid w:val="7DB137B8"/>
    <w:rsid w:val="7DB163E5"/>
    <w:rsid w:val="7DB21246"/>
    <w:rsid w:val="7DB3215D"/>
    <w:rsid w:val="7DB85C91"/>
    <w:rsid w:val="7DBF3986"/>
    <w:rsid w:val="7DBF48B1"/>
    <w:rsid w:val="7DC10D1E"/>
    <w:rsid w:val="7DC26892"/>
    <w:rsid w:val="7DC54A39"/>
    <w:rsid w:val="7DC9372F"/>
    <w:rsid w:val="7DC97BD3"/>
    <w:rsid w:val="7DCA0140"/>
    <w:rsid w:val="7DCB56F9"/>
    <w:rsid w:val="7DCC01A6"/>
    <w:rsid w:val="7DCD467C"/>
    <w:rsid w:val="7DCE7098"/>
    <w:rsid w:val="7DCF18D3"/>
    <w:rsid w:val="7DD10836"/>
    <w:rsid w:val="7DD30A52"/>
    <w:rsid w:val="7DD62F5C"/>
    <w:rsid w:val="7DD865D6"/>
    <w:rsid w:val="7DDC2921"/>
    <w:rsid w:val="7DDE2FF4"/>
    <w:rsid w:val="7DDE7F6E"/>
    <w:rsid w:val="7DE26849"/>
    <w:rsid w:val="7DE31971"/>
    <w:rsid w:val="7DE55863"/>
    <w:rsid w:val="7DE76D6D"/>
    <w:rsid w:val="7DE91B49"/>
    <w:rsid w:val="7DE95447"/>
    <w:rsid w:val="7DE963A6"/>
    <w:rsid w:val="7DEA5410"/>
    <w:rsid w:val="7DEB5D9B"/>
    <w:rsid w:val="7DED782B"/>
    <w:rsid w:val="7DEE13E8"/>
    <w:rsid w:val="7DEF0892"/>
    <w:rsid w:val="7DEF7572"/>
    <w:rsid w:val="7DF2712A"/>
    <w:rsid w:val="7DF70D04"/>
    <w:rsid w:val="7DF76B88"/>
    <w:rsid w:val="7DFB778A"/>
    <w:rsid w:val="7DFC6F80"/>
    <w:rsid w:val="7E0015C8"/>
    <w:rsid w:val="7E003129"/>
    <w:rsid w:val="7E012F09"/>
    <w:rsid w:val="7E025A70"/>
    <w:rsid w:val="7E074257"/>
    <w:rsid w:val="7E112E74"/>
    <w:rsid w:val="7E117595"/>
    <w:rsid w:val="7E121CC4"/>
    <w:rsid w:val="7E123328"/>
    <w:rsid w:val="7E150331"/>
    <w:rsid w:val="7E162F36"/>
    <w:rsid w:val="7E166CF8"/>
    <w:rsid w:val="7E17093E"/>
    <w:rsid w:val="7E18065A"/>
    <w:rsid w:val="7E190142"/>
    <w:rsid w:val="7E1C5F55"/>
    <w:rsid w:val="7E1D705D"/>
    <w:rsid w:val="7E1F77F3"/>
    <w:rsid w:val="7E205643"/>
    <w:rsid w:val="7E212F6B"/>
    <w:rsid w:val="7E2F1759"/>
    <w:rsid w:val="7E3314F0"/>
    <w:rsid w:val="7E350DC4"/>
    <w:rsid w:val="7E357016"/>
    <w:rsid w:val="7E370FE0"/>
    <w:rsid w:val="7E374D98"/>
    <w:rsid w:val="7E376382"/>
    <w:rsid w:val="7E38050F"/>
    <w:rsid w:val="7E38629C"/>
    <w:rsid w:val="7E3A422A"/>
    <w:rsid w:val="7E3C1E19"/>
    <w:rsid w:val="7E3E411D"/>
    <w:rsid w:val="7E3F7E95"/>
    <w:rsid w:val="7E413C0D"/>
    <w:rsid w:val="7E42141E"/>
    <w:rsid w:val="7E462333"/>
    <w:rsid w:val="7E4B683A"/>
    <w:rsid w:val="7E4C7B1A"/>
    <w:rsid w:val="7E4D4360"/>
    <w:rsid w:val="7E4E2DEB"/>
    <w:rsid w:val="7E5219EE"/>
    <w:rsid w:val="7E561EF9"/>
    <w:rsid w:val="7E566324"/>
    <w:rsid w:val="7E575F90"/>
    <w:rsid w:val="7E580E0C"/>
    <w:rsid w:val="7E581753"/>
    <w:rsid w:val="7E584AB3"/>
    <w:rsid w:val="7E590A4D"/>
    <w:rsid w:val="7E595AB3"/>
    <w:rsid w:val="7E5B2AC6"/>
    <w:rsid w:val="7E604A50"/>
    <w:rsid w:val="7E611589"/>
    <w:rsid w:val="7E633B84"/>
    <w:rsid w:val="7E6416AA"/>
    <w:rsid w:val="7E647A3C"/>
    <w:rsid w:val="7E672D78"/>
    <w:rsid w:val="7E6756FA"/>
    <w:rsid w:val="7E682F48"/>
    <w:rsid w:val="7E710D4E"/>
    <w:rsid w:val="7E716FB3"/>
    <w:rsid w:val="7E742EE1"/>
    <w:rsid w:val="7E7A0ECD"/>
    <w:rsid w:val="7E7B329B"/>
    <w:rsid w:val="7E7E09BD"/>
    <w:rsid w:val="7E803F7D"/>
    <w:rsid w:val="7E8A55B4"/>
    <w:rsid w:val="7E8A65EE"/>
    <w:rsid w:val="7E9401E1"/>
    <w:rsid w:val="7E97105A"/>
    <w:rsid w:val="7E991353"/>
    <w:rsid w:val="7E9D10C8"/>
    <w:rsid w:val="7E9E4BBC"/>
    <w:rsid w:val="7E9E4F93"/>
    <w:rsid w:val="7EA14ADB"/>
    <w:rsid w:val="7EA1645A"/>
    <w:rsid w:val="7EA31E30"/>
    <w:rsid w:val="7EA80358"/>
    <w:rsid w:val="7EA85A3A"/>
    <w:rsid w:val="7EAB1C31"/>
    <w:rsid w:val="7EAB4C5C"/>
    <w:rsid w:val="7EAD273A"/>
    <w:rsid w:val="7EB01012"/>
    <w:rsid w:val="7EB51F05"/>
    <w:rsid w:val="7EB65095"/>
    <w:rsid w:val="7EB73ECF"/>
    <w:rsid w:val="7EBC033C"/>
    <w:rsid w:val="7EBD596F"/>
    <w:rsid w:val="7EBD792C"/>
    <w:rsid w:val="7EBE525E"/>
    <w:rsid w:val="7EC025A2"/>
    <w:rsid w:val="7EC24A11"/>
    <w:rsid w:val="7EC320D5"/>
    <w:rsid w:val="7EC32874"/>
    <w:rsid w:val="7EC44D57"/>
    <w:rsid w:val="7EC46813"/>
    <w:rsid w:val="7EC81C39"/>
    <w:rsid w:val="7ECB7625"/>
    <w:rsid w:val="7ECE70F8"/>
    <w:rsid w:val="7ED14051"/>
    <w:rsid w:val="7ED4682F"/>
    <w:rsid w:val="7ED54355"/>
    <w:rsid w:val="7ED625A7"/>
    <w:rsid w:val="7ED93E46"/>
    <w:rsid w:val="7EDA138B"/>
    <w:rsid w:val="7EDA3E80"/>
    <w:rsid w:val="7EDB5098"/>
    <w:rsid w:val="7EDB5991"/>
    <w:rsid w:val="7EDC7492"/>
    <w:rsid w:val="7EDD1333"/>
    <w:rsid w:val="7EE15DD2"/>
    <w:rsid w:val="7EE41038"/>
    <w:rsid w:val="7EE67198"/>
    <w:rsid w:val="7EE9343B"/>
    <w:rsid w:val="7EEC2D89"/>
    <w:rsid w:val="7EEC7CF4"/>
    <w:rsid w:val="7EED169F"/>
    <w:rsid w:val="7EED4EB4"/>
    <w:rsid w:val="7EF33D51"/>
    <w:rsid w:val="7EF36504"/>
    <w:rsid w:val="7EF667A6"/>
    <w:rsid w:val="7EFB1E19"/>
    <w:rsid w:val="7EFC12DD"/>
    <w:rsid w:val="7EFC3481"/>
    <w:rsid w:val="7EFC7B34"/>
    <w:rsid w:val="7F070E99"/>
    <w:rsid w:val="7F08472B"/>
    <w:rsid w:val="7F093142"/>
    <w:rsid w:val="7F093EDF"/>
    <w:rsid w:val="7F0A04A3"/>
    <w:rsid w:val="7F0B4DE0"/>
    <w:rsid w:val="7F0C11C7"/>
    <w:rsid w:val="7F0C7F9A"/>
    <w:rsid w:val="7F0D1D41"/>
    <w:rsid w:val="7F0E096E"/>
    <w:rsid w:val="7F0E28FB"/>
    <w:rsid w:val="7F0F1C50"/>
    <w:rsid w:val="7F141322"/>
    <w:rsid w:val="7F160230"/>
    <w:rsid w:val="7F17116F"/>
    <w:rsid w:val="7F17671C"/>
    <w:rsid w:val="7F180692"/>
    <w:rsid w:val="7F182BC0"/>
    <w:rsid w:val="7F1B26B0"/>
    <w:rsid w:val="7F1B620C"/>
    <w:rsid w:val="7F1E4D20"/>
    <w:rsid w:val="7F203823"/>
    <w:rsid w:val="7F250755"/>
    <w:rsid w:val="7F2552DD"/>
    <w:rsid w:val="7F25664E"/>
    <w:rsid w:val="7F2E1DFB"/>
    <w:rsid w:val="7F2F1CB8"/>
    <w:rsid w:val="7F2F68B7"/>
    <w:rsid w:val="7F315F0E"/>
    <w:rsid w:val="7F344A9E"/>
    <w:rsid w:val="7F361298"/>
    <w:rsid w:val="7F363046"/>
    <w:rsid w:val="7F392227"/>
    <w:rsid w:val="7F3D0C4C"/>
    <w:rsid w:val="7F435763"/>
    <w:rsid w:val="7F4426DD"/>
    <w:rsid w:val="7F4734A5"/>
    <w:rsid w:val="7F490F0E"/>
    <w:rsid w:val="7F4A0F3C"/>
    <w:rsid w:val="7F4A4D43"/>
    <w:rsid w:val="7F4B53B5"/>
    <w:rsid w:val="7F4E65E2"/>
    <w:rsid w:val="7F4F0EF0"/>
    <w:rsid w:val="7F5259A6"/>
    <w:rsid w:val="7F531E4A"/>
    <w:rsid w:val="7F540FF3"/>
    <w:rsid w:val="7F557E01"/>
    <w:rsid w:val="7F587B64"/>
    <w:rsid w:val="7F596D35"/>
    <w:rsid w:val="7F5B485B"/>
    <w:rsid w:val="7F5D6825"/>
    <w:rsid w:val="7F5E52FE"/>
    <w:rsid w:val="7F6154D8"/>
    <w:rsid w:val="7F615A05"/>
    <w:rsid w:val="7F637BB3"/>
    <w:rsid w:val="7F6477A9"/>
    <w:rsid w:val="7F651B7D"/>
    <w:rsid w:val="7F686F78"/>
    <w:rsid w:val="7F6C0F32"/>
    <w:rsid w:val="7F6C58CF"/>
    <w:rsid w:val="7F6F7622"/>
    <w:rsid w:val="7F701C31"/>
    <w:rsid w:val="7F711F88"/>
    <w:rsid w:val="7F730BF4"/>
    <w:rsid w:val="7F731812"/>
    <w:rsid w:val="7F736048"/>
    <w:rsid w:val="7F737DF6"/>
    <w:rsid w:val="7F761695"/>
    <w:rsid w:val="7F7749B7"/>
    <w:rsid w:val="7F78540D"/>
    <w:rsid w:val="7F792F33"/>
    <w:rsid w:val="7F7B4982"/>
    <w:rsid w:val="7F7D3198"/>
    <w:rsid w:val="7F7D5FD9"/>
    <w:rsid w:val="7F7F5346"/>
    <w:rsid w:val="7F7F5C7C"/>
    <w:rsid w:val="7F7F60DF"/>
    <w:rsid w:val="7F815DB2"/>
    <w:rsid w:val="7F820039"/>
    <w:rsid w:val="7F82148E"/>
    <w:rsid w:val="7F82628B"/>
    <w:rsid w:val="7F8446EA"/>
    <w:rsid w:val="7F894221"/>
    <w:rsid w:val="7F92054D"/>
    <w:rsid w:val="7F925FCF"/>
    <w:rsid w:val="7F932247"/>
    <w:rsid w:val="7F975393"/>
    <w:rsid w:val="7F985AAF"/>
    <w:rsid w:val="7F9B559F"/>
    <w:rsid w:val="7F9D30C5"/>
    <w:rsid w:val="7F9E1F45"/>
    <w:rsid w:val="7F9E30E8"/>
    <w:rsid w:val="7F9E68DB"/>
    <w:rsid w:val="7FA111DA"/>
    <w:rsid w:val="7FA51F7A"/>
    <w:rsid w:val="7FA53D28"/>
    <w:rsid w:val="7FA67C48"/>
    <w:rsid w:val="7FB56661"/>
    <w:rsid w:val="7FB83A5B"/>
    <w:rsid w:val="7FB87EFF"/>
    <w:rsid w:val="7FB95C7A"/>
    <w:rsid w:val="7FBC6941"/>
    <w:rsid w:val="7FBD3842"/>
    <w:rsid w:val="7FBD418D"/>
    <w:rsid w:val="7FBF303C"/>
    <w:rsid w:val="7FC20EFF"/>
    <w:rsid w:val="7FC248DA"/>
    <w:rsid w:val="7FC3786E"/>
    <w:rsid w:val="7FC42A1E"/>
    <w:rsid w:val="7FC430F4"/>
    <w:rsid w:val="7FC44AF6"/>
    <w:rsid w:val="7FC618A1"/>
    <w:rsid w:val="7FCD58D4"/>
    <w:rsid w:val="7FCF6540"/>
    <w:rsid w:val="7FD10FC1"/>
    <w:rsid w:val="7FD56CD7"/>
    <w:rsid w:val="7FD7782E"/>
    <w:rsid w:val="7FD8362E"/>
    <w:rsid w:val="7FD93A00"/>
    <w:rsid w:val="7FD97887"/>
    <w:rsid w:val="7FDA182B"/>
    <w:rsid w:val="7FDC1E3F"/>
    <w:rsid w:val="7FDC64DC"/>
    <w:rsid w:val="7FDF2220"/>
    <w:rsid w:val="7FE02FB2"/>
    <w:rsid w:val="7FE14991"/>
    <w:rsid w:val="7FE20888"/>
    <w:rsid w:val="7FE44199"/>
    <w:rsid w:val="7FE92C57"/>
    <w:rsid w:val="7FE968B1"/>
    <w:rsid w:val="7FEB5783"/>
    <w:rsid w:val="7FEE2677"/>
    <w:rsid w:val="7FF13411"/>
    <w:rsid w:val="7FF431DD"/>
    <w:rsid w:val="7FF439E7"/>
    <w:rsid w:val="7FF46003"/>
    <w:rsid w:val="7FF817B4"/>
    <w:rsid w:val="7FFB7E34"/>
    <w:rsid w:val="7FFF53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60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2"/>
    <w:qFormat/>
    <w:uiPriority w:val="0"/>
    <w:pPr>
      <w:keepNext/>
      <w:keepLines/>
      <w:adjustRightInd w:val="0"/>
      <w:snapToGrid w:val="0"/>
      <w:spacing w:line="360" w:lineRule="auto"/>
      <w:ind w:firstLine="0" w:firstLineChars="0"/>
      <w:jc w:val="center"/>
      <w:outlineLvl w:val="0"/>
    </w:pPr>
    <w:rPr>
      <w:rFonts w:ascii="Times New Roman" w:hAnsi="Times New Roman" w:eastAsia="黑体"/>
      <w:bCs/>
      <w:kern w:val="44"/>
      <w:sz w:val="32"/>
      <w:szCs w:val="44"/>
    </w:rPr>
  </w:style>
  <w:style w:type="paragraph" w:styleId="3">
    <w:name w:val="heading 2"/>
    <w:basedOn w:val="1"/>
    <w:next w:val="1"/>
    <w:link w:val="23"/>
    <w:qFormat/>
    <w:uiPriority w:val="0"/>
    <w:pPr>
      <w:widowControl/>
      <w:ind w:firstLine="0" w:firstLineChars="0"/>
      <w:outlineLvl w:val="1"/>
    </w:pPr>
    <w:rPr>
      <w:rFonts w:ascii="Times New Roman" w:hAnsi="Times New Roman" w:eastAsia="黑体"/>
      <w:bCs/>
      <w:kern w:val="0"/>
      <w:sz w:val="30"/>
      <w:szCs w:val="30"/>
    </w:rPr>
  </w:style>
  <w:style w:type="paragraph" w:styleId="4">
    <w:name w:val="heading 3"/>
    <w:basedOn w:val="1"/>
    <w:next w:val="1"/>
    <w:link w:val="24"/>
    <w:qFormat/>
    <w:uiPriority w:val="0"/>
    <w:pPr>
      <w:adjustRightInd w:val="0"/>
      <w:snapToGrid w:val="0"/>
      <w:ind w:firstLine="422" w:firstLineChars="150"/>
      <w:outlineLvl w:val="2"/>
    </w:pPr>
    <w:rPr>
      <w:rFonts w:ascii="Times New Roman" w:hAnsi="Times New Roman" w:eastAsia="黑体"/>
      <w:bCs/>
      <w:sz w:val="30"/>
      <w:szCs w:val="28"/>
    </w:rPr>
  </w:style>
  <w:style w:type="paragraph" w:styleId="5">
    <w:name w:val="heading 4"/>
    <w:basedOn w:val="1"/>
    <w:next w:val="1"/>
    <w:qFormat/>
    <w:uiPriority w:val="0"/>
    <w:pPr>
      <w:keepNext/>
      <w:keepLines/>
      <w:spacing w:line="360" w:lineRule="auto"/>
      <w:ind w:firstLine="200"/>
      <w:outlineLvl w:val="3"/>
    </w:pPr>
    <w:rPr>
      <w:rFonts w:ascii="Times New Roman" w:hAnsi="Times New Roman" w:eastAsia="黑体"/>
      <w:bCs/>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8">
    <w:name w:val="Default Paragraph Font"/>
    <w:unhideWhenUsed/>
    <w:qFormat/>
    <w:uiPriority w:val="1"/>
  </w:style>
  <w:style w:type="table" w:default="1" w:styleId="16">
    <w:name w:val="Normal Table"/>
    <w:unhideWhenUsed/>
    <w:qFormat/>
    <w:uiPriority w:val="99"/>
    <w:tblPr>
      <w:tblStyle w:val="16"/>
      <w:tblCellMar>
        <w:top w:w="0" w:type="dxa"/>
        <w:left w:w="108" w:type="dxa"/>
        <w:bottom w:w="0" w:type="dxa"/>
        <w:right w:w="108" w:type="dxa"/>
      </w:tblCellMar>
    </w:tblPr>
  </w:style>
  <w:style w:type="paragraph" w:styleId="8">
    <w:name w:val="caption"/>
    <w:basedOn w:val="1"/>
    <w:next w:val="1"/>
    <w:link w:val="25"/>
    <w:unhideWhenUsed/>
    <w:qFormat/>
    <w:uiPriority w:val="0"/>
    <w:pPr>
      <w:adjustRightInd w:val="0"/>
      <w:snapToGrid w:val="0"/>
      <w:spacing w:before="50" w:beforeLines="50" w:after="50" w:afterLines="50" w:line="240" w:lineRule="auto"/>
      <w:ind w:firstLine="0" w:firstLineChars="0"/>
      <w:jc w:val="center"/>
    </w:pPr>
    <w:rPr>
      <w:rFonts w:ascii="Times New Roman" w:hAnsi="Times New Roman" w:eastAsia="黑体"/>
      <w:sz w:val="24"/>
    </w:rPr>
  </w:style>
  <w:style w:type="paragraph" w:styleId="9">
    <w:name w:val="toc 3"/>
    <w:basedOn w:val="1"/>
    <w:next w:val="1"/>
    <w:qFormat/>
    <w:uiPriority w:val="0"/>
    <w:pPr>
      <w:tabs>
        <w:tab w:val="right" w:leader="dot" w:pos="9344"/>
      </w:tabs>
      <w:ind w:left="540" w:leftChars="257"/>
    </w:pPr>
  </w:style>
  <w:style w:type="paragraph" w:styleId="10">
    <w:name w:val="footer"/>
    <w:basedOn w:val="1"/>
    <w:link w:val="26"/>
    <w:qFormat/>
    <w:uiPriority w:val="0"/>
    <w:pPr>
      <w:tabs>
        <w:tab w:val="center" w:pos="4153"/>
        <w:tab w:val="right" w:pos="8306"/>
      </w:tabs>
      <w:snapToGrid w:val="0"/>
      <w:spacing w:line="240" w:lineRule="auto"/>
      <w:ind w:firstLine="0" w:firstLineChars="0"/>
      <w:jc w:val="center"/>
    </w:pPr>
    <w:rPr>
      <w:rFonts w:ascii="Times New Roman" w:hAnsi="Times New Roman" w:eastAsia="宋体"/>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spacing w:line="240" w:lineRule="auto"/>
      <w:jc w:val="center"/>
    </w:pPr>
    <w:rPr>
      <w:rFonts w:ascii="Times New Roman" w:hAnsi="Times New Roman" w:eastAsia="宋体"/>
      <w:sz w:val="21"/>
      <w:szCs w:val="18"/>
    </w:rPr>
  </w:style>
  <w:style w:type="paragraph" w:styleId="12">
    <w:name w:val="toc 1"/>
    <w:basedOn w:val="1"/>
    <w:next w:val="1"/>
    <w:qFormat/>
    <w:uiPriority w:val="0"/>
    <w:pPr>
      <w:ind w:firstLine="0" w:firstLineChars="0"/>
    </w:pPr>
    <w:rPr>
      <w:rFonts w:ascii="Times New Roman" w:hAnsi="Times New Roman" w:eastAsia="宋体"/>
    </w:rPr>
  </w:style>
  <w:style w:type="paragraph" w:styleId="13">
    <w:name w:val="toc 6"/>
    <w:basedOn w:val="1"/>
    <w:next w:val="1"/>
    <w:semiHidden/>
    <w:qFormat/>
    <w:uiPriority w:val="0"/>
    <w:pPr>
      <w:ind w:left="1050"/>
      <w:jc w:val="left"/>
    </w:pPr>
    <w:rPr>
      <w:sz w:val="18"/>
      <w:szCs w:val="18"/>
    </w:rPr>
  </w:style>
  <w:style w:type="paragraph" w:styleId="14">
    <w:name w:val="toc 2"/>
    <w:basedOn w:val="1"/>
    <w:next w:val="1"/>
    <w:qFormat/>
    <w:uiPriority w:val="0"/>
    <w:pPr>
      <w:ind w:left="0" w:leftChars="0"/>
    </w:pPr>
    <w:rPr>
      <w:rFonts w:ascii="Times New Roman" w:hAnsi="Times New Roman" w:eastAsia="宋体"/>
    </w:rPr>
  </w:style>
  <w:style w:type="paragraph" w:styleId="15">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17">
    <w:name w:val="Table Grid"/>
    <w:basedOn w:val="16"/>
    <w:qFormat/>
    <w:uiPriority w:val="0"/>
    <w:pPr>
      <w:widowControl w:val="0"/>
      <w:jc w:val="both"/>
    </w:p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page number"/>
    <w:basedOn w:val="18"/>
    <w:qFormat/>
    <w:uiPriority w:val="0"/>
    <w:rPr>
      <w:rFonts w:cs="Times New Roman"/>
    </w:rPr>
  </w:style>
  <w:style w:type="character" w:styleId="21">
    <w:name w:val="Hyperlink"/>
    <w:basedOn w:val="18"/>
    <w:qFormat/>
    <w:uiPriority w:val="0"/>
    <w:rPr>
      <w:rFonts w:cs="Times New Roman"/>
      <w:color w:val="0000FF"/>
      <w:u w:val="single"/>
    </w:rPr>
  </w:style>
  <w:style w:type="character" w:customStyle="1" w:styleId="22">
    <w:name w:val="标题 1 Char"/>
    <w:link w:val="2"/>
    <w:qFormat/>
    <w:uiPriority w:val="0"/>
    <w:rPr>
      <w:rFonts w:ascii="Times New Roman" w:hAnsi="Times New Roman" w:eastAsia="黑体"/>
      <w:bCs/>
      <w:kern w:val="44"/>
      <w:sz w:val="32"/>
      <w:szCs w:val="44"/>
    </w:rPr>
  </w:style>
  <w:style w:type="character" w:customStyle="1" w:styleId="23">
    <w:name w:val="标题 2 Char1"/>
    <w:link w:val="3"/>
    <w:qFormat/>
    <w:uiPriority w:val="0"/>
    <w:rPr>
      <w:rFonts w:ascii="Times New Roman" w:hAnsi="Times New Roman" w:eastAsia="黑体" w:cs="Times New Roman"/>
      <w:bCs/>
      <w:color w:val="auto"/>
      <w:kern w:val="0"/>
      <w:sz w:val="30"/>
      <w:szCs w:val="30"/>
      <w:highlight w:val="none"/>
      <w:lang w:val="en-US" w:eastAsia="zh-CN" w:bidi="ar-SA"/>
    </w:rPr>
  </w:style>
  <w:style w:type="character" w:customStyle="1" w:styleId="24">
    <w:name w:val="标题 3 Char"/>
    <w:link w:val="4"/>
    <w:qFormat/>
    <w:uiPriority w:val="0"/>
    <w:rPr>
      <w:rFonts w:ascii="Times New Roman" w:hAnsi="Times New Roman" w:eastAsia="黑体"/>
      <w:bCs/>
      <w:sz w:val="30"/>
      <w:szCs w:val="28"/>
    </w:rPr>
  </w:style>
  <w:style w:type="character" w:customStyle="1" w:styleId="25">
    <w:name w:val="题注 Char"/>
    <w:link w:val="8"/>
    <w:qFormat/>
    <w:uiPriority w:val="0"/>
    <w:rPr>
      <w:rFonts w:ascii="Times New Roman" w:hAnsi="Times New Roman" w:eastAsia="黑体"/>
      <w:sz w:val="24"/>
    </w:rPr>
  </w:style>
  <w:style w:type="character" w:customStyle="1" w:styleId="26">
    <w:name w:val="页脚 Char"/>
    <w:link w:val="10"/>
    <w:qFormat/>
    <w:uiPriority w:val="0"/>
    <w:rPr>
      <w:rFonts w:ascii="Times New Roman" w:hAnsi="Times New Roman" w:eastAsia="宋体" w:cs="Times New Roman"/>
      <w:sz w:val="18"/>
      <w:szCs w:val="18"/>
      <w:lang w:bidi="ar-SA"/>
    </w:rPr>
  </w:style>
  <w:style w:type="paragraph" w:customStyle="1" w:styleId="27">
    <w:name w:val="表"/>
    <w:basedOn w:val="1"/>
    <w:qFormat/>
    <w:uiPriority w:val="0"/>
    <w:pPr>
      <w:widowControl/>
      <w:spacing w:line="240" w:lineRule="auto"/>
      <w:ind w:firstLine="0" w:firstLineChars="0"/>
      <w:jc w:val="center"/>
    </w:pPr>
    <w:rPr>
      <w:rFonts w:ascii="Times New Roman" w:hAnsi="Times New Roman" w:eastAsia="宋体"/>
      <w:kern w:val="0"/>
      <w:sz w:val="24"/>
      <w:szCs w:val="28"/>
    </w:rPr>
  </w:style>
  <w:style w:type="table" w:customStyle="1" w:styleId="28">
    <w:name w:val="表格样式1"/>
    <w:qFormat/>
    <w:uiPriority w:val="0"/>
    <w:pPr>
      <w:spacing w:line="360" w:lineRule="auto"/>
      <w:ind w:firstLine="200" w:firstLineChars="200"/>
      <w:jc w:val="center"/>
    </w:pPr>
    <w:rPr>
      <w:sz w:val="28"/>
    </w:r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9">
    <w:name w:val="Table Normal"/>
    <w:unhideWhenUsed/>
    <w:qFormat/>
    <w:uiPriority w:val="0"/>
    <w:tblPr>
      <w:tblStyle w:val="16"/>
      <w:tblCellMar>
        <w:top w:w="0" w:type="dxa"/>
        <w:left w:w="0" w:type="dxa"/>
        <w:bottom w:w="0" w:type="dxa"/>
        <w:right w:w="0" w:type="dxa"/>
      </w:tblCellMar>
    </w:tblPr>
  </w:style>
  <w:style w:type="character" w:customStyle="1" w:styleId="30">
    <w:name w:val="font11"/>
    <w:basedOn w:val="18"/>
    <w:qFormat/>
    <w:uiPriority w:val="0"/>
    <w:rPr>
      <w:rFonts w:hint="eastAsia" w:ascii="宋体" w:hAnsi="宋体" w:eastAsia="宋体" w:cs="宋体"/>
      <w:b/>
      <w:bCs/>
      <w:color w:val="000000"/>
      <w:sz w:val="24"/>
      <w:szCs w:val="24"/>
      <w:u w:val="none"/>
    </w:rPr>
  </w:style>
  <w:style w:type="character" w:customStyle="1" w:styleId="31">
    <w:name w:val="font61"/>
    <w:basedOn w:val="18"/>
    <w:qFormat/>
    <w:uiPriority w:val="0"/>
    <w:rPr>
      <w:rFonts w:hint="default" w:ascii="Times New Roman" w:hAnsi="Times New Roman" w:cs="Times New Roman"/>
      <w:b/>
      <w:bCs/>
      <w:color w:val="000000"/>
      <w:sz w:val="24"/>
      <w:szCs w:val="24"/>
      <w:u w:val="none"/>
    </w:rPr>
  </w:style>
  <w:style w:type="character" w:customStyle="1" w:styleId="32">
    <w:name w:val="font71"/>
    <w:basedOn w:val="18"/>
    <w:qFormat/>
    <w:uiPriority w:val="0"/>
    <w:rPr>
      <w:rFonts w:hint="default" w:ascii="Times New Roman" w:hAnsi="Times New Roman" w:cs="Times New Roman"/>
      <w:b/>
      <w:bCs/>
      <w:color w:val="000000"/>
      <w:sz w:val="24"/>
      <w:szCs w:val="24"/>
      <w:u w:val="none"/>
      <w:vertAlign w:val="superscript"/>
    </w:rPr>
  </w:style>
  <w:style w:type="character" w:customStyle="1" w:styleId="33">
    <w:name w:val="font31"/>
    <w:basedOn w:val="18"/>
    <w:qFormat/>
    <w:uiPriority w:val="0"/>
    <w:rPr>
      <w:rFonts w:hint="eastAsia" w:ascii="宋体" w:hAnsi="宋体" w:eastAsia="宋体" w:cs="宋体"/>
      <w:color w:val="000000"/>
      <w:sz w:val="28"/>
      <w:szCs w:val="28"/>
      <w:u w:val="none"/>
      <w:vertAlign w:val="superscript"/>
    </w:rPr>
  </w:style>
  <w:style w:type="character" w:customStyle="1" w:styleId="34">
    <w:name w:val="font41"/>
    <w:basedOn w:val="18"/>
    <w:qFormat/>
    <w:uiPriority w:val="0"/>
    <w:rPr>
      <w:rFonts w:hint="default" w:ascii="Times New Roman" w:hAnsi="Times New Roman" w:cs="Times New Roman"/>
      <w:color w:val="000000"/>
      <w:sz w:val="24"/>
      <w:szCs w:val="24"/>
      <w:u w:val="none"/>
      <w:vertAlign w:val="superscript"/>
    </w:rPr>
  </w:style>
  <w:style w:type="character" w:customStyle="1" w:styleId="35">
    <w:name w:val="font21"/>
    <w:basedOn w:val="18"/>
    <w:qFormat/>
    <w:uiPriority w:val="0"/>
    <w:rPr>
      <w:rFonts w:hint="default" w:ascii="Times New Roman" w:hAnsi="Times New Roman" w:cs="Times New Roman"/>
      <w:color w:val="000000"/>
      <w:sz w:val="24"/>
      <w:szCs w:val="24"/>
      <w:u w:val="none"/>
      <w:vertAlign w:val="superscript"/>
    </w:rPr>
  </w:style>
  <w:style w:type="character" w:customStyle="1" w:styleId="36">
    <w:name w:val="font01"/>
    <w:basedOn w:val="18"/>
    <w:qFormat/>
    <w:uiPriority w:val="0"/>
    <w:rPr>
      <w:rFonts w:hint="eastAsia" w:ascii="宋体" w:hAnsi="宋体" w:eastAsia="宋体" w:cs="宋体"/>
      <w:color w:val="000000"/>
      <w:sz w:val="22"/>
      <w:szCs w:val="22"/>
      <w:u w:val="none"/>
    </w:rPr>
  </w:style>
  <w:style w:type="paragraph" w:customStyle="1" w:styleId="37">
    <w:name w:val="正文(首行缩进)"/>
    <w:basedOn w:val="1"/>
    <w:qFormat/>
    <w:uiPriority w:val="0"/>
    <w:pPr>
      <w:snapToGrid w:val="0"/>
      <w:spacing w:line="360" w:lineRule="auto"/>
      <w:ind w:firstLine="200" w:firstLineChars="200"/>
    </w:pPr>
    <w:rPr>
      <w:rFonts w:ascii="仿宋_GB2312" w:hAnsi="宋体" w:cs="宋体"/>
      <w:bCs/>
      <w:sz w:val="24"/>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16.jpeg"/><Relationship Id="rId34" Type="http://schemas.openxmlformats.org/officeDocument/2006/relationships/image" Target="media/image15.png"/><Relationship Id="rId33" Type="http://schemas.openxmlformats.org/officeDocument/2006/relationships/image" Target="media/image14.jpe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jpeg"/><Relationship Id="rId27" Type="http://schemas.openxmlformats.org/officeDocument/2006/relationships/image" Target="media/image8.jpeg"/><Relationship Id="rId26" Type="http://schemas.openxmlformats.org/officeDocument/2006/relationships/image" Target="media/image7.png"/><Relationship Id="rId25" Type="http://schemas.openxmlformats.org/officeDocument/2006/relationships/image" Target="media/image6.jpe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31"/>
    <customShpInfo spid="_x0000_s1030"/>
    <customShpInfo spid="_x0000_s1029"/>
    <customShpInfo spid="_x0000_s1027"/>
    <customShpInfo spid="_x0000_s2070"/>
    <customShpInfo spid="_x0000_s2066"/>
    <customShpInfo spid="_x0000_s2071"/>
    <customShpInfo spid="_x0000_s2072"/>
    <customShpInfo spid="_x0000_s2075"/>
    <customShpInfo spid="_x0000_s2076"/>
    <customShpInfo spid="_x0000_s2079"/>
    <customShpInfo spid="_x0000_s208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50"/>
    <customShpInfo spid="_x0000_s208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86</Pages>
  <Words>5464</Words>
  <Characters>6417</Characters>
  <Lines>517</Lines>
  <Paragraphs>145</Paragraphs>
  <TotalTime>0</TotalTime>
  <ScaleCrop>false</ScaleCrop>
  <LinksUpToDate>false</LinksUpToDate>
  <CharactersWithSpaces>6543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2017-02-19T06:30:00Z</dcterms:created>
  <dc:creator>微软用户</dc:creator>
  <cp:lastModifiedBy>铭记_永远</cp:lastModifiedBy>
  <cp:lastPrinted>2025-11-02T06:58:00Z</cp:lastPrinted>
  <dcterms:modified xsi:type="dcterms:W3CDTF">2026-10-07T05:02:04Z</dcterms:modified>
  <dc:title>1  前言</dc:title>
  <cp:revision>246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8E6B92844DE347BDBD3A9649CF0EB937</vt:lpwstr>
  </property>
  <property fmtid="{D5CDD505-2E9C-101B-9397-08002B2CF9AE}" pid="4" name="KSOTemplateDocerSaveRecord">
    <vt:lpwstr>eyJoZGlkIjoiOGI0NGQ1NGEzNTdiYmI0MTVlN2U2NmJhOTBmZDRhNmEiLCJ1c2VySWQiOiI1Njg4Njg2NTYifQ==</vt:lpwstr>
  </property>
</Properties>
</file>