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29C54">
      <w:pPr>
        <w:rPr>
          <w:rFonts w:hint="eastAsia" w:eastAsia="宋体"/>
          <w:color w:val="auto"/>
          <w:sz w:val="36"/>
          <w:szCs w:val="36"/>
          <w:lang w:eastAsia="zh-CN"/>
        </w:rPr>
      </w:pPr>
      <w:r>
        <w:rPr>
          <w:rFonts w:hint="eastAsia" w:eastAsia="宋体"/>
          <w:color w:val="auto"/>
          <w:sz w:val="36"/>
          <w:szCs w:val="36"/>
          <w:lang w:eastAsia="zh-CN"/>
        </w:rPr>
        <w:drawing>
          <wp:inline distT="0" distB="0" distL="114300" distR="114300">
            <wp:extent cx="5598160" cy="7917180"/>
            <wp:effectExtent l="0" t="0" r="2540" b="7620"/>
            <wp:docPr id="29" name="图片 29" descr="封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封皮"/>
                    <pic:cNvPicPr>
                      <a:picLocks noChangeAspect="1"/>
                    </pic:cNvPicPr>
                  </pic:nvPicPr>
                  <pic:blipFill>
                    <a:blip r:embed="rId11"/>
                    <a:stretch>
                      <a:fillRect/>
                    </a:stretch>
                  </pic:blipFill>
                  <pic:spPr>
                    <a:xfrm>
                      <a:off x="0" y="0"/>
                      <a:ext cx="5598160" cy="7917180"/>
                    </a:xfrm>
                    <a:prstGeom prst="rect">
                      <a:avLst/>
                    </a:prstGeom>
                  </pic:spPr>
                </pic:pic>
              </a:graphicData>
            </a:graphic>
          </wp:inline>
        </w:drawing>
      </w:r>
    </w:p>
    <w:p w14:paraId="29FF2060">
      <w:pPr>
        <w:rPr>
          <w:color w:val="auto"/>
          <w:sz w:val="36"/>
          <w:szCs w:val="36"/>
        </w:rPr>
      </w:pPr>
    </w:p>
    <w:p w14:paraId="21DE8C2E">
      <w:pPr>
        <w:spacing w:line="360" w:lineRule="auto"/>
        <w:jc w:val="left"/>
        <w:rPr>
          <w:color w:val="auto"/>
        </w:rPr>
        <w:sectPr>
          <w:footerReference r:id="rId3" w:type="default"/>
          <w:pgSz w:w="11906" w:h="16838"/>
          <w:pgMar w:top="1701" w:right="1531" w:bottom="1701" w:left="1531" w:header="851" w:footer="1077" w:gutter="0"/>
          <w:pgNumType w:start="1"/>
          <w:cols w:space="720" w:num="1"/>
          <w:docGrid w:linePitch="312" w:charSpace="0"/>
        </w:sectPr>
      </w:pPr>
    </w:p>
    <w:p w14:paraId="4802CDFC">
      <w:pPr>
        <w:spacing w:line="360" w:lineRule="auto"/>
        <w:jc w:val="left"/>
        <w:rPr>
          <w:rFonts w:hint="eastAsia" w:eastAsia="宋体"/>
          <w:color w:val="auto"/>
          <w:lang w:eastAsia="zh-CN"/>
        </w:rPr>
      </w:pPr>
      <w:r>
        <w:rPr>
          <w:rFonts w:hint="eastAsia" w:eastAsia="宋体"/>
          <w:color w:val="auto"/>
          <w:lang w:eastAsia="zh-CN"/>
        </w:rPr>
        <w:drawing>
          <wp:inline distT="0" distB="0" distL="114300" distR="114300">
            <wp:extent cx="5598160" cy="7917180"/>
            <wp:effectExtent l="0" t="0" r="2540" b="7620"/>
            <wp:docPr id="30" name="图片 30" descr="编制人员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编制人员表"/>
                    <pic:cNvPicPr>
                      <a:picLocks noChangeAspect="1"/>
                    </pic:cNvPicPr>
                  </pic:nvPicPr>
                  <pic:blipFill>
                    <a:blip r:embed="rId12"/>
                    <a:stretch>
                      <a:fillRect/>
                    </a:stretch>
                  </pic:blipFill>
                  <pic:spPr>
                    <a:xfrm>
                      <a:off x="0" y="0"/>
                      <a:ext cx="5598160" cy="7917180"/>
                    </a:xfrm>
                    <a:prstGeom prst="rect">
                      <a:avLst/>
                    </a:prstGeom>
                  </pic:spPr>
                </pic:pic>
              </a:graphicData>
            </a:graphic>
          </wp:inline>
        </w:drawing>
      </w:r>
    </w:p>
    <w:p w14:paraId="205D20C6">
      <w:pPr>
        <w:pageBreakBefore/>
        <w:jc w:val="center"/>
        <w:rPr>
          <w:color w:val="auto"/>
          <w:sz w:val="32"/>
          <w:szCs w:val="40"/>
        </w:rPr>
        <w:sectPr>
          <w:pgSz w:w="11906" w:h="16838"/>
          <w:pgMar w:top="1701" w:right="1531" w:bottom="1701" w:left="1531" w:header="851" w:footer="1077" w:gutter="0"/>
          <w:pgNumType w:start="1"/>
          <w:cols w:space="720" w:num="1"/>
          <w:docGrid w:linePitch="312" w:charSpace="0"/>
        </w:sectPr>
      </w:pPr>
    </w:p>
    <w:sdt>
      <w:sdtPr>
        <w:rPr>
          <w:color w:val="auto"/>
          <w:sz w:val="32"/>
          <w:szCs w:val="40"/>
        </w:rPr>
        <w:id w:val="147461361"/>
        <w:docPartObj>
          <w:docPartGallery w:val="Table of Contents"/>
          <w:docPartUnique/>
        </w:docPartObj>
      </w:sdtPr>
      <w:sdtEndPr>
        <w:rPr>
          <w:color w:val="auto"/>
          <w:sz w:val="21"/>
          <w:szCs w:val="24"/>
        </w:rPr>
      </w:sdtEndPr>
      <w:sdtContent>
        <w:p w14:paraId="39E2B422">
          <w:pPr>
            <w:pageBreakBefore/>
            <w:jc w:val="center"/>
            <w:rPr>
              <w:color w:val="auto"/>
              <w:sz w:val="32"/>
              <w:szCs w:val="40"/>
            </w:rPr>
          </w:pPr>
          <w:r>
            <w:rPr>
              <w:color w:val="auto"/>
              <w:sz w:val="32"/>
              <w:szCs w:val="40"/>
            </w:rPr>
            <w:t>目录</w:t>
          </w:r>
        </w:p>
        <w:p w14:paraId="60CD54E2">
          <w:pPr>
            <w:pStyle w:val="25"/>
            <w:tabs>
              <w:tab w:val="right" w:leader="dot" w:pos="8844"/>
              <w:tab w:val="clear" w:pos="9060"/>
            </w:tabs>
            <w:spacing w:line="360" w:lineRule="auto"/>
            <w:rPr>
              <w:rFonts w:ascii="Times New Roman" w:hAnsi="Times New Roman" w:cs="Times New Roman"/>
              <w:color w:val="auto"/>
            </w:rPr>
          </w:pPr>
          <w:r>
            <w:rPr>
              <w:rFonts w:ascii="Times New Roman" w:hAnsi="Times New Roman" w:cs="Times New Roman"/>
              <w:color w:val="auto"/>
            </w:rPr>
            <w:fldChar w:fldCharType="begin"/>
          </w:r>
          <w:r>
            <w:rPr>
              <w:rFonts w:ascii="Times New Roman" w:hAnsi="Times New Roman" w:cs="Times New Roman"/>
              <w:color w:val="auto"/>
            </w:rPr>
            <w:instrText xml:space="preserve">TOC \o "1-1" \h \u </w:instrText>
          </w:r>
          <w:r>
            <w:rPr>
              <w:rFonts w:ascii="Times New Roman" w:hAnsi="Times New Roman" w:cs="Times New Roman"/>
              <w:color w:val="auto"/>
            </w:rPr>
            <w:fldChar w:fldCharType="separate"/>
          </w:r>
          <w:r>
            <w:rPr>
              <w:color w:val="auto"/>
            </w:rPr>
            <w:fldChar w:fldCharType="begin"/>
          </w:r>
          <w:r>
            <w:rPr>
              <w:color w:val="auto"/>
            </w:rPr>
            <w:instrText xml:space="preserve"> HYPERLINK \l "_Toc1143" </w:instrText>
          </w:r>
          <w:r>
            <w:rPr>
              <w:color w:val="auto"/>
            </w:rPr>
            <w:fldChar w:fldCharType="separate"/>
          </w:r>
          <w:r>
            <w:rPr>
              <w:rFonts w:ascii="Times New Roman" w:hAnsi="Times New Roman" w:cs="Times New Roman"/>
              <w:snapToGrid w:val="0"/>
              <w:color w:val="auto"/>
              <w:szCs w:val="30"/>
            </w:rPr>
            <w:t>一、建设项目基本情况</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_Toc1143 \h </w:instrText>
          </w:r>
          <w:r>
            <w:rPr>
              <w:rFonts w:ascii="Times New Roman" w:hAnsi="Times New Roman" w:cs="Times New Roman"/>
              <w:color w:val="auto"/>
            </w:rPr>
            <w:fldChar w:fldCharType="separate"/>
          </w:r>
          <w:r>
            <w:rPr>
              <w:rFonts w:ascii="Times New Roman" w:hAnsi="Times New Roman" w:cs="Times New Roman"/>
              <w:color w:val="auto"/>
            </w:rPr>
            <w:t>1</w:t>
          </w:r>
          <w:r>
            <w:rPr>
              <w:rFonts w:ascii="Times New Roman" w:hAnsi="Times New Roman" w:cs="Times New Roman"/>
              <w:color w:val="auto"/>
            </w:rPr>
            <w:fldChar w:fldCharType="end"/>
          </w:r>
          <w:r>
            <w:rPr>
              <w:rFonts w:ascii="Times New Roman" w:hAnsi="Times New Roman" w:cs="Times New Roman"/>
              <w:color w:val="auto"/>
            </w:rPr>
            <w:fldChar w:fldCharType="end"/>
          </w:r>
        </w:p>
        <w:p w14:paraId="0C403E1E">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"_Toc7477" </w:instrText>
          </w:r>
          <w:r>
            <w:rPr>
              <w:color w:val="auto"/>
            </w:rPr>
            <w:fldChar w:fldCharType="separate"/>
          </w:r>
          <w:r>
            <w:rPr>
              <w:rFonts w:ascii="Times New Roman" w:hAnsi="Times New Roman" w:cs="Times New Roman"/>
              <w:snapToGrid w:val="0"/>
              <w:color w:val="auto"/>
              <w:szCs w:val="30"/>
            </w:rPr>
            <w:t>二、建设项目工程分析</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_Toc7477 \h </w:instrText>
          </w:r>
          <w:r>
            <w:rPr>
              <w:rFonts w:ascii="Times New Roman" w:hAnsi="Times New Roman" w:cs="Times New Roman"/>
              <w:color w:val="auto"/>
            </w:rPr>
            <w:fldChar w:fldCharType="separate"/>
          </w:r>
          <w:r>
            <w:rPr>
              <w:rFonts w:ascii="Times New Roman" w:hAnsi="Times New Roman" w:cs="Times New Roman"/>
              <w:color w:val="auto"/>
            </w:rPr>
            <w:t>13</w:t>
          </w:r>
          <w:r>
            <w:rPr>
              <w:rFonts w:ascii="Times New Roman" w:hAnsi="Times New Roman" w:cs="Times New Roman"/>
              <w:color w:val="auto"/>
            </w:rPr>
            <w:fldChar w:fldCharType="end"/>
          </w:r>
          <w:r>
            <w:rPr>
              <w:rFonts w:ascii="Times New Roman" w:hAnsi="Times New Roman" w:cs="Times New Roman"/>
              <w:color w:val="auto"/>
            </w:rPr>
            <w:fldChar w:fldCharType="end"/>
          </w:r>
        </w:p>
        <w:p w14:paraId="4791D057">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"_Toc4060" </w:instrText>
          </w:r>
          <w:r>
            <w:rPr>
              <w:color w:val="auto"/>
            </w:rPr>
            <w:fldChar w:fldCharType="separate"/>
          </w:r>
          <w:r>
            <w:rPr>
              <w:rFonts w:ascii="Times New Roman" w:hAnsi="Times New Roman" w:cs="Times New Roman"/>
              <w:snapToGrid w:val="0"/>
              <w:color w:val="auto"/>
              <w:szCs w:val="30"/>
            </w:rPr>
            <w:t>三、区域环境质量现状、环境保护目标及评价标准</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_Toc4060 \h </w:instrText>
          </w:r>
          <w:r>
            <w:rPr>
              <w:rFonts w:ascii="Times New Roman" w:hAnsi="Times New Roman" w:cs="Times New Roman"/>
              <w:color w:val="auto"/>
            </w:rPr>
            <w:fldChar w:fldCharType="separate"/>
          </w:r>
          <w:r>
            <w:rPr>
              <w:rFonts w:ascii="Times New Roman" w:hAnsi="Times New Roman" w:cs="Times New Roman"/>
              <w:color w:val="auto"/>
            </w:rPr>
            <w:t>22</w:t>
          </w:r>
          <w:r>
            <w:rPr>
              <w:rFonts w:ascii="Times New Roman" w:hAnsi="Times New Roman" w:cs="Times New Roman"/>
              <w:color w:val="auto"/>
            </w:rPr>
            <w:fldChar w:fldCharType="end"/>
          </w:r>
          <w:r>
            <w:rPr>
              <w:rFonts w:ascii="Times New Roman" w:hAnsi="Times New Roman" w:cs="Times New Roman"/>
              <w:color w:val="auto"/>
            </w:rPr>
            <w:fldChar w:fldCharType="end"/>
          </w:r>
        </w:p>
        <w:p w14:paraId="544021B2">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"_Toc19061" </w:instrText>
          </w:r>
          <w:r>
            <w:rPr>
              <w:color w:val="auto"/>
            </w:rPr>
            <w:fldChar w:fldCharType="separate"/>
          </w:r>
          <w:r>
            <w:rPr>
              <w:rFonts w:ascii="Times New Roman" w:hAnsi="Times New Roman" w:cs="Times New Roman"/>
              <w:snapToGrid w:val="0"/>
              <w:color w:val="auto"/>
              <w:szCs w:val="30"/>
            </w:rPr>
            <w:t>四、主要环境影响和保护措施</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_Toc19061 \h </w:instrText>
          </w:r>
          <w:r>
            <w:rPr>
              <w:rFonts w:ascii="Times New Roman" w:hAnsi="Times New Roman" w:cs="Times New Roman"/>
              <w:color w:val="auto"/>
            </w:rPr>
            <w:fldChar w:fldCharType="separate"/>
          </w:r>
          <w:r>
            <w:rPr>
              <w:rFonts w:ascii="Times New Roman" w:hAnsi="Times New Roman" w:cs="Times New Roman"/>
              <w:color w:val="auto"/>
            </w:rPr>
            <w:t>28</w:t>
          </w:r>
          <w:r>
            <w:rPr>
              <w:rFonts w:ascii="Times New Roman" w:hAnsi="Times New Roman" w:cs="Times New Roman"/>
              <w:color w:val="auto"/>
            </w:rPr>
            <w:fldChar w:fldCharType="end"/>
          </w:r>
          <w:r>
            <w:rPr>
              <w:rFonts w:ascii="Times New Roman" w:hAnsi="Times New Roman" w:cs="Times New Roman"/>
              <w:color w:val="auto"/>
            </w:rPr>
            <w:fldChar w:fldCharType="end"/>
          </w:r>
        </w:p>
        <w:p w14:paraId="6E83EAD1">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"_Toc18287" </w:instrText>
          </w:r>
          <w:r>
            <w:rPr>
              <w:color w:val="auto"/>
            </w:rPr>
            <w:fldChar w:fldCharType="separate"/>
          </w:r>
          <w:r>
            <w:rPr>
              <w:rFonts w:ascii="Times New Roman" w:hAnsi="Times New Roman" w:cs="Times New Roman"/>
              <w:snapToGrid w:val="0"/>
              <w:color w:val="auto"/>
              <w:szCs w:val="30"/>
            </w:rPr>
            <w:t>五、环境保护措施监督检查清单</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_Toc18287 \h </w:instrText>
          </w:r>
          <w:r>
            <w:rPr>
              <w:rFonts w:ascii="Times New Roman" w:hAnsi="Times New Roman" w:cs="Times New Roman"/>
              <w:color w:val="auto"/>
            </w:rPr>
            <w:fldChar w:fldCharType="separate"/>
          </w:r>
          <w:r>
            <w:rPr>
              <w:rFonts w:ascii="Times New Roman" w:hAnsi="Times New Roman" w:cs="Times New Roman"/>
              <w:color w:val="auto"/>
            </w:rPr>
            <w:t>48</w:t>
          </w:r>
          <w:r>
            <w:rPr>
              <w:rFonts w:ascii="Times New Roman" w:hAnsi="Times New Roman" w:cs="Times New Roman"/>
              <w:color w:val="auto"/>
            </w:rPr>
            <w:fldChar w:fldCharType="end"/>
          </w:r>
          <w:r>
            <w:rPr>
              <w:rFonts w:ascii="Times New Roman" w:hAnsi="Times New Roman" w:cs="Times New Roman"/>
              <w:color w:val="auto"/>
            </w:rPr>
            <w:fldChar w:fldCharType="end"/>
          </w:r>
        </w:p>
        <w:p w14:paraId="10DA7AF7">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"_Toc23776" </w:instrText>
          </w:r>
          <w:r>
            <w:rPr>
              <w:color w:val="auto"/>
            </w:rPr>
            <w:fldChar w:fldCharType="separate"/>
          </w:r>
          <w:r>
            <w:rPr>
              <w:rFonts w:ascii="Times New Roman" w:hAnsi="Times New Roman" w:cs="Times New Roman"/>
              <w:snapToGrid w:val="0"/>
              <w:color w:val="auto"/>
              <w:szCs w:val="30"/>
            </w:rPr>
            <w:t>六、结论</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_Toc23776 \h </w:instrText>
          </w:r>
          <w:r>
            <w:rPr>
              <w:rFonts w:ascii="Times New Roman" w:hAnsi="Times New Roman" w:cs="Times New Roman"/>
              <w:color w:val="auto"/>
            </w:rPr>
            <w:fldChar w:fldCharType="separate"/>
          </w:r>
          <w:r>
            <w:rPr>
              <w:rFonts w:ascii="Times New Roman" w:hAnsi="Times New Roman" w:cs="Times New Roman"/>
              <w:color w:val="auto"/>
            </w:rPr>
            <w:t>51</w:t>
          </w:r>
          <w:r>
            <w:rPr>
              <w:rFonts w:ascii="Times New Roman" w:hAnsi="Times New Roman" w:cs="Times New Roman"/>
              <w:color w:val="auto"/>
            </w:rPr>
            <w:fldChar w:fldCharType="end"/>
          </w:r>
          <w:r>
            <w:rPr>
              <w:rFonts w:ascii="Times New Roman" w:hAnsi="Times New Roman" w:cs="Times New Roman"/>
              <w:color w:val="auto"/>
            </w:rPr>
            <w:fldChar w:fldCharType="end"/>
          </w:r>
        </w:p>
        <w:p w14:paraId="01FF2713">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"_Toc32602" </w:instrText>
          </w:r>
          <w:r>
            <w:rPr>
              <w:color w:val="auto"/>
            </w:rPr>
            <w:fldChar w:fldCharType="separate"/>
          </w:r>
          <w:r>
            <w:rPr>
              <w:rFonts w:ascii="Times New Roman" w:hAnsi="Times New Roman" w:cs="Times New Roman"/>
              <w:snapToGrid w:val="0"/>
              <w:color w:val="auto"/>
              <w:szCs w:val="32"/>
            </w:rPr>
            <w:t>附表</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_Toc32602 \h </w:instrText>
          </w:r>
          <w:r>
            <w:rPr>
              <w:rFonts w:ascii="Times New Roman" w:hAnsi="Times New Roman" w:cs="Times New Roman"/>
              <w:color w:val="auto"/>
            </w:rPr>
            <w:fldChar w:fldCharType="separate"/>
          </w:r>
          <w:r>
            <w:rPr>
              <w:rFonts w:ascii="Times New Roman" w:hAnsi="Times New Roman" w:cs="Times New Roman"/>
              <w:color w:val="auto"/>
            </w:rPr>
            <w:t>52</w:t>
          </w:r>
          <w:r>
            <w:rPr>
              <w:rFonts w:ascii="Times New Roman" w:hAnsi="Times New Roman" w:cs="Times New Roman"/>
              <w:color w:val="auto"/>
            </w:rPr>
            <w:fldChar w:fldCharType="end"/>
          </w:r>
          <w:r>
            <w:rPr>
              <w:rFonts w:ascii="Times New Roman" w:hAnsi="Times New Roman" w:cs="Times New Roman"/>
              <w:color w:val="auto"/>
            </w:rPr>
            <w:fldChar w:fldCharType="end"/>
          </w:r>
        </w:p>
        <w:p w14:paraId="28B5DF55">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"_Toc6072" </w:instrText>
          </w:r>
          <w:r>
            <w:rPr>
              <w:color w:val="auto"/>
            </w:rPr>
            <w:fldChar w:fldCharType="separate"/>
          </w:r>
          <w:r>
            <w:rPr>
              <w:rFonts w:ascii="Times New Roman" w:hAnsi="Times New Roman" w:cs="Times New Roman"/>
              <w:snapToGrid w:val="0"/>
              <w:color w:val="auto"/>
              <w:szCs w:val="38"/>
            </w:rPr>
            <w:t>建设项目污染物排放量汇总表</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_Toc6072 \h </w:instrText>
          </w:r>
          <w:r>
            <w:rPr>
              <w:rFonts w:ascii="Times New Roman" w:hAnsi="Times New Roman" w:cs="Times New Roman"/>
              <w:color w:val="auto"/>
            </w:rPr>
            <w:fldChar w:fldCharType="separate"/>
          </w:r>
          <w:r>
            <w:rPr>
              <w:rFonts w:ascii="Times New Roman" w:hAnsi="Times New Roman" w:cs="Times New Roman"/>
              <w:color w:val="auto"/>
            </w:rPr>
            <w:t>52</w:t>
          </w:r>
          <w:r>
            <w:rPr>
              <w:rFonts w:ascii="Times New Roman" w:hAnsi="Times New Roman" w:cs="Times New Roman"/>
              <w:color w:val="auto"/>
            </w:rPr>
            <w:fldChar w:fldCharType="end"/>
          </w:r>
          <w:r>
            <w:rPr>
              <w:rFonts w:ascii="Times New Roman" w:hAnsi="Times New Roman" w:cs="Times New Roman"/>
              <w:color w:val="auto"/>
            </w:rPr>
            <w:fldChar w:fldCharType="end"/>
          </w:r>
        </w:p>
        <w:p w14:paraId="04193676">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"_Toc5806" </w:instrText>
          </w:r>
          <w:r>
            <w:rPr>
              <w:color w:val="auto"/>
            </w:rPr>
            <w:fldChar w:fldCharType="separate"/>
          </w:r>
          <w:r>
            <w:rPr>
              <w:rFonts w:ascii="Times New Roman" w:hAnsi="Times New Roman" w:cs="Times New Roman"/>
              <w:bCs/>
              <w:color w:val="auto"/>
              <w:szCs w:val="21"/>
            </w:rPr>
            <w:t>附件1营业执照</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_Toc5806 \h </w:instrText>
          </w:r>
          <w:r>
            <w:rPr>
              <w:rFonts w:ascii="Times New Roman" w:hAnsi="Times New Roman" w:cs="Times New Roman"/>
              <w:color w:val="auto"/>
            </w:rPr>
            <w:fldChar w:fldCharType="separate"/>
          </w:r>
          <w:r>
            <w:rPr>
              <w:rFonts w:ascii="Times New Roman" w:hAnsi="Times New Roman" w:cs="Times New Roman"/>
              <w:color w:val="auto"/>
            </w:rPr>
            <w:t>53</w:t>
          </w:r>
          <w:r>
            <w:rPr>
              <w:rFonts w:ascii="Times New Roman" w:hAnsi="Times New Roman" w:cs="Times New Roman"/>
              <w:color w:val="auto"/>
            </w:rPr>
            <w:fldChar w:fldCharType="end"/>
          </w:r>
          <w:r>
            <w:rPr>
              <w:rFonts w:ascii="Times New Roman" w:hAnsi="Times New Roman" w:cs="Times New Roman"/>
              <w:color w:val="auto"/>
            </w:rPr>
            <w:fldChar w:fldCharType="end"/>
          </w:r>
        </w:p>
        <w:p w14:paraId="2F98371E">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"_Toc11087" </w:instrText>
          </w:r>
          <w:r>
            <w:rPr>
              <w:color w:val="auto"/>
            </w:rPr>
            <w:fldChar w:fldCharType="separate"/>
          </w:r>
          <w:r>
            <w:rPr>
              <w:rFonts w:ascii="Times New Roman" w:hAnsi="Times New Roman" w:cs="Times New Roman"/>
              <w:bCs/>
              <w:color w:val="auto"/>
              <w:szCs w:val="21"/>
            </w:rPr>
            <w:t>附件2土地性质证明</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_Toc11087 \h </w:instrText>
          </w:r>
          <w:r>
            <w:rPr>
              <w:rFonts w:ascii="Times New Roman" w:hAnsi="Times New Roman" w:cs="Times New Roman"/>
              <w:color w:val="auto"/>
            </w:rPr>
            <w:fldChar w:fldCharType="separate"/>
          </w:r>
          <w:r>
            <w:rPr>
              <w:rFonts w:ascii="Times New Roman" w:hAnsi="Times New Roman" w:cs="Times New Roman"/>
              <w:color w:val="auto"/>
            </w:rPr>
            <w:t>54</w:t>
          </w:r>
          <w:r>
            <w:rPr>
              <w:rFonts w:ascii="Times New Roman" w:hAnsi="Times New Roman" w:cs="Times New Roman"/>
              <w:color w:val="auto"/>
            </w:rPr>
            <w:fldChar w:fldCharType="end"/>
          </w:r>
          <w:r>
            <w:rPr>
              <w:rFonts w:ascii="Times New Roman" w:hAnsi="Times New Roman" w:cs="Times New Roman"/>
              <w:color w:val="auto"/>
            </w:rPr>
            <w:fldChar w:fldCharType="end"/>
          </w:r>
        </w:p>
        <w:p w14:paraId="4AE39DEE">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"_Toc15311" </w:instrText>
          </w:r>
          <w:r>
            <w:rPr>
              <w:color w:val="auto"/>
            </w:rPr>
            <w:fldChar w:fldCharType="separate"/>
          </w:r>
          <w:r>
            <w:rPr>
              <w:rFonts w:ascii="Times New Roman" w:hAnsi="Times New Roman" w:cs="Times New Roman"/>
              <w:color w:val="auto"/>
              <w:szCs w:val="21"/>
            </w:rPr>
            <w:t>附件3现状引用检测报告</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_Toc15311 \h </w:instrText>
          </w:r>
          <w:r>
            <w:rPr>
              <w:rFonts w:ascii="Times New Roman" w:hAnsi="Times New Roman" w:cs="Times New Roman"/>
              <w:color w:val="auto"/>
            </w:rPr>
            <w:fldChar w:fldCharType="separate"/>
          </w:r>
          <w:r>
            <w:rPr>
              <w:rFonts w:ascii="Times New Roman" w:hAnsi="Times New Roman" w:cs="Times New Roman"/>
              <w:color w:val="auto"/>
            </w:rPr>
            <w:t>57</w:t>
          </w:r>
          <w:r>
            <w:rPr>
              <w:rFonts w:ascii="Times New Roman" w:hAnsi="Times New Roman" w:cs="Times New Roman"/>
              <w:color w:val="auto"/>
            </w:rPr>
            <w:fldChar w:fldCharType="end"/>
          </w:r>
          <w:r>
            <w:rPr>
              <w:rFonts w:ascii="Times New Roman" w:hAnsi="Times New Roman" w:cs="Times New Roman"/>
              <w:color w:val="auto"/>
            </w:rPr>
            <w:fldChar w:fldCharType="end"/>
          </w:r>
        </w:p>
        <w:p w14:paraId="27719236">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"_Toc22099" </w:instrText>
          </w:r>
          <w:r>
            <w:rPr>
              <w:color w:val="auto"/>
            </w:rPr>
            <w:fldChar w:fldCharType="separate"/>
          </w:r>
          <w:r>
            <w:rPr>
              <w:rFonts w:ascii="Times New Roman" w:hAnsi="Times New Roman" w:cs="Times New Roman"/>
              <w:color w:val="auto"/>
              <w:szCs w:val="21"/>
            </w:rPr>
            <w:t>附件4燃料检测报告</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_Toc22099 \h </w:instrText>
          </w:r>
          <w:r>
            <w:rPr>
              <w:rFonts w:ascii="Times New Roman" w:hAnsi="Times New Roman" w:cs="Times New Roman"/>
              <w:color w:val="auto"/>
            </w:rPr>
            <w:fldChar w:fldCharType="separate"/>
          </w:r>
          <w:r>
            <w:rPr>
              <w:rFonts w:ascii="Times New Roman" w:hAnsi="Times New Roman" w:cs="Times New Roman"/>
              <w:color w:val="auto"/>
            </w:rPr>
            <w:t>61</w:t>
          </w:r>
          <w:r>
            <w:rPr>
              <w:rFonts w:ascii="Times New Roman" w:hAnsi="Times New Roman" w:cs="Times New Roman"/>
              <w:color w:val="auto"/>
            </w:rPr>
            <w:fldChar w:fldCharType="end"/>
          </w:r>
          <w:r>
            <w:rPr>
              <w:rFonts w:ascii="Times New Roman" w:hAnsi="Times New Roman" w:cs="Times New Roman"/>
              <w:color w:val="auto"/>
            </w:rPr>
            <w:fldChar w:fldCharType="end"/>
          </w:r>
        </w:p>
        <w:p w14:paraId="68371B50">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"_Toc15661" </w:instrText>
          </w:r>
          <w:r>
            <w:rPr>
              <w:color w:val="auto"/>
            </w:rPr>
            <w:fldChar w:fldCharType="separate"/>
          </w:r>
          <w:r>
            <w:rPr>
              <w:rFonts w:ascii="Times New Roman" w:hAnsi="Times New Roman" w:cs="Times New Roman"/>
              <w:color w:val="auto"/>
              <w:szCs w:val="21"/>
            </w:rPr>
            <w:t>附件5总量计算说明</w:t>
          </w:r>
          <w:r>
            <w:rPr>
              <w:rFonts w:ascii="Times New Roman" w:hAnsi="Times New Roman" w:cs="Times New Roman"/>
              <w:color w:val="auto"/>
            </w:rPr>
            <w:tab/>
          </w:r>
          <w:bookmarkStart w:id="49" w:name="_GoBack"/>
          <w:bookmarkEnd w:id="49"/>
          <w:r>
            <w:rPr>
              <w:rFonts w:ascii="Times New Roman" w:hAnsi="Times New Roman" w:cs="Times New Roman"/>
              <w:color w:val="auto"/>
            </w:rPr>
            <w:fldChar w:fldCharType="begin"/>
          </w:r>
          <w:r>
            <w:rPr>
              <w:rFonts w:ascii="Times New Roman" w:hAnsi="Times New Roman" w:cs="Times New Roman"/>
              <w:color w:val="auto"/>
            </w:rPr>
            <w:instrText xml:space="preserve"> PAGEREF _Toc15661 \h </w:instrText>
          </w:r>
          <w:r>
            <w:rPr>
              <w:rFonts w:ascii="Times New Roman" w:hAnsi="Times New Roman" w:cs="Times New Roman"/>
              <w:color w:val="auto"/>
            </w:rPr>
            <w:fldChar w:fldCharType="separate"/>
          </w:r>
          <w:r>
            <w:rPr>
              <w:rFonts w:ascii="Times New Roman" w:hAnsi="Times New Roman" w:cs="Times New Roman"/>
              <w:color w:val="auto"/>
            </w:rPr>
            <w:t>62</w:t>
          </w:r>
          <w:r>
            <w:rPr>
              <w:rFonts w:ascii="Times New Roman" w:hAnsi="Times New Roman" w:cs="Times New Roman"/>
              <w:color w:val="auto"/>
            </w:rPr>
            <w:fldChar w:fldCharType="end"/>
          </w:r>
          <w:r>
            <w:rPr>
              <w:rFonts w:ascii="Times New Roman" w:hAnsi="Times New Roman" w:cs="Times New Roman"/>
              <w:color w:val="auto"/>
            </w:rPr>
            <w:fldChar w:fldCharType="end"/>
          </w:r>
        </w:p>
        <w:p w14:paraId="233ADBAD">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"_Toc22050" </w:instrText>
          </w:r>
          <w:r>
            <w:rPr>
              <w:color w:val="auto"/>
            </w:rPr>
            <w:fldChar w:fldCharType="separate"/>
          </w:r>
          <w:r>
            <w:rPr>
              <w:rFonts w:ascii="Times New Roman" w:hAnsi="Times New Roman" w:cs="Times New Roman"/>
              <w:color w:val="auto"/>
              <w:szCs w:val="21"/>
            </w:rPr>
            <w:t>附件6生态环境分区管控分析报告</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_Toc22050 \h </w:instrText>
          </w:r>
          <w:r>
            <w:rPr>
              <w:rFonts w:ascii="Times New Roman" w:hAnsi="Times New Roman" w:cs="Times New Roman"/>
              <w:color w:val="auto"/>
            </w:rPr>
            <w:fldChar w:fldCharType="separate"/>
          </w:r>
          <w:r>
            <w:rPr>
              <w:rFonts w:ascii="Times New Roman" w:hAnsi="Times New Roman" w:cs="Times New Roman"/>
              <w:color w:val="auto"/>
            </w:rPr>
            <w:t>68</w:t>
          </w:r>
          <w:r>
            <w:rPr>
              <w:rFonts w:ascii="Times New Roman" w:hAnsi="Times New Roman" w:cs="Times New Roman"/>
              <w:color w:val="auto"/>
            </w:rPr>
            <w:fldChar w:fldCharType="end"/>
          </w:r>
          <w:r>
            <w:rPr>
              <w:rFonts w:ascii="Times New Roman" w:hAnsi="Times New Roman" w:cs="Times New Roman"/>
              <w:color w:val="auto"/>
            </w:rPr>
            <w:fldChar w:fldCharType="end"/>
          </w:r>
        </w:p>
        <w:p w14:paraId="2D8E62E3">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"_Toc4265" </w:instrText>
          </w:r>
          <w:r>
            <w:rPr>
              <w:color w:val="auto"/>
            </w:rPr>
            <w:fldChar w:fldCharType="separate"/>
          </w:r>
          <w:r>
            <w:rPr>
              <w:rFonts w:ascii="Times New Roman" w:hAnsi="Times New Roman" w:cs="Times New Roman"/>
              <w:color w:val="auto"/>
              <w:szCs w:val="21"/>
            </w:rPr>
            <w:t>附件7公示截图</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_Toc4265 \h </w:instrText>
          </w:r>
          <w:r>
            <w:rPr>
              <w:rFonts w:ascii="Times New Roman" w:hAnsi="Times New Roman" w:cs="Times New Roman"/>
              <w:color w:val="auto"/>
            </w:rPr>
            <w:fldChar w:fldCharType="separate"/>
          </w:r>
          <w:r>
            <w:rPr>
              <w:rFonts w:ascii="Times New Roman" w:hAnsi="Times New Roman" w:cs="Times New Roman"/>
              <w:color w:val="auto"/>
            </w:rPr>
            <w:t>78</w:t>
          </w:r>
          <w:r>
            <w:rPr>
              <w:rFonts w:ascii="Times New Roman" w:hAnsi="Times New Roman" w:cs="Times New Roman"/>
              <w:color w:val="auto"/>
            </w:rPr>
            <w:fldChar w:fldCharType="end"/>
          </w:r>
          <w:r>
            <w:rPr>
              <w:rFonts w:ascii="Times New Roman" w:hAnsi="Times New Roman" w:cs="Times New Roman"/>
              <w:color w:val="auto"/>
            </w:rPr>
            <w:fldChar w:fldCharType="end"/>
          </w:r>
        </w:p>
        <w:p w14:paraId="4918B31F">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"_Toc18190" </w:instrText>
          </w:r>
          <w:r>
            <w:rPr>
              <w:color w:val="auto"/>
            </w:rPr>
            <w:fldChar w:fldCharType="separate"/>
          </w:r>
          <w:r>
            <w:rPr>
              <w:rFonts w:ascii="Times New Roman" w:hAnsi="Times New Roman" w:cs="Times New Roman"/>
              <w:color w:val="auto"/>
            </w:rPr>
            <w:t>附图1地理位置图</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_Toc18190 \h </w:instrText>
          </w:r>
          <w:r>
            <w:rPr>
              <w:rFonts w:ascii="Times New Roman" w:hAnsi="Times New Roman" w:cs="Times New Roman"/>
              <w:color w:val="auto"/>
            </w:rPr>
            <w:fldChar w:fldCharType="separate"/>
          </w:r>
          <w:r>
            <w:rPr>
              <w:rFonts w:ascii="Times New Roman" w:hAnsi="Times New Roman" w:cs="Times New Roman"/>
              <w:color w:val="auto"/>
            </w:rPr>
            <w:t>79</w:t>
          </w:r>
          <w:r>
            <w:rPr>
              <w:rFonts w:ascii="Times New Roman" w:hAnsi="Times New Roman" w:cs="Times New Roman"/>
              <w:color w:val="auto"/>
            </w:rPr>
            <w:fldChar w:fldCharType="end"/>
          </w:r>
          <w:r>
            <w:rPr>
              <w:rFonts w:ascii="Times New Roman" w:hAnsi="Times New Roman" w:cs="Times New Roman"/>
              <w:color w:val="auto"/>
            </w:rPr>
            <w:fldChar w:fldCharType="end"/>
          </w:r>
        </w:p>
        <w:p w14:paraId="09983F25">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"_Toc20325" </w:instrText>
          </w:r>
          <w:r>
            <w:rPr>
              <w:color w:val="auto"/>
            </w:rPr>
            <w:fldChar w:fldCharType="separate"/>
          </w:r>
          <w:r>
            <w:rPr>
              <w:rFonts w:ascii="Times New Roman" w:hAnsi="Times New Roman" w:cs="Times New Roman"/>
              <w:bCs/>
              <w:color w:val="auto"/>
            </w:rPr>
            <w:t>附图2本项目平面布置图</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_Toc20325 \h </w:instrText>
          </w:r>
          <w:r>
            <w:rPr>
              <w:rFonts w:ascii="Times New Roman" w:hAnsi="Times New Roman" w:cs="Times New Roman"/>
              <w:color w:val="auto"/>
            </w:rPr>
            <w:fldChar w:fldCharType="separate"/>
          </w:r>
          <w:r>
            <w:rPr>
              <w:rFonts w:ascii="Times New Roman" w:hAnsi="Times New Roman" w:cs="Times New Roman"/>
              <w:color w:val="auto"/>
            </w:rPr>
            <w:t>80</w:t>
          </w:r>
          <w:r>
            <w:rPr>
              <w:rFonts w:ascii="Times New Roman" w:hAnsi="Times New Roman" w:cs="Times New Roman"/>
              <w:color w:val="auto"/>
            </w:rPr>
            <w:fldChar w:fldCharType="end"/>
          </w:r>
          <w:r>
            <w:rPr>
              <w:rFonts w:ascii="Times New Roman" w:hAnsi="Times New Roman" w:cs="Times New Roman"/>
              <w:color w:val="auto"/>
            </w:rPr>
            <w:fldChar w:fldCharType="end"/>
          </w:r>
        </w:p>
        <w:p w14:paraId="0DD54EDA">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"_Toc23421" </w:instrText>
          </w:r>
          <w:r>
            <w:rPr>
              <w:color w:val="auto"/>
            </w:rPr>
            <w:fldChar w:fldCharType="separate"/>
          </w:r>
          <w:r>
            <w:rPr>
              <w:rFonts w:ascii="Times New Roman" w:hAnsi="Times New Roman" w:cs="Times New Roman"/>
              <w:bCs/>
              <w:color w:val="auto"/>
            </w:rPr>
            <w:t>附图3环境保护目标分布图</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_Toc23421 \h </w:instrText>
          </w:r>
          <w:r>
            <w:rPr>
              <w:rFonts w:ascii="Times New Roman" w:hAnsi="Times New Roman" w:cs="Times New Roman"/>
              <w:color w:val="auto"/>
            </w:rPr>
            <w:fldChar w:fldCharType="separate"/>
          </w:r>
          <w:r>
            <w:rPr>
              <w:rFonts w:ascii="Times New Roman" w:hAnsi="Times New Roman" w:cs="Times New Roman"/>
              <w:color w:val="auto"/>
            </w:rPr>
            <w:t>81</w:t>
          </w:r>
          <w:r>
            <w:rPr>
              <w:rFonts w:ascii="Times New Roman" w:hAnsi="Times New Roman" w:cs="Times New Roman"/>
              <w:color w:val="auto"/>
            </w:rPr>
            <w:fldChar w:fldCharType="end"/>
          </w:r>
          <w:r>
            <w:rPr>
              <w:rFonts w:ascii="Times New Roman" w:hAnsi="Times New Roman" w:cs="Times New Roman"/>
              <w:color w:val="auto"/>
            </w:rPr>
            <w:fldChar w:fldCharType="end"/>
          </w:r>
        </w:p>
        <w:p w14:paraId="42B80901">
          <w:pPr>
            <w:pStyle w:val="25"/>
            <w:tabs>
              <w:tab w:val="right" w:leader="dot" w:pos="8844"/>
              <w:tab w:val="clear" w:pos="9060"/>
            </w:tabs>
            <w:spacing w:line="360" w:lineRule="auto"/>
            <w:rPr>
              <w:rFonts w:ascii="Times New Roman" w:hAnsi="Times New Roman" w:cs="Times New Roman"/>
              <w:color w:val="auto"/>
            </w:rPr>
          </w:pPr>
          <w:r>
            <w:rPr>
              <w:color w:val="auto"/>
            </w:rPr>
            <w:fldChar w:fldCharType="begin"/>
          </w:r>
          <w:r>
            <w:rPr>
              <w:color w:val="auto"/>
            </w:rPr>
            <w:instrText xml:space="preserve"> HYPERLINK \l "_Toc4302" </w:instrText>
          </w:r>
          <w:r>
            <w:rPr>
              <w:color w:val="auto"/>
            </w:rPr>
            <w:fldChar w:fldCharType="separate"/>
          </w:r>
          <w:r>
            <w:rPr>
              <w:rFonts w:ascii="Times New Roman" w:hAnsi="Times New Roman" w:cs="Times New Roman"/>
              <w:color w:val="auto"/>
            </w:rPr>
            <w:t>附图4厂区四周环境现状</w:t>
          </w:r>
          <w:r>
            <w:rPr>
              <w:rFonts w:ascii="Times New Roman" w:hAnsi="Times New Roman" w:cs="Times New Roman"/>
              <w:color w:val="auto"/>
            </w:rPr>
            <w:tab/>
          </w:r>
          <w:r>
            <w:rPr>
              <w:rFonts w:ascii="Times New Roman" w:hAnsi="Times New Roman" w:cs="Times New Roman"/>
              <w:color w:val="auto"/>
            </w:rPr>
            <w:fldChar w:fldCharType="begin"/>
          </w:r>
          <w:r>
            <w:rPr>
              <w:rFonts w:ascii="Times New Roman" w:hAnsi="Times New Roman" w:cs="Times New Roman"/>
              <w:color w:val="auto"/>
            </w:rPr>
            <w:instrText xml:space="preserve"> PAGEREF _Toc4302 \h </w:instrText>
          </w:r>
          <w:r>
            <w:rPr>
              <w:rFonts w:ascii="Times New Roman" w:hAnsi="Times New Roman" w:cs="Times New Roman"/>
              <w:color w:val="auto"/>
            </w:rPr>
            <w:fldChar w:fldCharType="separate"/>
          </w:r>
          <w:r>
            <w:rPr>
              <w:rFonts w:ascii="Times New Roman" w:hAnsi="Times New Roman" w:cs="Times New Roman"/>
              <w:color w:val="auto"/>
            </w:rPr>
            <w:t>82</w:t>
          </w:r>
          <w:r>
            <w:rPr>
              <w:rFonts w:ascii="Times New Roman" w:hAnsi="Times New Roman" w:cs="Times New Roman"/>
              <w:color w:val="auto"/>
            </w:rPr>
            <w:fldChar w:fldCharType="end"/>
          </w:r>
          <w:r>
            <w:rPr>
              <w:rFonts w:ascii="Times New Roman" w:hAnsi="Times New Roman" w:cs="Times New Roman"/>
              <w:color w:val="auto"/>
            </w:rPr>
            <w:fldChar w:fldCharType="end"/>
          </w:r>
        </w:p>
        <w:p w14:paraId="310DD8F0">
          <w:pPr>
            <w:spacing w:line="360" w:lineRule="auto"/>
            <w:jc w:val="left"/>
            <w:rPr>
              <w:color w:val="auto"/>
            </w:rPr>
          </w:pPr>
          <w:r>
            <w:rPr>
              <w:color w:val="auto"/>
            </w:rPr>
            <w:fldChar w:fldCharType="end"/>
          </w:r>
        </w:p>
      </w:sdtContent>
    </w:sdt>
    <w:p w14:paraId="1FB8CF2D">
      <w:pPr>
        <w:spacing w:line="360" w:lineRule="auto"/>
        <w:jc w:val="left"/>
        <w:rPr>
          <w:color w:val="auto"/>
        </w:rPr>
        <w:sectPr>
          <w:footerReference r:id="rId4" w:type="default"/>
          <w:pgSz w:w="11906" w:h="16838"/>
          <w:pgMar w:top="1701" w:right="1531" w:bottom="1701" w:left="1531" w:header="851" w:footer="1077" w:gutter="0"/>
          <w:pgNumType w:start="1"/>
          <w:cols w:space="720" w:num="1"/>
          <w:docGrid w:linePitch="312" w:charSpace="0"/>
        </w:sectPr>
      </w:pPr>
    </w:p>
    <w:p w14:paraId="1E0F1031">
      <w:pPr>
        <w:pStyle w:val="30"/>
        <w:jc w:val="center"/>
        <w:outlineLvl w:val="0"/>
        <w:rPr>
          <w:rFonts w:ascii="Times New Roman" w:hAnsi="Times New Roman"/>
          <w:snapToGrid w:val="0"/>
          <w:color w:val="auto"/>
          <w:sz w:val="30"/>
          <w:szCs w:val="30"/>
        </w:rPr>
      </w:pPr>
      <w:bookmarkStart w:id="0" w:name="_Toc1143"/>
      <w:bookmarkStart w:id="1" w:name="_Toc28515"/>
      <w:r>
        <w:rPr>
          <w:rFonts w:ascii="Times New Roman" w:hAnsi="Times New Roman"/>
          <w:snapToGrid w:val="0"/>
          <w:color w:val="auto"/>
          <w:sz w:val="30"/>
          <w:szCs w:val="30"/>
        </w:rPr>
        <w:t>一、建设项目基本情况</w:t>
      </w:r>
      <w:bookmarkEnd w:id="0"/>
      <w:bookmarkEnd w:id="1"/>
    </w:p>
    <w:tbl>
      <w:tblPr>
        <w:tblStyle w:val="35"/>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86"/>
        <w:gridCol w:w="2022"/>
        <w:gridCol w:w="2197"/>
        <w:gridCol w:w="3365"/>
      </w:tblGrid>
      <w:tr w14:paraId="03567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2166" w:type="dxa"/>
            <w:tcMar>
              <w:top w:w="16" w:type="dxa"/>
              <w:left w:w="16" w:type="dxa"/>
              <w:right w:w="16" w:type="dxa"/>
            </w:tcMar>
            <w:vAlign w:val="center"/>
          </w:tcPr>
          <w:p w14:paraId="38350717">
            <w:pPr>
              <w:adjustRightInd w:val="0"/>
              <w:snapToGrid w:val="0"/>
              <w:jc w:val="center"/>
              <w:rPr>
                <w:color w:val="auto"/>
                <w:sz w:val="24"/>
              </w:rPr>
            </w:pPr>
            <w:r>
              <w:rPr>
                <w:color w:val="auto"/>
                <w:sz w:val="24"/>
              </w:rPr>
              <w:t>建设项目名称</w:t>
            </w:r>
          </w:p>
        </w:tc>
        <w:tc>
          <w:tcPr>
            <w:tcW w:w="6704" w:type="dxa"/>
            <w:gridSpan w:val="3"/>
            <w:vAlign w:val="center"/>
          </w:tcPr>
          <w:p w14:paraId="421AFB26">
            <w:pPr>
              <w:adjustRightInd w:val="0"/>
              <w:snapToGrid w:val="0"/>
              <w:jc w:val="center"/>
              <w:rPr>
                <w:color w:val="auto"/>
                <w:sz w:val="24"/>
              </w:rPr>
            </w:pPr>
            <w:r>
              <w:rPr>
                <w:rFonts w:hint="eastAsia"/>
                <w:color w:val="auto"/>
                <w:sz w:val="24"/>
              </w:rPr>
              <w:t>桦川县恒恒升水稻种植专业合作社粮食烘干项目</w:t>
            </w:r>
          </w:p>
        </w:tc>
      </w:tr>
      <w:tr w14:paraId="4DBC9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2166" w:type="dxa"/>
            <w:tcMar>
              <w:top w:w="16" w:type="dxa"/>
              <w:left w:w="16" w:type="dxa"/>
              <w:right w:w="16" w:type="dxa"/>
            </w:tcMar>
            <w:vAlign w:val="center"/>
          </w:tcPr>
          <w:p w14:paraId="12CEB657">
            <w:pPr>
              <w:adjustRightInd w:val="0"/>
              <w:snapToGrid w:val="0"/>
              <w:jc w:val="center"/>
              <w:rPr>
                <w:color w:val="auto"/>
                <w:sz w:val="24"/>
              </w:rPr>
            </w:pPr>
            <w:r>
              <w:rPr>
                <w:color w:val="auto"/>
                <w:sz w:val="24"/>
              </w:rPr>
              <w:t>项目代码</w:t>
            </w:r>
          </w:p>
        </w:tc>
        <w:tc>
          <w:tcPr>
            <w:tcW w:w="6704" w:type="dxa"/>
            <w:gridSpan w:val="3"/>
            <w:vAlign w:val="center"/>
          </w:tcPr>
          <w:p w14:paraId="02323FFE">
            <w:pPr>
              <w:adjustRightInd w:val="0"/>
              <w:snapToGrid w:val="0"/>
              <w:jc w:val="center"/>
              <w:rPr>
                <w:color w:val="auto"/>
                <w:sz w:val="24"/>
              </w:rPr>
            </w:pPr>
            <w:r>
              <w:rPr>
                <w:rFonts w:hint="eastAsia"/>
                <w:color w:val="auto"/>
                <w:sz w:val="24"/>
              </w:rPr>
              <w:t>/</w:t>
            </w:r>
          </w:p>
        </w:tc>
      </w:tr>
      <w:tr w14:paraId="7295B8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2166" w:type="dxa"/>
            <w:tcMar>
              <w:top w:w="16" w:type="dxa"/>
              <w:left w:w="16" w:type="dxa"/>
              <w:right w:w="16" w:type="dxa"/>
            </w:tcMar>
            <w:vAlign w:val="center"/>
          </w:tcPr>
          <w:p w14:paraId="5A9441FA">
            <w:pPr>
              <w:adjustRightInd w:val="0"/>
              <w:snapToGrid w:val="0"/>
              <w:jc w:val="center"/>
              <w:rPr>
                <w:color w:val="auto"/>
                <w:sz w:val="24"/>
              </w:rPr>
            </w:pPr>
            <w:r>
              <w:rPr>
                <w:color w:val="auto"/>
                <w:sz w:val="24"/>
              </w:rPr>
              <w:t>建设单位联系人</w:t>
            </w:r>
          </w:p>
        </w:tc>
        <w:tc>
          <w:tcPr>
            <w:tcW w:w="1853" w:type="dxa"/>
            <w:vAlign w:val="center"/>
          </w:tcPr>
          <w:p w14:paraId="296331E4">
            <w:pPr>
              <w:adjustRightInd w:val="0"/>
              <w:snapToGrid w:val="0"/>
              <w:jc w:val="center"/>
              <w:rPr>
                <w:color w:val="auto"/>
                <w:sz w:val="24"/>
              </w:rPr>
            </w:pPr>
            <w:r>
              <w:rPr>
                <w:rFonts w:hint="eastAsia"/>
                <w:color w:val="auto"/>
                <w:sz w:val="24"/>
              </w:rPr>
              <w:t>张长春</w:t>
            </w:r>
          </w:p>
        </w:tc>
        <w:tc>
          <w:tcPr>
            <w:tcW w:w="1995" w:type="dxa"/>
            <w:vAlign w:val="center"/>
          </w:tcPr>
          <w:p w14:paraId="2F4282FF">
            <w:pPr>
              <w:adjustRightInd w:val="0"/>
              <w:snapToGrid w:val="0"/>
              <w:jc w:val="center"/>
              <w:rPr>
                <w:color w:val="auto"/>
                <w:sz w:val="24"/>
              </w:rPr>
            </w:pPr>
            <w:r>
              <w:rPr>
                <w:color w:val="auto"/>
                <w:sz w:val="24"/>
              </w:rPr>
              <w:t>联系电话</w:t>
            </w:r>
          </w:p>
        </w:tc>
        <w:tc>
          <w:tcPr>
            <w:tcW w:w="2856" w:type="dxa"/>
            <w:vAlign w:val="center"/>
          </w:tcPr>
          <w:p w14:paraId="2327A635">
            <w:pPr>
              <w:adjustRightInd w:val="0"/>
              <w:snapToGrid w:val="0"/>
              <w:jc w:val="center"/>
              <w:rPr>
                <w:color w:val="auto"/>
                <w:sz w:val="24"/>
              </w:rPr>
            </w:pPr>
            <w:r>
              <w:rPr>
                <w:rFonts w:hint="eastAsia"/>
                <w:color w:val="auto"/>
                <w:sz w:val="24"/>
              </w:rPr>
              <w:t>15845418231</w:t>
            </w:r>
          </w:p>
        </w:tc>
      </w:tr>
      <w:tr w14:paraId="06EB0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66" w:type="dxa"/>
            <w:tcMar>
              <w:top w:w="16" w:type="dxa"/>
              <w:left w:w="16" w:type="dxa"/>
              <w:right w:w="16" w:type="dxa"/>
            </w:tcMar>
            <w:vAlign w:val="center"/>
          </w:tcPr>
          <w:p w14:paraId="6FB525CD">
            <w:pPr>
              <w:adjustRightInd w:val="0"/>
              <w:snapToGrid w:val="0"/>
              <w:jc w:val="center"/>
              <w:rPr>
                <w:color w:val="auto"/>
                <w:sz w:val="24"/>
              </w:rPr>
            </w:pPr>
            <w:r>
              <w:rPr>
                <w:color w:val="auto"/>
                <w:sz w:val="24"/>
              </w:rPr>
              <w:t>建设地点</w:t>
            </w:r>
          </w:p>
        </w:tc>
        <w:tc>
          <w:tcPr>
            <w:tcW w:w="6704" w:type="dxa"/>
            <w:gridSpan w:val="3"/>
            <w:vAlign w:val="center"/>
          </w:tcPr>
          <w:p w14:paraId="26D0A758">
            <w:pPr>
              <w:adjustRightInd w:val="0"/>
              <w:snapToGrid w:val="0"/>
              <w:jc w:val="center"/>
              <w:rPr>
                <w:color w:val="auto"/>
                <w:sz w:val="24"/>
              </w:rPr>
            </w:pPr>
            <w:r>
              <w:rPr>
                <w:rFonts w:hint="eastAsia"/>
                <w:color w:val="auto"/>
                <w:sz w:val="24"/>
              </w:rPr>
              <w:t>黑龙江省佳木斯市桦川县东河乡兴华屯</w:t>
            </w:r>
          </w:p>
        </w:tc>
      </w:tr>
      <w:tr w14:paraId="5ECE4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66" w:type="dxa"/>
            <w:tcMar>
              <w:top w:w="16" w:type="dxa"/>
              <w:left w:w="16" w:type="dxa"/>
              <w:right w:w="16" w:type="dxa"/>
            </w:tcMar>
            <w:vAlign w:val="center"/>
          </w:tcPr>
          <w:p w14:paraId="6B9AB4C8">
            <w:pPr>
              <w:adjustRightInd w:val="0"/>
              <w:snapToGrid w:val="0"/>
              <w:jc w:val="center"/>
              <w:rPr>
                <w:color w:val="auto"/>
                <w:sz w:val="24"/>
              </w:rPr>
            </w:pPr>
            <w:r>
              <w:rPr>
                <w:color w:val="auto"/>
                <w:sz w:val="24"/>
              </w:rPr>
              <w:t>地理坐标</w:t>
            </w:r>
          </w:p>
        </w:tc>
        <w:tc>
          <w:tcPr>
            <w:tcW w:w="6704" w:type="dxa"/>
            <w:gridSpan w:val="3"/>
            <w:vAlign w:val="center"/>
          </w:tcPr>
          <w:p w14:paraId="2A7AF28F">
            <w:pPr>
              <w:jc w:val="center"/>
              <w:rPr>
                <w:color w:val="auto"/>
                <w:sz w:val="24"/>
              </w:rPr>
            </w:pPr>
            <w:r>
              <w:rPr>
                <w:color w:val="auto"/>
                <w:sz w:val="24"/>
              </w:rPr>
              <w:t>（13</w:t>
            </w:r>
            <w:r>
              <w:rPr>
                <w:rFonts w:hint="eastAsia"/>
                <w:color w:val="auto"/>
                <w:sz w:val="24"/>
              </w:rPr>
              <w:t>1</w:t>
            </w:r>
            <w:r>
              <w:rPr>
                <w:color w:val="auto"/>
                <w:sz w:val="24"/>
              </w:rPr>
              <w:t>度</w:t>
            </w:r>
            <w:r>
              <w:rPr>
                <w:rFonts w:hint="eastAsia"/>
                <w:color w:val="auto"/>
                <w:sz w:val="24"/>
              </w:rPr>
              <w:t>19</w:t>
            </w:r>
            <w:r>
              <w:rPr>
                <w:color w:val="auto"/>
                <w:sz w:val="24"/>
              </w:rPr>
              <w:t>分</w:t>
            </w:r>
            <w:r>
              <w:rPr>
                <w:rFonts w:hint="eastAsia"/>
                <w:color w:val="auto"/>
                <w:sz w:val="24"/>
              </w:rPr>
              <w:t>24.623</w:t>
            </w:r>
            <w:r>
              <w:rPr>
                <w:color w:val="auto"/>
                <w:sz w:val="24"/>
              </w:rPr>
              <w:t>秒，4</w:t>
            </w:r>
            <w:r>
              <w:rPr>
                <w:rFonts w:hint="eastAsia"/>
                <w:color w:val="auto"/>
                <w:sz w:val="24"/>
              </w:rPr>
              <w:t>7</w:t>
            </w:r>
            <w:r>
              <w:rPr>
                <w:color w:val="auto"/>
                <w:sz w:val="24"/>
              </w:rPr>
              <w:t>度</w:t>
            </w:r>
            <w:r>
              <w:rPr>
                <w:rFonts w:hint="eastAsia"/>
                <w:color w:val="auto"/>
                <w:sz w:val="24"/>
              </w:rPr>
              <w:t>05</w:t>
            </w:r>
            <w:r>
              <w:rPr>
                <w:color w:val="auto"/>
                <w:sz w:val="24"/>
              </w:rPr>
              <w:t>分</w:t>
            </w:r>
            <w:r>
              <w:rPr>
                <w:rFonts w:hint="eastAsia"/>
                <w:color w:val="auto"/>
                <w:sz w:val="24"/>
              </w:rPr>
              <w:t>19.489</w:t>
            </w:r>
            <w:r>
              <w:rPr>
                <w:color w:val="auto"/>
                <w:sz w:val="24"/>
              </w:rPr>
              <w:t>秒）</w:t>
            </w:r>
          </w:p>
        </w:tc>
      </w:tr>
      <w:tr w14:paraId="30EEC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66" w:type="dxa"/>
            <w:tcMar>
              <w:top w:w="16" w:type="dxa"/>
              <w:left w:w="16" w:type="dxa"/>
              <w:right w:w="16" w:type="dxa"/>
            </w:tcMar>
            <w:vAlign w:val="center"/>
          </w:tcPr>
          <w:p w14:paraId="1114BDBE">
            <w:pPr>
              <w:adjustRightInd w:val="0"/>
              <w:snapToGrid w:val="0"/>
              <w:jc w:val="center"/>
              <w:rPr>
                <w:color w:val="auto"/>
                <w:sz w:val="24"/>
              </w:rPr>
            </w:pPr>
            <w:r>
              <w:rPr>
                <w:color w:val="auto"/>
                <w:sz w:val="24"/>
              </w:rPr>
              <w:t>国民经济</w:t>
            </w:r>
          </w:p>
          <w:p w14:paraId="288D5B90">
            <w:pPr>
              <w:adjustRightInd w:val="0"/>
              <w:snapToGrid w:val="0"/>
              <w:jc w:val="center"/>
              <w:rPr>
                <w:color w:val="auto"/>
                <w:sz w:val="24"/>
              </w:rPr>
            </w:pPr>
            <w:r>
              <w:rPr>
                <w:color w:val="auto"/>
                <w:sz w:val="24"/>
              </w:rPr>
              <w:t>行业类别</w:t>
            </w:r>
          </w:p>
        </w:tc>
        <w:tc>
          <w:tcPr>
            <w:tcW w:w="1853" w:type="dxa"/>
            <w:vAlign w:val="center"/>
          </w:tcPr>
          <w:p w14:paraId="0E97280D">
            <w:pPr>
              <w:adjustRightInd w:val="0"/>
              <w:snapToGrid w:val="0"/>
              <w:jc w:val="center"/>
              <w:rPr>
                <w:color w:val="auto"/>
                <w:sz w:val="24"/>
              </w:rPr>
            </w:pPr>
            <w:r>
              <w:rPr>
                <w:color w:val="auto"/>
                <w:sz w:val="24"/>
              </w:rPr>
              <w:t>A0514农产品初加工活动；D4430热力生产和供应</w:t>
            </w:r>
            <w:r>
              <w:rPr>
                <w:rFonts w:hint="eastAsia"/>
                <w:color w:val="auto"/>
                <w:sz w:val="24"/>
              </w:rPr>
              <w:t>；</w:t>
            </w:r>
          </w:p>
        </w:tc>
        <w:tc>
          <w:tcPr>
            <w:tcW w:w="1995" w:type="dxa"/>
            <w:vAlign w:val="center"/>
          </w:tcPr>
          <w:p w14:paraId="5F67E7B4">
            <w:pPr>
              <w:adjustRightInd w:val="0"/>
              <w:snapToGrid w:val="0"/>
              <w:jc w:val="center"/>
              <w:rPr>
                <w:color w:val="auto"/>
                <w:sz w:val="24"/>
              </w:rPr>
            </w:pPr>
            <w:r>
              <w:rPr>
                <w:color w:val="auto"/>
                <w:sz w:val="24"/>
              </w:rPr>
              <w:t>建设项目</w:t>
            </w:r>
          </w:p>
          <w:p w14:paraId="694C40B2">
            <w:pPr>
              <w:adjustRightInd w:val="0"/>
              <w:snapToGrid w:val="0"/>
              <w:jc w:val="center"/>
              <w:rPr>
                <w:color w:val="auto"/>
                <w:sz w:val="24"/>
              </w:rPr>
            </w:pPr>
            <w:r>
              <w:rPr>
                <w:color w:val="auto"/>
                <w:sz w:val="24"/>
              </w:rPr>
              <w:t>行业类别</w:t>
            </w:r>
          </w:p>
        </w:tc>
        <w:tc>
          <w:tcPr>
            <w:tcW w:w="2856" w:type="dxa"/>
            <w:vAlign w:val="center"/>
          </w:tcPr>
          <w:p w14:paraId="602F865F">
            <w:pPr>
              <w:adjustRightInd w:val="0"/>
              <w:snapToGrid w:val="0"/>
              <w:jc w:val="center"/>
              <w:rPr>
                <w:color w:val="auto"/>
                <w:sz w:val="24"/>
              </w:rPr>
            </w:pPr>
            <w:r>
              <w:rPr>
                <w:color w:val="auto"/>
                <w:sz w:val="24"/>
              </w:rPr>
              <w:t>四十一、电力、热力生产和供应业91热力生产和供应工程</w:t>
            </w:r>
          </w:p>
        </w:tc>
      </w:tr>
      <w:tr w14:paraId="1BC32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66" w:type="dxa"/>
            <w:tcMar>
              <w:top w:w="16" w:type="dxa"/>
              <w:left w:w="16" w:type="dxa"/>
              <w:right w:w="16" w:type="dxa"/>
            </w:tcMar>
            <w:vAlign w:val="center"/>
          </w:tcPr>
          <w:p w14:paraId="40749475">
            <w:pPr>
              <w:adjustRightInd w:val="0"/>
              <w:snapToGrid w:val="0"/>
              <w:jc w:val="center"/>
              <w:rPr>
                <w:color w:val="auto"/>
                <w:sz w:val="24"/>
              </w:rPr>
            </w:pPr>
            <w:r>
              <w:rPr>
                <w:color w:val="auto"/>
                <w:sz w:val="24"/>
              </w:rPr>
              <w:t>建设性质</w:t>
            </w:r>
          </w:p>
        </w:tc>
        <w:tc>
          <w:tcPr>
            <w:tcW w:w="1853" w:type="dxa"/>
            <w:vAlign w:val="center"/>
          </w:tcPr>
          <w:p w14:paraId="76ACDAA7">
            <w:pPr>
              <w:jc w:val="left"/>
              <w:rPr>
                <w:color w:val="auto"/>
                <w:sz w:val="24"/>
              </w:rPr>
            </w:pPr>
            <w:r>
              <w:rPr>
                <w:rFonts w:hint="eastAsia"/>
                <w:color w:val="auto"/>
                <w:sz w:val="24"/>
              </w:rPr>
              <w:t>☑</w:t>
            </w:r>
            <w:r>
              <w:rPr>
                <w:color w:val="auto"/>
                <w:sz w:val="24"/>
              </w:rPr>
              <w:t>新建（迁建）</w:t>
            </w:r>
          </w:p>
          <w:p w14:paraId="47D4D86A">
            <w:pPr>
              <w:jc w:val="left"/>
              <w:rPr>
                <w:color w:val="auto"/>
                <w:sz w:val="24"/>
              </w:rPr>
            </w:pPr>
            <w:r>
              <w:rPr>
                <w:rFonts w:hint="eastAsia"/>
                <w:color w:val="auto"/>
                <w:sz w:val="24"/>
              </w:rPr>
              <w:t>□</w:t>
            </w:r>
            <w:r>
              <w:rPr>
                <w:color w:val="auto"/>
                <w:sz w:val="24"/>
              </w:rPr>
              <w:t>改建</w:t>
            </w:r>
          </w:p>
          <w:p w14:paraId="21870CD4">
            <w:pPr>
              <w:jc w:val="left"/>
              <w:rPr>
                <w:color w:val="auto"/>
                <w:sz w:val="24"/>
              </w:rPr>
            </w:pPr>
            <w:r>
              <w:rPr>
                <w:rFonts w:hint="eastAsia"/>
                <w:color w:val="auto"/>
                <w:sz w:val="24"/>
              </w:rPr>
              <w:t>□</w:t>
            </w:r>
            <w:r>
              <w:rPr>
                <w:color w:val="auto"/>
                <w:sz w:val="24"/>
              </w:rPr>
              <w:t>扩建</w:t>
            </w:r>
          </w:p>
          <w:p w14:paraId="5BC76EE8">
            <w:pPr>
              <w:jc w:val="left"/>
              <w:rPr>
                <w:color w:val="auto"/>
                <w:sz w:val="24"/>
              </w:rPr>
            </w:pPr>
            <w:r>
              <w:rPr>
                <w:rFonts w:hint="eastAsia"/>
                <w:color w:val="auto"/>
                <w:sz w:val="24"/>
              </w:rPr>
              <w:t>□</w:t>
            </w:r>
            <w:r>
              <w:rPr>
                <w:color w:val="auto"/>
                <w:sz w:val="24"/>
              </w:rPr>
              <w:t>技术改造</w:t>
            </w:r>
          </w:p>
        </w:tc>
        <w:tc>
          <w:tcPr>
            <w:tcW w:w="1995" w:type="dxa"/>
            <w:vAlign w:val="center"/>
          </w:tcPr>
          <w:p w14:paraId="70D38749">
            <w:pPr>
              <w:adjustRightInd w:val="0"/>
              <w:snapToGrid w:val="0"/>
              <w:jc w:val="center"/>
              <w:rPr>
                <w:color w:val="auto"/>
                <w:sz w:val="24"/>
              </w:rPr>
            </w:pPr>
            <w:r>
              <w:rPr>
                <w:color w:val="auto"/>
                <w:sz w:val="24"/>
              </w:rPr>
              <w:t>建设项目</w:t>
            </w:r>
          </w:p>
          <w:p w14:paraId="52E66899">
            <w:pPr>
              <w:adjustRightInd w:val="0"/>
              <w:snapToGrid w:val="0"/>
              <w:jc w:val="center"/>
              <w:rPr>
                <w:color w:val="auto"/>
                <w:sz w:val="24"/>
              </w:rPr>
            </w:pPr>
            <w:r>
              <w:rPr>
                <w:color w:val="auto"/>
                <w:sz w:val="24"/>
              </w:rPr>
              <w:t>申报情形</w:t>
            </w:r>
          </w:p>
        </w:tc>
        <w:tc>
          <w:tcPr>
            <w:tcW w:w="2856" w:type="dxa"/>
            <w:vAlign w:val="center"/>
          </w:tcPr>
          <w:p w14:paraId="2E2D96B4">
            <w:pPr>
              <w:jc w:val="left"/>
              <w:rPr>
                <w:color w:val="auto"/>
                <w:sz w:val="24"/>
              </w:rPr>
            </w:pPr>
            <w:r>
              <w:rPr>
                <w:color w:val="auto"/>
                <w:sz w:val="24"/>
              </w:rPr>
              <w:sym w:font="Wingdings 2" w:char="0052"/>
            </w:r>
            <w:r>
              <w:rPr>
                <w:color w:val="auto"/>
                <w:sz w:val="24"/>
              </w:rPr>
              <w:t>首次申报项目</w:t>
            </w:r>
          </w:p>
          <w:p w14:paraId="7DAA576A">
            <w:pPr>
              <w:jc w:val="left"/>
              <w:rPr>
                <w:color w:val="auto"/>
                <w:sz w:val="24"/>
              </w:rPr>
            </w:pPr>
            <w:r>
              <w:rPr>
                <w:rFonts w:hint="eastAsia"/>
                <w:color w:val="auto"/>
                <w:sz w:val="24"/>
              </w:rPr>
              <w:t>□</w:t>
            </w:r>
            <w:r>
              <w:rPr>
                <w:color w:val="auto"/>
                <w:sz w:val="24"/>
              </w:rPr>
              <w:t>不予批准后再次申报项目</w:t>
            </w:r>
          </w:p>
          <w:p w14:paraId="54495F6A">
            <w:pPr>
              <w:jc w:val="left"/>
              <w:rPr>
                <w:color w:val="auto"/>
                <w:sz w:val="24"/>
              </w:rPr>
            </w:pPr>
            <w:r>
              <w:rPr>
                <w:rFonts w:hint="eastAsia"/>
                <w:color w:val="auto"/>
                <w:sz w:val="24"/>
              </w:rPr>
              <w:t>□</w:t>
            </w:r>
            <w:r>
              <w:rPr>
                <w:color w:val="auto"/>
                <w:sz w:val="24"/>
              </w:rPr>
              <w:t>超五年重新审核项目</w:t>
            </w:r>
          </w:p>
          <w:p w14:paraId="013616B2">
            <w:pPr>
              <w:jc w:val="left"/>
              <w:rPr>
                <w:color w:val="auto"/>
                <w:sz w:val="24"/>
              </w:rPr>
            </w:pPr>
            <w:r>
              <w:rPr>
                <w:rFonts w:hint="eastAsia"/>
                <w:color w:val="auto"/>
                <w:sz w:val="24"/>
              </w:rPr>
              <w:t>□</w:t>
            </w:r>
            <w:r>
              <w:rPr>
                <w:color w:val="auto"/>
                <w:sz w:val="24"/>
              </w:rPr>
              <w:t>重大变动重新报批项目</w:t>
            </w:r>
          </w:p>
        </w:tc>
      </w:tr>
      <w:tr w14:paraId="0A1E4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166" w:type="dxa"/>
            <w:tcMar>
              <w:top w:w="16" w:type="dxa"/>
              <w:left w:w="16" w:type="dxa"/>
              <w:right w:w="16" w:type="dxa"/>
            </w:tcMar>
            <w:vAlign w:val="center"/>
          </w:tcPr>
          <w:p w14:paraId="0F7A286C">
            <w:pPr>
              <w:adjustRightInd w:val="0"/>
              <w:snapToGrid w:val="0"/>
              <w:jc w:val="center"/>
              <w:rPr>
                <w:color w:val="auto"/>
                <w:sz w:val="24"/>
              </w:rPr>
            </w:pPr>
            <w:r>
              <w:rPr>
                <w:color w:val="auto"/>
                <w:sz w:val="24"/>
              </w:rPr>
              <w:t>项目审批（核准/</w:t>
            </w:r>
          </w:p>
          <w:p w14:paraId="0DB5AC8C">
            <w:pPr>
              <w:adjustRightInd w:val="0"/>
              <w:snapToGrid w:val="0"/>
              <w:jc w:val="center"/>
              <w:rPr>
                <w:color w:val="auto"/>
                <w:sz w:val="24"/>
              </w:rPr>
            </w:pPr>
            <w:r>
              <w:rPr>
                <w:color w:val="auto"/>
                <w:sz w:val="24"/>
              </w:rPr>
              <w:t>备案）部门（选填）</w:t>
            </w:r>
          </w:p>
        </w:tc>
        <w:tc>
          <w:tcPr>
            <w:tcW w:w="1853" w:type="dxa"/>
            <w:vAlign w:val="center"/>
          </w:tcPr>
          <w:p w14:paraId="6306D02E">
            <w:pPr>
              <w:adjustRightInd w:val="0"/>
              <w:snapToGrid w:val="0"/>
              <w:jc w:val="center"/>
              <w:rPr>
                <w:color w:val="auto"/>
                <w:sz w:val="24"/>
              </w:rPr>
            </w:pPr>
            <w:r>
              <w:rPr>
                <w:color w:val="auto"/>
                <w:sz w:val="24"/>
              </w:rPr>
              <w:t>无</w:t>
            </w:r>
          </w:p>
        </w:tc>
        <w:tc>
          <w:tcPr>
            <w:tcW w:w="1995" w:type="dxa"/>
            <w:vAlign w:val="center"/>
          </w:tcPr>
          <w:p w14:paraId="40480DF4">
            <w:pPr>
              <w:adjustRightInd w:val="0"/>
              <w:snapToGrid w:val="0"/>
              <w:jc w:val="center"/>
              <w:rPr>
                <w:color w:val="auto"/>
                <w:sz w:val="24"/>
              </w:rPr>
            </w:pPr>
            <w:r>
              <w:rPr>
                <w:color w:val="auto"/>
                <w:sz w:val="24"/>
              </w:rPr>
              <w:t>项目审批（核准/</w:t>
            </w:r>
          </w:p>
          <w:p w14:paraId="661CCD6C">
            <w:pPr>
              <w:adjustRightInd w:val="0"/>
              <w:snapToGrid w:val="0"/>
              <w:jc w:val="center"/>
              <w:rPr>
                <w:color w:val="auto"/>
                <w:sz w:val="24"/>
              </w:rPr>
            </w:pPr>
            <w:r>
              <w:rPr>
                <w:color w:val="auto"/>
                <w:sz w:val="24"/>
              </w:rPr>
              <w:t>备案）文号（选填）</w:t>
            </w:r>
          </w:p>
        </w:tc>
        <w:tc>
          <w:tcPr>
            <w:tcW w:w="2856" w:type="dxa"/>
            <w:vAlign w:val="center"/>
          </w:tcPr>
          <w:p w14:paraId="0CFD45C4">
            <w:pPr>
              <w:adjustRightInd w:val="0"/>
              <w:snapToGrid w:val="0"/>
              <w:jc w:val="center"/>
              <w:rPr>
                <w:color w:val="auto"/>
                <w:sz w:val="24"/>
              </w:rPr>
            </w:pPr>
            <w:r>
              <w:rPr>
                <w:color w:val="auto"/>
                <w:sz w:val="24"/>
              </w:rPr>
              <w:t>无</w:t>
            </w:r>
          </w:p>
        </w:tc>
      </w:tr>
      <w:tr w14:paraId="7EC653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166" w:type="dxa"/>
            <w:shd w:val="clear" w:color="auto" w:fill="FFFFFF" w:themeFill="background1"/>
            <w:tcMar>
              <w:top w:w="16" w:type="dxa"/>
              <w:left w:w="16" w:type="dxa"/>
              <w:right w:w="16" w:type="dxa"/>
            </w:tcMar>
            <w:vAlign w:val="center"/>
          </w:tcPr>
          <w:p w14:paraId="14AC3F75">
            <w:pPr>
              <w:adjustRightInd w:val="0"/>
              <w:snapToGrid w:val="0"/>
              <w:jc w:val="center"/>
              <w:rPr>
                <w:color w:val="auto"/>
                <w:sz w:val="24"/>
              </w:rPr>
            </w:pPr>
            <w:r>
              <w:rPr>
                <w:color w:val="auto"/>
                <w:sz w:val="24"/>
              </w:rPr>
              <w:t>总投资（万元）</w:t>
            </w:r>
          </w:p>
        </w:tc>
        <w:tc>
          <w:tcPr>
            <w:tcW w:w="1853" w:type="dxa"/>
            <w:shd w:val="clear" w:color="auto" w:fill="FFFFFF" w:themeFill="background1"/>
            <w:vAlign w:val="center"/>
          </w:tcPr>
          <w:p w14:paraId="6F47BCE8">
            <w:pPr>
              <w:adjustRightInd w:val="0"/>
              <w:snapToGrid w:val="0"/>
              <w:jc w:val="center"/>
              <w:rPr>
                <w:color w:val="auto"/>
                <w:sz w:val="24"/>
              </w:rPr>
            </w:pPr>
            <w:r>
              <w:rPr>
                <w:rFonts w:hint="eastAsia"/>
                <w:color w:val="auto"/>
                <w:sz w:val="24"/>
              </w:rPr>
              <w:t>100</w:t>
            </w:r>
          </w:p>
        </w:tc>
        <w:tc>
          <w:tcPr>
            <w:tcW w:w="1995" w:type="dxa"/>
            <w:tcMar>
              <w:top w:w="16" w:type="dxa"/>
              <w:left w:w="16" w:type="dxa"/>
              <w:right w:w="16" w:type="dxa"/>
            </w:tcMar>
            <w:vAlign w:val="center"/>
          </w:tcPr>
          <w:p w14:paraId="1EEE0EBC">
            <w:pPr>
              <w:adjustRightInd w:val="0"/>
              <w:snapToGrid w:val="0"/>
              <w:jc w:val="center"/>
              <w:rPr>
                <w:color w:val="auto"/>
                <w:sz w:val="24"/>
              </w:rPr>
            </w:pPr>
            <w:r>
              <w:rPr>
                <w:color w:val="auto"/>
                <w:sz w:val="24"/>
              </w:rPr>
              <w:t>环保投资（万元）</w:t>
            </w:r>
          </w:p>
        </w:tc>
        <w:tc>
          <w:tcPr>
            <w:tcW w:w="2856" w:type="dxa"/>
            <w:vAlign w:val="center"/>
          </w:tcPr>
          <w:p w14:paraId="17FA8221">
            <w:pPr>
              <w:adjustRightInd w:val="0"/>
              <w:snapToGrid w:val="0"/>
              <w:jc w:val="center"/>
              <w:rPr>
                <w:rFonts w:hint="default" w:eastAsia="宋体"/>
                <w:color w:val="auto"/>
                <w:sz w:val="24"/>
                <w:lang w:val="en-US" w:eastAsia="zh-CN"/>
              </w:rPr>
            </w:pPr>
            <w:r>
              <w:rPr>
                <w:rFonts w:hint="eastAsia"/>
                <w:color w:val="auto"/>
                <w:sz w:val="24"/>
                <w:lang w:val="en-US" w:eastAsia="zh-CN"/>
              </w:rPr>
              <w:t>30</w:t>
            </w:r>
          </w:p>
        </w:tc>
      </w:tr>
      <w:tr w14:paraId="49C24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2166" w:type="dxa"/>
            <w:tcMar>
              <w:top w:w="16" w:type="dxa"/>
              <w:left w:w="16" w:type="dxa"/>
              <w:right w:w="16" w:type="dxa"/>
            </w:tcMar>
            <w:vAlign w:val="center"/>
          </w:tcPr>
          <w:p w14:paraId="2800CBB8">
            <w:pPr>
              <w:adjustRightInd w:val="0"/>
              <w:snapToGrid w:val="0"/>
              <w:jc w:val="center"/>
              <w:rPr>
                <w:color w:val="auto"/>
                <w:sz w:val="24"/>
              </w:rPr>
            </w:pPr>
            <w:r>
              <w:rPr>
                <w:color w:val="auto"/>
                <w:sz w:val="24"/>
              </w:rPr>
              <w:t>环保投资占比（%）</w:t>
            </w:r>
          </w:p>
        </w:tc>
        <w:tc>
          <w:tcPr>
            <w:tcW w:w="1853" w:type="dxa"/>
            <w:vAlign w:val="center"/>
          </w:tcPr>
          <w:p w14:paraId="4D0E4B74">
            <w:pPr>
              <w:adjustRightInd w:val="0"/>
              <w:snapToGrid w:val="0"/>
              <w:jc w:val="center"/>
              <w:rPr>
                <w:rFonts w:hint="default" w:eastAsia="宋体"/>
                <w:color w:val="auto"/>
                <w:sz w:val="24"/>
                <w:lang w:val="en-US" w:eastAsia="zh-CN"/>
              </w:rPr>
            </w:pPr>
            <w:r>
              <w:rPr>
                <w:rFonts w:hint="eastAsia"/>
                <w:color w:val="auto"/>
                <w:sz w:val="24"/>
                <w:lang w:val="en-US" w:eastAsia="zh-CN"/>
              </w:rPr>
              <w:t>30</w:t>
            </w:r>
          </w:p>
        </w:tc>
        <w:tc>
          <w:tcPr>
            <w:tcW w:w="1995" w:type="dxa"/>
            <w:tcMar>
              <w:top w:w="16" w:type="dxa"/>
              <w:left w:w="16" w:type="dxa"/>
              <w:right w:w="16" w:type="dxa"/>
            </w:tcMar>
            <w:vAlign w:val="center"/>
          </w:tcPr>
          <w:p w14:paraId="661B3E3B">
            <w:pPr>
              <w:adjustRightInd w:val="0"/>
              <w:snapToGrid w:val="0"/>
              <w:jc w:val="center"/>
              <w:rPr>
                <w:color w:val="auto"/>
                <w:sz w:val="24"/>
              </w:rPr>
            </w:pPr>
            <w:r>
              <w:rPr>
                <w:color w:val="auto"/>
                <w:sz w:val="24"/>
              </w:rPr>
              <w:t>施工工期</w:t>
            </w:r>
          </w:p>
        </w:tc>
        <w:tc>
          <w:tcPr>
            <w:tcW w:w="2856" w:type="dxa"/>
            <w:vAlign w:val="center"/>
          </w:tcPr>
          <w:p w14:paraId="64867251">
            <w:pPr>
              <w:adjustRightInd w:val="0"/>
              <w:snapToGrid w:val="0"/>
              <w:jc w:val="center"/>
              <w:rPr>
                <w:color w:val="auto"/>
                <w:sz w:val="24"/>
              </w:rPr>
            </w:pPr>
            <w:r>
              <w:rPr>
                <w:rFonts w:hint="eastAsia"/>
                <w:color w:val="auto"/>
                <w:sz w:val="24"/>
              </w:rPr>
              <w:t>2026年8月-2026年9月</w:t>
            </w:r>
          </w:p>
        </w:tc>
      </w:tr>
      <w:tr w14:paraId="6951A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66" w:type="dxa"/>
            <w:tcMar>
              <w:top w:w="16" w:type="dxa"/>
              <w:left w:w="16" w:type="dxa"/>
              <w:right w:w="16" w:type="dxa"/>
            </w:tcMar>
            <w:vAlign w:val="center"/>
          </w:tcPr>
          <w:p w14:paraId="6A1A76FE">
            <w:pPr>
              <w:adjustRightInd w:val="0"/>
              <w:snapToGrid w:val="0"/>
              <w:jc w:val="center"/>
              <w:rPr>
                <w:color w:val="auto"/>
                <w:sz w:val="24"/>
              </w:rPr>
            </w:pPr>
            <w:r>
              <w:rPr>
                <w:color w:val="auto"/>
                <w:sz w:val="24"/>
              </w:rPr>
              <w:t>是否开工建设</w:t>
            </w:r>
          </w:p>
        </w:tc>
        <w:tc>
          <w:tcPr>
            <w:tcW w:w="1853" w:type="dxa"/>
            <w:vAlign w:val="center"/>
          </w:tcPr>
          <w:p w14:paraId="62C41E24">
            <w:pPr>
              <w:adjustRightInd w:val="0"/>
              <w:snapToGrid w:val="0"/>
              <w:rPr>
                <w:color w:val="auto"/>
                <w:sz w:val="24"/>
              </w:rPr>
            </w:pPr>
            <w:r>
              <w:rPr>
                <w:rFonts w:hint="eastAsia"/>
                <w:color w:val="auto"/>
                <w:sz w:val="24"/>
              </w:rPr>
              <w:t>☑</w:t>
            </w:r>
            <w:r>
              <w:rPr>
                <w:color w:val="auto"/>
                <w:sz w:val="24"/>
              </w:rPr>
              <w:t>否</w:t>
            </w:r>
          </w:p>
          <w:p w14:paraId="23FBF1E5">
            <w:pPr>
              <w:adjustRightInd w:val="0"/>
              <w:snapToGrid w:val="0"/>
              <w:rPr>
                <w:color w:val="auto"/>
                <w:sz w:val="24"/>
              </w:rPr>
            </w:pPr>
            <w:r>
              <w:rPr>
                <w:rFonts w:hint="eastAsia"/>
                <w:color w:val="auto"/>
                <w:sz w:val="24"/>
              </w:rPr>
              <w:t>□</w:t>
            </w:r>
            <w:r>
              <w:rPr>
                <w:color w:val="auto"/>
                <w:sz w:val="24"/>
              </w:rPr>
              <w:t>是</w:t>
            </w:r>
          </w:p>
        </w:tc>
        <w:tc>
          <w:tcPr>
            <w:tcW w:w="1995" w:type="dxa"/>
            <w:shd w:val="clear" w:color="auto" w:fill="auto"/>
            <w:tcMar>
              <w:top w:w="16" w:type="dxa"/>
              <w:left w:w="16" w:type="dxa"/>
              <w:right w:w="16" w:type="dxa"/>
            </w:tcMar>
            <w:vAlign w:val="center"/>
          </w:tcPr>
          <w:p w14:paraId="41671EF2">
            <w:pPr>
              <w:adjustRightInd w:val="0"/>
              <w:snapToGrid w:val="0"/>
              <w:jc w:val="center"/>
              <w:rPr>
                <w:color w:val="auto"/>
                <w:spacing w:val="-6"/>
                <w:sz w:val="24"/>
              </w:rPr>
            </w:pPr>
            <w:r>
              <w:rPr>
                <w:color w:val="auto"/>
                <w:spacing w:val="-6"/>
                <w:sz w:val="24"/>
              </w:rPr>
              <w:t>用地（用海）</w:t>
            </w:r>
          </w:p>
          <w:p w14:paraId="01848EE9">
            <w:pPr>
              <w:adjustRightInd w:val="0"/>
              <w:snapToGrid w:val="0"/>
              <w:jc w:val="center"/>
              <w:rPr>
                <w:color w:val="auto"/>
                <w:sz w:val="24"/>
              </w:rPr>
            </w:pPr>
            <w:r>
              <w:rPr>
                <w:color w:val="auto"/>
                <w:spacing w:val="-6"/>
                <w:sz w:val="24"/>
              </w:rPr>
              <w:t>面积（m</w:t>
            </w:r>
            <w:r>
              <w:rPr>
                <w:color w:val="auto"/>
                <w:spacing w:val="-6"/>
                <w:sz w:val="24"/>
                <w:vertAlign w:val="superscript"/>
              </w:rPr>
              <w:t>2</w:t>
            </w:r>
            <w:r>
              <w:rPr>
                <w:color w:val="auto"/>
                <w:spacing w:val="-6"/>
                <w:sz w:val="24"/>
              </w:rPr>
              <w:t>）</w:t>
            </w:r>
          </w:p>
        </w:tc>
        <w:tc>
          <w:tcPr>
            <w:tcW w:w="2856" w:type="dxa"/>
            <w:shd w:val="clear" w:color="auto" w:fill="auto"/>
            <w:vAlign w:val="center"/>
          </w:tcPr>
          <w:p w14:paraId="477E2655">
            <w:pPr>
              <w:adjustRightInd w:val="0"/>
              <w:snapToGrid w:val="0"/>
              <w:jc w:val="center"/>
              <w:rPr>
                <w:color w:val="auto"/>
                <w:sz w:val="24"/>
              </w:rPr>
            </w:pPr>
            <w:r>
              <w:rPr>
                <w:rFonts w:hint="eastAsia"/>
                <w:color w:val="auto"/>
                <w:sz w:val="24"/>
              </w:rPr>
              <w:t>16474.68</w:t>
            </w:r>
          </w:p>
        </w:tc>
      </w:tr>
      <w:tr w14:paraId="65DABE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66" w:type="dxa"/>
            <w:vAlign w:val="center"/>
          </w:tcPr>
          <w:p w14:paraId="687E1B4E">
            <w:pPr>
              <w:autoSpaceDE w:val="0"/>
              <w:autoSpaceDN w:val="0"/>
              <w:adjustRightInd w:val="0"/>
              <w:snapToGrid w:val="0"/>
              <w:jc w:val="center"/>
              <w:rPr>
                <w:color w:val="auto"/>
                <w:kern w:val="0"/>
                <w:sz w:val="24"/>
              </w:rPr>
            </w:pPr>
            <w:r>
              <w:rPr>
                <w:color w:val="auto"/>
                <w:kern w:val="0"/>
                <w:sz w:val="24"/>
              </w:rPr>
              <w:t>专项评价设置情况</w:t>
            </w:r>
          </w:p>
        </w:tc>
        <w:tc>
          <w:tcPr>
            <w:tcW w:w="6704" w:type="dxa"/>
            <w:gridSpan w:val="3"/>
            <w:vAlign w:val="center"/>
          </w:tcPr>
          <w:p w14:paraId="45F8E0B6">
            <w:pPr>
              <w:autoSpaceDE w:val="0"/>
              <w:autoSpaceDN w:val="0"/>
              <w:adjustRightInd w:val="0"/>
              <w:snapToGrid w:val="0"/>
              <w:ind w:firstLine="480" w:firstLineChars="200"/>
              <w:jc w:val="left"/>
              <w:rPr>
                <w:color w:val="auto"/>
                <w:kern w:val="0"/>
                <w:sz w:val="24"/>
              </w:rPr>
            </w:pPr>
            <w:r>
              <w:rPr>
                <w:color w:val="auto"/>
                <w:kern w:val="0"/>
                <w:sz w:val="24"/>
              </w:rPr>
              <w:t>根据《建设项目环境影响报告表编制技术指南（污染影响类）（试行）》（环办环评</w:t>
            </w:r>
            <w:r>
              <w:rPr>
                <w:rFonts w:hint="eastAsia"/>
                <w:color w:val="auto"/>
                <w:kern w:val="0"/>
                <w:sz w:val="24"/>
              </w:rPr>
              <w:t>〔</w:t>
            </w:r>
            <w:r>
              <w:rPr>
                <w:color w:val="auto"/>
                <w:kern w:val="0"/>
                <w:sz w:val="24"/>
              </w:rPr>
              <w:t>2020</w:t>
            </w:r>
            <w:r>
              <w:rPr>
                <w:rFonts w:hint="eastAsia"/>
                <w:color w:val="auto"/>
                <w:kern w:val="0"/>
                <w:sz w:val="24"/>
              </w:rPr>
              <w:t>〕</w:t>
            </w:r>
            <w:r>
              <w:rPr>
                <w:color w:val="auto"/>
                <w:kern w:val="0"/>
                <w:sz w:val="24"/>
              </w:rPr>
              <w:t>33号）需要设置专项评价的情况详见表1-1。</w:t>
            </w:r>
          </w:p>
          <w:p w14:paraId="7DC430F0">
            <w:pPr>
              <w:autoSpaceDE w:val="0"/>
              <w:autoSpaceDN w:val="0"/>
              <w:adjustRightInd w:val="0"/>
              <w:snapToGrid w:val="0"/>
              <w:jc w:val="center"/>
              <w:rPr>
                <w:b/>
                <w:bCs/>
                <w:color w:val="auto"/>
                <w:kern w:val="0"/>
                <w:sz w:val="24"/>
              </w:rPr>
            </w:pPr>
            <w:r>
              <w:rPr>
                <w:b/>
                <w:bCs/>
                <w:color w:val="auto"/>
                <w:kern w:val="0"/>
                <w:szCs w:val="21"/>
              </w:rPr>
              <w:t>表1-1 专项评价设置情况</w:t>
            </w:r>
          </w:p>
          <w:tbl>
            <w:tblPr>
              <w:tblStyle w:val="35"/>
              <w:tblW w:w="7368"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99"/>
              <w:gridCol w:w="2633"/>
              <w:gridCol w:w="2941"/>
              <w:gridCol w:w="895"/>
            </w:tblGrid>
            <w:tr w14:paraId="6C0CEC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10" w:type="pct"/>
                  <w:tcBorders>
                    <w:tl2br w:val="nil"/>
                    <w:tr2bl w:val="nil"/>
                  </w:tcBorders>
                  <w:vAlign w:val="center"/>
                </w:tcPr>
                <w:p w14:paraId="14A7E630">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专项评价的类别</w:t>
                  </w:r>
                </w:p>
              </w:tc>
              <w:tc>
                <w:tcPr>
                  <w:tcW w:w="1786" w:type="pct"/>
                  <w:tcBorders>
                    <w:tl2br w:val="nil"/>
                    <w:tr2bl w:val="nil"/>
                  </w:tcBorders>
                  <w:vAlign w:val="center"/>
                </w:tcPr>
                <w:p w14:paraId="38B97349">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设置原则</w:t>
                  </w:r>
                </w:p>
              </w:tc>
              <w:tc>
                <w:tcPr>
                  <w:tcW w:w="1995" w:type="pct"/>
                  <w:tcBorders>
                    <w:tl2br w:val="nil"/>
                    <w:tr2bl w:val="nil"/>
                  </w:tcBorders>
                  <w:vAlign w:val="center"/>
                </w:tcPr>
                <w:p w14:paraId="6D00E1C6">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本项目情况</w:t>
                  </w:r>
                </w:p>
              </w:tc>
              <w:tc>
                <w:tcPr>
                  <w:tcW w:w="607" w:type="pct"/>
                  <w:tcBorders>
                    <w:tl2br w:val="nil"/>
                    <w:tr2bl w:val="nil"/>
                  </w:tcBorders>
                  <w:vAlign w:val="center"/>
                </w:tcPr>
                <w:p w14:paraId="0C805303">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是否设置专项评价</w:t>
                  </w:r>
                </w:p>
              </w:tc>
            </w:tr>
            <w:tr w14:paraId="4AC15D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10" w:type="pct"/>
                  <w:tcBorders>
                    <w:tl2br w:val="nil"/>
                    <w:tr2bl w:val="nil"/>
                  </w:tcBorders>
                  <w:vAlign w:val="center"/>
                </w:tcPr>
                <w:p w14:paraId="688D883E">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大气</w:t>
                  </w:r>
                </w:p>
              </w:tc>
              <w:tc>
                <w:tcPr>
                  <w:tcW w:w="1786" w:type="pct"/>
                  <w:tcBorders>
                    <w:tl2br w:val="nil"/>
                    <w:tr2bl w:val="nil"/>
                  </w:tcBorders>
                  <w:vAlign w:val="center"/>
                </w:tcPr>
                <w:p w14:paraId="447E7D0E">
                  <w:pPr>
                    <w:pStyle w:val="61"/>
                    <w:spacing w:line="240" w:lineRule="auto"/>
                    <w:ind w:left="0" w:firstLine="0"/>
                    <w:jc w:val="both"/>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排放废气含有毒有害污染物、二噁英、苯并[a]芘、氰化物、氯气且厂界外500米范围内有环境空气保护目标的建设项目</w:t>
                  </w:r>
                </w:p>
              </w:tc>
              <w:tc>
                <w:tcPr>
                  <w:tcW w:w="1995" w:type="pct"/>
                  <w:tcBorders>
                    <w:tl2br w:val="nil"/>
                    <w:tr2bl w:val="nil"/>
                  </w:tcBorders>
                  <w:vAlign w:val="center"/>
                </w:tcPr>
                <w:p w14:paraId="4A23727E">
                  <w:pPr>
                    <w:pStyle w:val="61"/>
                    <w:spacing w:line="240" w:lineRule="auto"/>
                    <w:ind w:left="0" w:firstLine="0"/>
                    <w:jc w:val="both"/>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本项目生物质分析报告中未体现汞含量，根据《直接法测定固体生物质燃料中汞的试验研究》（煤质技术，2020年）可知，生物质汞含量为15.47ng/g，生物质燃料汞含量极低。由于生物质汞含量极低的特点，本项目暂不开展汞及其化合物分析。因此，本项目不涉及大气专项设置原则中提及的有毒有害物质。</w:t>
                  </w:r>
                </w:p>
              </w:tc>
              <w:tc>
                <w:tcPr>
                  <w:tcW w:w="607" w:type="pct"/>
                  <w:tcBorders>
                    <w:tl2br w:val="nil"/>
                    <w:tr2bl w:val="nil"/>
                  </w:tcBorders>
                  <w:vAlign w:val="center"/>
                </w:tcPr>
                <w:p w14:paraId="20CB5D92">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否</w:t>
                  </w:r>
                </w:p>
              </w:tc>
            </w:tr>
            <w:tr w14:paraId="4569BF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10" w:type="pct"/>
                  <w:tcBorders>
                    <w:tl2br w:val="nil"/>
                    <w:tr2bl w:val="nil"/>
                  </w:tcBorders>
                  <w:vAlign w:val="center"/>
                </w:tcPr>
                <w:p w14:paraId="05B8311C">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地表水</w:t>
                  </w:r>
                </w:p>
              </w:tc>
              <w:tc>
                <w:tcPr>
                  <w:tcW w:w="1786" w:type="pct"/>
                  <w:tcBorders>
                    <w:tl2br w:val="nil"/>
                    <w:tr2bl w:val="nil"/>
                  </w:tcBorders>
                  <w:vAlign w:val="center"/>
                </w:tcPr>
                <w:p w14:paraId="6DC4251B">
                  <w:pPr>
                    <w:pStyle w:val="61"/>
                    <w:spacing w:line="240" w:lineRule="auto"/>
                    <w:ind w:left="0" w:firstLine="0"/>
                    <w:jc w:val="both"/>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新增工业废水直排建设项目(槽罐车外送污水处理厂的除外)：新增废水直排的污水集中处理厂</w:t>
                  </w:r>
                </w:p>
              </w:tc>
              <w:tc>
                <w:tcPr>
                  <w:tcW w:w="1995" w:type="pct"/>
                  <w:tcBorders>
                    <w:tl2br w:val="nil"/>
                    <w:tr2bl w:val="nil"/>
                  </w:tcBorders>
                  <w:vAlign w:val="center"/>
                </w:tcPr>
                <w:p w14:paraId="3492FABC">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本项目不属于工业废水直排建设项目以及废水直排的污水集中处理厂</w:t>
                  </w:r>
                  <w:r>
                    <w:rPr>
                      <w:rStyle w:val="46"/>
                      <w:rFonts w:hint="eastAsia" w:ascii="Times New Roman" w:hAnsi="Times New Roman" w:eastAsia="宋体" w:cs="Times New Roman"/>
                      <w:color w:val="auto"/>
                      <w:kern w:val="2"/>
                    </w:rPr>
                    <w:t>。</w:t>
                  </w:r>
                </w:p>
              </w:tc>
              <w:tc>
                <w:tcPr>
                  <w:tcW w:w="607" w:type="pct"/>
                  <w:tcBorders>
                    <w:tl2br w:val="nil"/>
                    <w:tr2bl w:val="nil"/>
                  </w:tcBorders>
                  <w:vAlign w:val="center"/>
                </w:tcPr>
                <w:p w14:paraId="1AF54A70">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否</w:t>
                  </w:r>
                </w:p>
              </w:tc>
            </w:tr>
            <w:tr w14:paraId="3C5C511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610" w:type="pct"/>
                  <w:tcBorders>
                    <w:tl2br w:val="nil"/>
                    <w:tr2bl w:val="nil"/>
                  </w:tcBorders>
                  <w:vAlign w:val="center"/>
                </w:tcPr>
                <w:p w14:paraId="36321525">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环境风险</w:t>
                  </w:r>
                </w:p>
              </w:tc>
              <w:tc>
                <w:tcPr>
                  <w:tcW w:w="1786" w:type="pct"/>
                  <w:tcBorders>
                    <w:tl2br w:val="nil"/>
                    <w:tr2bl w:val="nil"/>
                  </w:tcBorders>
                  <w:vAlign w:val="center"/>
                </w:tcPr>
                <w:p w14:paraId="52E64F60">
                  <w:pPr>
                    <w:pStyle w:val="61"/>
                    <w:spacing w:line="240" w:lineRule="auto"/>
                    <w:ind w:left="0" w:firstLine="0"/>
                    <w:jc w:val="both"/>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有毒有害和易燃易爆危险物质存储量超过临界量的建设项目。</w:t>
                  </w:r>
                </w:p>
              </w:tc>
              <w:tc>
                <w:tcPr>
                  <w:tcW w:w="1995" w:type="pct"/>
                  <w:tcBorders>
                    <w:tl2br w:val="nil"/>
                    <w:tr2bl w:val="nil"/>
                  </w:tcBorders>
                  <w:vAlign w:val="center"/>
                </w:tcPr>
                <w:p w14:paraId="534DFCA7">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本项目不涉及</w:t>
                  </w:r>
                </w:p>
              </w:tc>
              <w:tc>
                <w:tcPr>
                  <w:tcW w:w="607" w:type="pct"/>
                  <w:tcBorders>
                    <w:tl2br w:val="nil"/>
                    <w:tr2bl w:val="nil"/>
                  </w:tcBorders>
                  <w:vAlign w:val="center"/>
                </w:tcPr>
                <w:p w14:paraId="5E1B8959">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否</w:t>
                  </w:r>
                </w:p>
              </w:tc>
            </w:tr>
            <w:tr w14:paraId="33719B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10" w:type="pct"/>
                  <w:tcBorders>
                    <w:tl2br w:val="nil"/>
                    <w:tr2bl w:val="nil"/>
                  </w:tcBorders>
                  <w:vAlign w:val="center"/>
                </w:tcPr>
                <w:p w14:paraId="66F8EA68">
                  <w:pPr>
                    <w:pStyle w:val="61"/>
                    <w:spacing w:line="240" w:lineRule="auto"/>
                    <w:ind w:left="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生态</w:t>
                  </w:r>
                </w:p>
              </w:tc>
              <w:tc>
                <w:tcPr>
                  <w:tcW w:w="1786" w:type="pct"/>
                  <w:tcBorders>
                    <w:tl2br w:val="nil"/>
                    <w:tr2bl w:val="nil"/>
                  </w:tcBorders>
                  <w:vAlign w:val="center"/>
                </w:tcPr>
                <w:p w14:paraId="2EB537E8">
                  <w:pPr>
                    <w:pStyle w:val="61"/>
                    <w:spacing w:line="240" w:lineRule="auto"/>
                    <w:ind w:left="0" w:firstLine="0"/>
                    <w:jc w:val="both"/>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涉及环境敏感区（不包括饮用水水源保护区，以居住、医疗卫生、文化教育、科研、行政办公为主要功能的区域，以及文物保护单位）的项目</w:t>
                  </w:r>
                  <w:r>
                    <w:rPr>
                      <w:rFonts w:hint="eastAsia" w:ascii="Times New Roman" w:hAnsi="Times New Roman" w:eastAsia="宋体" w:cs="Times New Roman"/>
                      <w:color w:val="auto"/>
                      <w:kern w:val="2"/>
                      <w:sz w:val="21"/>
                      <w:lang w:bidi="ar"/>
                    </w:rPr>
                    <w:t>。</w:t>
                  </w:r>
                </w:p>
              </w:tc>
              <w:tc>
                <w:tcPr>
                  <w:tcW w:w="1995" w:type="pct"/>
                  <w:tcBorders>
                    <w:tl2br w:val="nil"/>
                    <w:tr2bl w:val="nil"/>
                  </w:tcBorders>
                  <w:vAlign w:val="center"/>
                </w:tcPr>
                <w:p w14:paraId="2E80702E">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本项目不涉及</w:t>
                  </w:r>
                </w:p>
              </w:tc>
              <w:tc>
                <w:tcPr>
                  <w:tcW w:w="607" w:type="pct"/>
                  <w:tcBorders>
                    <w:tl2br w:val="nil"/>
                    <w:tr2bl w:val="nil"/>
                  </w:tcBorders>
                  <w:vAlign w:val="center"/>
                </w:tcPr>
                <w:p w14:paraId="65B62ABB">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否</w:t>
                  </w:r>
                </w:p>
              </w:tc>
            </w:tr>
            <w:tr w14:paraId="592449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10" w:type="pct"/>
                  <w:tcBorders>
                    <w:tl2br w:val="nil"/>
                    <w:tr2bl w:val="nil"/>
                  </w:tcBorders>
                  <w:vAlign w:val="center"/>
                </w:tcPr>
                <w:p w14:paraId="0F6B3B09">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海洋</w:t>
                  </w:r>
                </w:p>
              </w:tc>
              <w:tc>
                <w:tcPr>
                  <w:tcW w:w="1786" w:type="pct"/>
                  <w:tcBorders>
                    <w:tl2br w:val="nil"/>
                    <w:tr2bl w:val="nil"/>
                  </w:tcBorders>
                  <w:vAlign w:val="center"/>
                </w:tcPr>
                <w:p w14:paraId="10FCF24E">
                  <w:pPr>
                    <w:pStyle w:val="61"/>
                    <w:spacing w:line="240" w:lineRule="auto"/>
                    <w:ind w:left="0" w:firstLine="0"/>
                    <w:jc w:val="both"/>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直接向海排放污染物的海洋工程建设项目。</w:t>
                  </w:r>
                </w:p>
              </w:tc>
              <w:tc>
                <w:tcPr>
                  <w:tcW w:w="1995" w:type="pct"/>
                  <w:tcBorders>
                    <w:tl2br w:val="nil"/>
                    <w:tr2bl w:val="nil"/>
                  </w:tcBorders>
                  <w:vAlign w:val="center"/>
                </w:tcPr>
                <w:p w14:paraId="3BA7B60D">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本项目不属于向海洋排放污染物的建设项目</w:t>
                  </w:r>
                  <w:r>
                    <w:rPr>
                      <w:rFonts w:hint="eastAsia" w:ascii="Times New Roman" w:hAnsi="Times New Roman" w:eastAsia="宋体" w:cs="Times New Roman"/>
                      <w:color w:val="auto"/>
                      <w:kern w:val="2"/>
                      <w:sz w:val="21"/>
                      <w:lang w:bidi="ar"/>
                    </w:rPr>
                    <w:t>。</w:t>
                  </w:r>
                </w:p>
              </w:tc>
              <w:tc>
                <w:tcPr>
                  <w:tcW w:w="607" w:type="pct"/>
                  <w:tcBorders>
                    <w:tl2br w:val="nil"/>
                    <w:tr2bl w:val="nil"/>
                  </w:tcBorders>
                  <w:vAlign w:val="center"/>
                </w:tcPr>
                <w:p w14:paraId="1D1E678A">
                  <w:pPr>
                    <w:pStyle w:val="61"/>
                    <w:spacing w:line="240" w:lineRule="auto"/>
                    <w:ind w:left="0" w:firstLine="0"/>
                    <w:jc w:val="center"/>
                    <w:textAlignment w:val="auto"/>
                    <w:rPr>
                      <w:rFonts w:ascii="Times New Roman" w:hAnsi="Times New Roman" w:eastAsia="宋体" w:cs="Times New Roman"/>
                      <w:color w:val="auto"/>
                      <w:kern w:val="2"/>
                      <w:sz w:val="21"/>
                      <w:lang w:bidi="ar"/>
                    </w:rPr>
                  </w:pPr>
                  <w:r>
                    <w:rPr>
                      <w:rFonts w:ascii="Times New Roman" w:hAnsi="Times New Roman" w:eastAsia="宋体" w:cs="Times New Roman"/>
                      <w:color w:val="auto"/>
                      <w:kern w:val="2"/>
                      <w:sz w:val="21"/>
                      <w:lang w:bidi="ar"/>
                    </w:rPr>
                    <w:t>否</w:t>
                  </w:r>
                </w:p>
              </w:tc>
            </w:tr>
          </w:tbl>
          <w:p w14:paraId="4839B1C6">
            <w:pPr>
              <w:autoSpaceDE w:val="0"/>
              <w:autoSpaceDN w:val="0"/>
              <w:adjustRightInd w:val="0"/>
              <w:snapToGrid w:val="0"/>
              <w:jc w:val="center"/>
              <w:rPr>
                <w:color w:val="auto"/>
                <w:kern w:val="0"/>
                <w:sz w:val="24"/>
              </w:rPr>
            </w:pPr>
          </w:p>
        </w:tc>
      </w:tr>
      <w:tr w14:paraId="4089B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166" w:type="dxa"/>
            <w:vAlign w:val="center"/>
          </w:tcPr>
          <w:p w14:paraId="5329B255">
            <w:pPr>
              <w:autoSpaceDE w:val="0"/>
              <w:autoSpaceDN w:val="0"/>
              <w:adjustRightInd w:val="0"/>
              <w:snapToGrid w:val="0"/>
              <w:jc w:val="center"/>
              <w:rPr>
                <w:color w:val="auto"/>
                <w:kern w:val="0"/>
                <w:sz w:val="24"/>
              </w:rPr>
            </w:pPr>
            <w:r>
              <w:rPr>
                <w:color w:val="auto"/>
                <w:sz w:val="24"/>
              </w:rPr>
              <w:t>规划情况</w:t>
            </w:r>
          </w:p>
        </w:tc>
        <w:tc>
          <w:tcPr>
            <w:tcW w:w="6704" w:type="dxa"/>
            <w:gridSpan w:val="3"/>
            <w:vAlign w:val="center"/>
          </w:tcPr>
          <w:p w14:paraId="46F5F44A">
            <w:pPr>
              <w:autoSpaceDE w:val="0"/>
              <w:autoSpaceDN w:val="0"/>
              <w:adjustRightInd w:val="0"/>
              <w:snapToGrid w:val="0"/>
              <w:jc w:val="center"/>
              <w:rPr>
                <w:color w:val="auto"/>
                <w:kern w:val="0"/>
                <w:sz w:val="24"/>
              </w:rPr>
            </w:pPr>
            <w:r>
              <w:rPr>
                <w:color w:val="auto"/>
                <w:kern w:val="0"/>
                <w:sz w:val="24"/>
              </w:rPr>
              <w:t>无</w:t>
            </w:r>
          </w:p>
        </w:tc>
      </w:tr>
      <w:tr w14:paraId="6FC68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166" w:type="dxa"/>
            <w:vAlign w:val="center"/>
          </w:tcPr>
          <w:p w14:paraId="6C8022F6">
            <w:pPr>
              <w:adjustRightInd w:val="0"/>
              <w:snapToGrid w:val="0"/>
              <w:jc w:val="center"/>
              <w:rPr>
                <w:color w:val="auto"/>
                <w:sz w:val="24"/>
              </w:rPr>
            </w:pPr>
            <w:r>
              <w:rPr>
                <w:color w:val="auto"/>
                <w:sz w:val="24"/>
              </w:rPr>
              <w:t>规划环境影响</w:t>
            </w:r>
          </w:p>
          <w:p w14:paraId="0338B0BE">
            <w:pPr>
              <w:adjustRightInd w:val="0"/>
              <w:snapToGrid w:val="0"/>
              <w:jc w:val="center"/>
              <w:rPr>
                <w:color w:val="auto"/>
                <w:kern w:val="0"/>
                <w:sz w:val="24"/>
              </w:rPr>
            </w:pPr>
            <w:r>
              <w:rPr>
                <w:color w:val="auto"/>
                <w:sz w:val="24"/>
              </w:rPr>
              <w:t>评价情况</w:t>
            </w:r>
          </w:p>
        </w:tc>
        <w:tc>
          <w:tcPr>
            <w:tcW w:w="6704" w:type="dxa"/>
            <w:gridSpan w:val="3"/>
            <w:vAlign w:val="center"/>
          </w:tcPr>
          <w:p w14:paraId="3AE676E3">
            <w:pPr>
              <w:autoSpaceDE w:val="0"/>
              <w:autoSpaceDN w:val="0"/>
              <w:adjustRightInd w:val="0"/>
              <w:snapToGrid w:val="0"/>
              <w:jc w:val="center"/>
              <w:rPr>
                <w:color w:val="auto"/>
                <w:kern w:val="0"/>
                <w:sz w:val="24"/>
              </w:rPr>
            </w:pPr>
            <w:r>
              <w:rPr>
                <w:color w:val="auto"/>
                <w:kern w:val="0"/>
                <w:sz w:val="24"/>
              </w:rPr>
              <w:t>无</w:t>
            </w:r>
          </w:p>
        </w:tc>
      </w:tr>
      <w:tr w14:paraId="3C64E4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6" w:type="dxa"/>
            <w:vAlign w:val="center"/>
          </w:tcPr>
          <w:p w14:paraId="7AD272A2">
            <w:pPr>
              <w:autoSpaceDE w:val="0"/>
              <w:autoSpaceDN w:val="0"/>
              <w:adjustRightInd w:val="0"/>
              <w:snapToGrid w:val="0"/>
              <w:jc w:val="center"/>
              <w:rPr>
                <w:color w:val="auto"/>
                <w:kern w:val="0"/>
                <w:sz w:val="24"/>
              </w:rPr>
            </w:pPr>
            <w:r>
              <w:rPr>
                <w:color w:val="auto"/>
                <w:kern w:val="0"/>
                <w:sz w:val="24"/>
              </w:rPr>
              <w:t>规划及规划环境影响评价符合性分析</w:t>
            </w:r>
          </w:p>
        </w:tc>
        <w:tc>
          <w:tcPr>
            <w:tcW w:w="6704" w:type="dxa"/>
            <w:gridSpan w:val="3"/>
            <w:vAlign w:val="center"/>
          </w:tcPr>
          <w:p w14:paraId="2B0C2E15">
            <w:pPr>
              <w:autoSpaceDE w:val="0"/>
              <w:autoSpaceDN w:val="0"/>
              <w:adjustRightInd w:val="0"/>
              <w:snapToGrid w:val="0"/>
              <w:jc w:val="center"/>
              <w:rPr>
                <w:color w:val="auto"/>
                <w:kern w:val="0"/>
                <w:sz w:val="24"/>
              </w:rPr>
            </w:pPr>
            <w:r>
              <w:rPr>
                <w:color w:val="auto"/>
                <w:kern w:val="0"/>
                <w:sz w:val="24"/>
              </w:rPr>
              <w:t>无</w:t>
            </w:r>
          </w:p>
        </w:tc>
      </w:tr>
      <w:tr w14:paraId="02782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66" w:type="dxa"/>
            <w:vAlign w:val="center"/>
          </w:tcPr>
          <w:p w14:paraId="4F795067">
            <w:pPr>
              <w:autoSpaceDE w:val="0"/>
              <w:autoSpaceDN w:val="0"/>
              <w:adjustRightInd w:val="0"/>
              <w:snapToGrid w:val="0"/>
              <w:jc w:val="center"/>
              <w:rPr>
                <w:color w:val="auto"/>
                <w:kern w:val="0"/>
                <w:sz w:val="24"/>
              </w:rPr>
            </w:pPr>
            <w:r>
              <w:rPr>
                <w:color w:val="auto"/>
                <w:kern w:val="0"/>
                <w:sz w:val="24"/>
              </w:rPr>
              <w:t>其他符合性分析</w:t>
            </w:r>
          </w:p>
        </w:tc>
        <w:tc>
          <w:tcPr>
            <w:tcW w:w="6704" w:type="dxa"/>
            <w:gridSpan w:val="3"/>
            <w:vAlign w:val="center"/>
          </w:tcPr>
          <w:p w14:paraId="4AB410CD">
            <w:pPr>
              <w:spacing w:line="360" w:lineRule="auto"/>
              <w:ind w:firstLine="482" w:firstLineChars="200"/>
              <w:rPr>
                <w:color w:val="auto"/>
                <w:sz w:val="24"/>
              </w:rPr>
            </w:pPr>
            <w:r>
              <w:rPr>
                <w:b/>
                <w:bCs/>
                <w:color w:val="auto"/>
                <w:sz w:val="24"/>
              </w:rPr>
              <w:t>1、产业政策相符性</w:t>
            </w:r>
          </w:p>
          <w:p w14:paraId="58A1B327">
            <w:pPr>
              <w:spacing w:line="360" w:lineRule="auto"/>
              <w:ind w:firstLine="480" w:firstLineChars="200"/>
              <w:rPr>
                <w:color w:val="auto"/>
                <w:kern w:val="0"/>
                <w:sz w:val="24"/>
              </w:rPr>
            </w:pPr>
            <w:r>
              <w:rPr>
                <w:rFonts w:hint="eastAsia"/>
                <w:color w:val="auto"/>
                <w:kern w:val="0"/>
                <w:sz w:val="24"/>
              </w:rPr>
              <w:t>根据《产业结构调整指导目录（2024年）》的“限制类”中“57．每小时35蒸吨及以下固定炉排式生物质锅炉 ；58．县级及以上城市建成区每小时35蒸吨以下的燃煤锅炉，其他区域每小时10蒸吨以下的燃煤锅炉”。本项目属于农产品初加工及热力生产及供应项目，建设2台360万kcal</w:t>
            </w:r>
            <w:r>
              <w:rPr>
                <w:rFonts w:hint="eastAsia"/>
                <w:color w:val="auto"/>
                <w:kern w:val="0"/>
                <w:sz w:val="24"/>
                <w:lang w:val="en-US" w:eastAsia="zh-CN"/>
              </w:rPr>
              <w:t>/h</w:t>
            </w:r>
            <w:r>
              <w:rPr>
                <w:rFonts w:hint="eastAsia"/>
                <w:color w:val="auto"/>
                <w:kern w:val="0"/>
                <w:sz w:val="24"/>
              </w:rPr>
              <w:t>生物质链条炉排热风炉，不属于锅炉，所属行业为工业窑炉，不属于固定炉排式生物质锅炉；主要用于干燥领域，通过燃烧燃料产生高温热风，实现粮食烘干的目的，不属于限制类。项目所用设备无《产业结构调整指导目录(2024年)》中限制、淘汰类设备。项目符合国家产业政策及有关部门的相关行业规定，项目实施后可以促进当地的经济发展。</w:t>
            </w:r>
          </w:p>
          <w:p w14:paraId="62F5A598">
            <w:pPr>
              <w:spacing w:line="360" w:lineRule="auto"/>
              <w:ind w:firstLine="482" w:firstLineChars="200"/>
              <w:rPr>
                <w:b/>
                <w:color w:val="auto"/>
                <w:sz w:val="24"/>
              </w:rPr>
            </w:pPr>
            <w:r>
              <w:rPr>
                <w:b/>
                <w:color w:val="auto"/>
                <w:sz w:val="24"/>
              </w:rPr>
              <w:t>2、生态环境分区管控符合性分析</w:t>
            </w:r>
          </w:p>
          <w:p w14:paraId="01C8D86C">
            <w:pPr>
              <w:spacing w:line="360" w:lineRule="auto"/>
              <w:ind w:firstLine="480" w:firstLineChars="200"/>
              <w:rPr>
                <w:snapToGrid w:val="0"/>
                <w:color w:val="auto"/>
                <w:kern w:val="44"/>
                <w:sz w:val="24"/>
                <w:szCs w:val="30"/>
              </w:rPr>
            </w:pPr>
            <w:r>
              <w:rPr>
                <w:rFonts w:hint="eastAsia"/>
                <w:snapToGrid w:val="0"/>
                <w:color w:val="auto"/>
                <w:kern w:val="44"/>
                <w:sz w:val="24"/>
                <w:szCs w:val="30"/>
              </w:rPr>
              <w:t>本项目位于</w:t>
            </w:r>
            <w:r>
              <w:rPr>
                <w:rFonts w:hint="eastAsia"/>
                <w:color w:val="auto"/>
                <w:sz w:val="24"/>
                <w:lang w:bidi="ar"/>
              </w:rPr>
              <w:t>黑龙江省佳木斯市桦川县东河乡兴华屯</w:t>
            </w:r>
            <w:r>
              <w:rPr>
                <w:rFonts w:hint="eastAsia"/>
                <w:snapToGrid w:val="0"/>
                <w:color w:val="auto"/>
                <w:kern w:val="44"/>
                <w:sz w:val="24"/>
                <w:szCs w:val="30"/>
              </w:rPr>
              <w:t>，根据2024年1月22日黑龙江省生态环境厅《关于发布2023年生态环境分区管控动态更新成果的通知》（黑环发〔2024〕1号）、</w:t>
            </w:r>
            <w:r>
              <w:rPr>
                <w:color w:val="auto"/>
                <w:sz w:val="24"/>
                <w:lang w:bidi="ar"/>
              </w:rPr>
              <w:t>《佳木斯市人民政府关于实施“三线一单”生态环境分区管控的意见》（佳政规〔2021〕4号）</w:t>
            </w:r>
            <w:r>
              <w:rPr>
                <w:rFonts w:hint="eastAsia"/>
                <w:snapToGrid w:val="0"/>
                <w:color w:val="auto"/>
                <w:kern w:val="44"/>
                <w:sz w:val="24"/>
                <w:szCs w:val="30"/>
              </w:rPr>
              <w:t>和黑龙江省生态环境分区管控数据应用平台，本项目位于桦川县其他区域一般管控单元（ZH23082630002）。</w:t>
            </w:r>
          </w:p>
          <w:p w14:paraId="37A1EA4F">
            <w:pPr>
              <w:spacing w:line="360" w:lineRule="auto"/>
              <w:ind w:firstLine="480" w:firstLineChars="200"/>
              <w:rPr>
                <w:snapToGrid w:val="0"/>
                <w:color w:val="auto"/>
                <w:kern w:val="44"/>
                <w:sz w:val="24"/>
                <w:szCs w:val="30"/>
              </w:rPr>
            </w:pPr>
            <w:r>
              <w:rPr>
                <w:rFonts w:hint="eastAsia"/>
                <w:snapToGrid w:val="0"/>
                <w:color w:val="auto"/>
                <w:kern w:val="44"/>
                <w:sz w:val="24"/>
                <w:szCs w:val="30"/>
              </w:rPr>
              <w:t>（1）“一图”</w:t>
            </w:r>
          </w:p>
          <w:p w14:paraId="0208AE75">
            <w:pPr>
              <w:spacing w:line="360" w:lineRule="auto"/>
              <w:ind w:firstLine="480" w:firstLineChars="200"/>
              <w:rPr>
                <w:snapToGrid w:val="0"/>
                <w:color w:val="auto"/>
                <w:kern w:val="44"/>
                <w:sz w:val="24"/>
                <w:szCs w:val="30"/>
              </w:rPr>
            </w:pPr>
            <w:r>
              <w:rPr>
                <w:rFonts w:hint="eastAsia"/>
                <w:snapToGrid w:val="0"/>
                <w:color w:val="auto"/>
                <w:kern w:val="44"/>
                <w:sz w:val="24"/>
                <w:szCs w:val="30"/>
              </w:rPr>
              <w:t>根据《</w:t>
            </w:r>
            <w:r>
              <w:rPr>
                <w:rFonts w:hint="eastAsia"/>
                <w:color w:val="auto"/>
                <w:sz w:val="24"/>
              </w:rPr>
              <w:t>桦川县恒恒升水稻种植专业合作社粮食烘干项目</w:t>
            </w:r>
            <w:r>
              <w:rPr>
                <w:rFonts w:hint="eastAsia"/>
                <w:snapToGrid w:val="0"/>
                <w:color w:val="auto"/>
                <w:kern w:val="44"/>
                <w:sz w:val="24"/>
                <w:szCs w:val="30"/>
              </w:rPr>
              <w:t>生态环境分区管控分析报告》，本项目与“生态环境分区管控”的符合性如下：</w:t>
            </w:r>
          </w:p>
          <w:p w14:paraId="5ACE9347">
            <w:pPr>
              <w:pStyle w:val="53"/>
              <w:ind w:firstLine="0" w:firstLineChars="0"/>
              <w:jc w:val="center"/>
              <w:rPr>
                <w:color w:val="auto"/>
              </w:rPr>
            </w:pPr>
            <w:r>
              <w:rPr>
                <w:color w:val="auto"/>
              </w:rPr>
              <w:drawing>
                <wp:inline distT="0" distB="0" distL="114300" distR="114300">
                  <wp:extent cx="3917950" cy="2169160"/>
                  <wp:effectExtent l="0" t="0" r="0" b="0"/>
                  <wp:docPr id="46" name="图片 11" descr="C:/Users/Administrator/Desktop/恒恒升材料/恒恒升三线一单/桦川县恒恒升水稻种植专业合作社粮食烘干_2026年03月12日093022_分析报告_07.png桦川县恒恒升水稻种植专业合作社粮食烘干_2026年03月12日093022_分析报告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1" descr="C:/Users/Administrator/Desktop/恒恒升材料/恒恒升三线一单/桦川县恒恒升水稻种植专业合作社粮食烘干_2026年03月12日093022_分析报告_07.png桦川县恒恒升水稻种植专业合作社粮食烘干_2026年03月12日093022_分析报告_07"/>
                          <pic:cNvPicPr>
                            <a:picLocks noChangeAspect="1"/>
                          </pic:cNvPicPr>
                        </pic:nvPicPr>
                        <pic:blipFill>
                          <a:blip r:embed="rId13"/>
                          <a:srcRect l="8865" t="11965" r="8138" b="23055"/>
                          <a:stretch>
                            <a:fillRect/>
                          </a:stretch>
                        </pic:blipFill>
                        <pic:spPr>
                          <a:xfrm>
                            <a:off x="0" y="0"/>
                            <a:ext cx="3917950" cy="2169160"/>
                          </a:xfrm>
                          <a:prstGeom prst="rect">
                            <a:avLst/>
                          </a:prstGeom>
                          <a:noFill/>
                          <a:ln>
                            <a:noFill/>
                          </a:ln>
                        </pic:spPr>
                      </pic:pic>
                    </a:graphicData>
                  </a:graphic>
                </wp:inline>
              </w:drawing>
            </w:r>
          </w:p>
          <w:p w14:paraId="4427849A">
            <w:pPr>
              <w:spacing w:line="360" w:lineRule="auto"/>
              <w:jc w:val="center"/>
              <w:rPr>
                <w:rFonts w:ascii="宋体" w:hAnsi="宋体" w:cs="宋体"/>
                <w:color w:val="auto"/>
                <w:sz w:val="24"/>
              </w:rPr>
            </w:pPr>
            <w:r>
              <w:rPr>
                <w:rFonts w:hint="eastAsia"/>
                <w:b/>
                <w:bCs/>
                <w:color w:val="auto"/>
                <w:szCs w:val="21"/>
              </w:rPr>
              <w:t xml:space="preserve">图1-1 </w:t>
            </w:r>
            <w:r>
              <w:rPr>
                <w:b/>
                <w:bCs/>
                <w:color w:val="auto"/>
                <w:szCs w:val="21"/>
              </w:rPr>
              <w:t>本项目生态环境分区管控分析报告截图</w:t>
            </w:r>
          </w:p>
          <w:p w14:paraId="13DEF81B">
            <w:pPr>
              <w:autoSpaceDE w:val="0"/>
              <w:autoSpaceDN w:val="0"/>
              <w:ind w:firstLine="480" w:firstLineChars="200"/>
              <w:rPr>
                <w:rFonts w:cs="宋体"/>
                <w:bCs/>
                <w:color w:val="auto"/>
                <w:sz w:val="24"/>
                <w:szCs w:val="21"/>
              </w:rPr>
            </w:pPr>
            <w:r>
              <w:rPr>
                <w:rFonts w:hint="eastAsia" w:cs="宋体"/>
                <w:bCs/>
                <w:color w:val="auto"/>
                <w:sz w:val="24"/>
                <w:szCs w:val="21"/>
              </w:rPr>
              <w:t>（2）“一表”</w:t>
            </w:r>
          </w:p>
          <w:p w14:paraId="67AD5C66">
            <w:pPr>
              <w:pStyle w:val="33"/>
              <w:widowControl/>
              <w:snapToGrid w:val="0"/>
              <w:ind w:firstLine="0" w:firstLineChars="0"/>
              <w:jc w:val="center"/>
              <w:rPr>
                <w:color w:val="auto"/>
              </w:rPr>
            </w:pPr>
            <w:r>
              <w:rPr>
                <w:b/>
                <w:bCs/>
                <w:color w:val="auto"/>
                <w:szCs w:val="21"/>
              </w:rPr>
              <w:t>表1-1 生态环境准入清单符合性分析</w:t>
            </w:r>
          </w:p>
          <w:tbl>
            <w:tblPr>
              <w:tblStyle w:val="35"/>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473"/>
              <w:gridCol w:w="473"/>
              <w:gridCol w:w="473"/>
              <w:gridCol w:w="2248"/>
              <w:gridCol w:w="1862"/>
            </w:tblGrid>
            <w:tr w14:paraId="3FFB85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245" w:type="pct"/>
                  <w:vAlign w:val="center"/>
                </w:tcPr>
                <w:p w14:paraId="56C3861D">
                  <w:pPr>
                    <w:widowControl/>
                    <w:jc w:val="center"/>
                    <w:rPr>
                      <w:bCs/>
                      <w:color w:val="auto"/>
                      <w:kern w:val="0"/>
                      <w:szCs w:val="21"/>
                    </w:rPr>
                  </w:pPr>
                  <w:r>
                    <w:rPr>
                      <w:bCs/>
                      <w:color w:val="auto"/>
                      <w:kern w:val="0"/>
                      <w:szCs w:val="21"/>
                    </w:rPr>
                    <w:t>环境管控单元编码</w:t>
                  </w:r>
                </w:p>
              </w:tc>
              <w:tc>
                <w:tcPr>
                  <w:tcW w:w="321" w:type="pct"/>
                  <w:vAlign w:val="center"/>
                </w:tcPr>
                <w:p w14:paraId="6C113759">
                  <w:pPr>
                    <w:widowControl/>
                    <w:jc w:val="center"/>
                    <w:rPr>
                      <w:bCs/>
                      <w:color w:val="auto"/>
                      <w:kern w:val="0"/>
                      <w:szCs w:val="21"/>
                    </w:rPr>
                  </w:pPr>
                  <w:r>
                    <w:rPr>
                      <w:bCs/>
                      <w:color w:val="auto"/>
                      <w:kern w:val="0"/>
                      <w:szCs w:val="21"/>
                    </w:rPr>
                    <w:t>环境管控单元名称</w:t>
                  </w:r>
                </w:p>
              </w:tc>
              <w:tc>
                <w:tcPr>
                  <w:tcW w:w="321" w:type="pct"/>
                  <w:vAlign w:val="center"/>
                </w:tcPr>
                <w:p w14:paraId="7B1F9896">
                  <w:pPr>
                    <w:widowControl/>
                    <w:jc w:val="center"/>
                    <w:rPr>
                      <w:bCs/>
                      <w:color w:val="auto"/>
                      <w:kern w:val="0"/>
                      <w:szCs w:val="21"/>
                    </w:rPr>
                  </w:pPr>
                  <w:r>
                    <w:rPr>
                      <w:bCs/>
                      <w:color w:val="auto"/>
                      <w:kern w:val="0"/>
                      <w:szCs w:val="21"/>
                    </w:rPr>
                    <w:t>管控单元类别</w:t>
                  </w:r>
                </w:p>
              </w:tc>
              <w:tc>
                <w:tcPr>
                  <w:tcW w:w="1847" w:type="pct"/>
                  <w:gridSpan w:val="2"/>
                  <w:vAlign w:val="center"/>
                </w:tcPr>
                <w:p w14:paraId="4DF88B5A">
                  <w:pPr>
                    <w:jc w:val="center"/>
                    <w:rPr>
                      <w:bCs/>
                      <w:color w:val="auto"/>
                      <w:kern w:val="0"/>
                      <w:szCs w:val="21"/>
                    </w:rPr>
                  </w:pPr>
                  <w:r>
                    <w:rPr>
                      <w:bCs/>
                      <w:color w:val="auto"/>
                      <w:kern w:val="0"/>
                      <w:szCs w:val="21"/>
                    </w:rPr>
                    <w:t>管控要求</w:t>
                  </w:r>
                </w:p>
              </w:tc>
              <w:tc>
                <w:tcPr>
                  <w:tcW w:w="1264" w:type="pct"/>
                  <w:vAlign w:val="center"/>
                </w:tcPr>
                <w:p w14:paraId="30819A32">
                  <w:pPr>
                    <w:widowControl/>
                    <w:jc w:val="center"/>
                    <w:rPr>
                      <w:bCs/>
                      <w:color w:val="auto"/>
                      <w:kern w:val="0"/>
                      <w:szCs w:val="21"/>
                    </w:rPr>
                  </w:pPr>
                  <w:r>
                    <w:rPr>
                      <w:bCs/>
                      <w:color w:val="auto"/>
                      <w:kern w:val="0"/>
                      <w:szCs w:val="21"/>
                    </w:rPr>
                    <w:t>符合性分析</w:t>
                  </w:r>
                </w:p>
              </w:tc>
            </w:tr>
            <w:tr w14:paraId="787367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45" w:type="pct"/>
                  <w:vAlign w:val="center"/>
                </w:tcPr>
                <w:p w14:paraId="07949EA5">
                  <w:pPr>
                    <w:widowControl/>
                    <w:jc w:val="center"/>
                    <w:rPr>
                      <w:color w:val="auto"/>
                      <w:kern w:val="0"/>
                      <w:szCs w:val="21"/>
                    </w:rPr>
                  </w:pPr>
                  <w:r>
                    <w:rPr>
                      <w:color w:val="auto"/>
                      <w:kern w:val="0"/>
                      <w:szCs w:val="21"/>
                    </w:rPr>
                    <w:t>ZH23082630002</w:t>
                  </w:r>
                </w:p>
              </w:tc>
              <w:tc>
                <w:tcPr>
                  <w:tcW w:w="321" w:type="pct"/>
                  <w:vAlign w:val="center"/>
                </w:tcPr>
                <w:p w14:paraId="0B18B92E">
                  <w:pPr>
                    <w:widowControl/>
                    <w:jc w:val="center"/>
                    <w:rPr>
                      <w:color w:val="auto"/>
                      <w:kern w:val="0"/>
                      <w:szCs w:val="21"/>
                    </w:rPr>
                  </w:pPr>
                  <w:r>
                    <w:rPr>
                      <w:color w:val="auto"/>
                      <w:kern w:val="0"/>
                      <w:szCs w:val="21"/>
                    </w:rPr>
                    <w:t>桦川县其他区域</w:t>
                  </w:r>
                </w:p>
              </w:tc>
              <w:tc>
                <w:tcPr>
                  <w:tcW w:w="321" w:type="pct"/>
                  <w:vAlign w:val="center"/>
                </w:tcPr>
                <w:p w14:paraId="1B08BA9E">
                  <w:pPr>
                    <w:widowControl/>
                    <w:jc w:val="center"/>
                    <w:rPr>
                      <w:color w:val="auto"/>
                      <w:kern w:val="0"/>
                      <w:szCs w:val="21"/>
                    </w:rPr>
                  </w:pPr>
                  <w:r>
                    <w:rPr>
                      <w:rFonts w:hint="eastAsia"/>
                      <w:color w:val="auto"/>
                      <w:kern w:val="0"/>
                      <w:szCs w:val="21"/>
                    </w:rPr>
                    <w:t>一</w:t>
                  </w:r>
                  <w:r>
                    <w:rPr>
                      <w:color w:val="auto"/>
                      <w:kern w:val="0"/>
                      <w:szCs w:val="21"/>
                    </w:rPr>
                    <w:t>般管控单元</w:t>
                  </w:r>
                </w:p>
              </w:tc>
              <w:tc>
                <w:tcPr>
                  <w:tcW w:w="321" w:type="pct"/>
                  <w:vAlign w:val="center"/>
                </w:tcPr>
                <w:p w14:paraId="36123BD0">
                  <w:pPr>
                    <w:widowControl/>
                    <w:jc w:val="center"/>
                    <w:rPr>
                      <w:color w:val="auto"/>
                      <w:kern w:val="0"/>
                      <w:szCs w:val="21"/>
                    </w:rPr>
                  </w:pPr>
                  <w:r>
                    <w:rPr>
                      <w:color w:val="auto"/>
                      <w:szCs w:val="21"/>
                    </w:rPr>
                    <w:t>空间布局约束</w:t>
                  </w:r>
                </w:p>
              </w:tc>
              <w:tc>
                <w:tcPr>
                  <w:tcW w:w="1526" w:type="pct"/>
                  <w:vAlign w:val="center"/>
                </w:tcPr>
                <w:p w14:paraId="4EA04690">
                  <w:pPr>
                    <w:rPr>
                      <w:color w:val="auto"/>
                      <w:kern w:val="0"/>
                      <w:szCs w:val="21"/>
                    </w:rPr>
                  </w:pPr>
                  <w:r>
                    <w:rPr>
                      <w:color w:val="auto"/>
                      <w:kern w:val="0"/>
                      <w:szCs w:val="21"/>
                    </w:rPr>
                    <w:t>贯彻实施国家与黑龙江省大气、水污染相关各项标准，深化重点行业污染治理，推进国家和地方确定的各项产业结构调整措施</w:t>
                  </w:r>
                  <w:r>
                    <w:rPr>
                      <w:rFonts w:hint="eastAsia"/>
                      <w:color w:val="auto"/>
                      <w:kern w:val="0"/>
                      <w:szCs w:val="21"/>
                    </w:rPr>
                    <w:t>：</w:t>
                  </w:r>
                  <w:r>
                    <w:rPr>
                      <w:color w:val="auto"/>
                      <w:kern w:val="0"/>
                      <w:szCs w:val="21"/>
                    </w:rPr>
                    <w:t>引导工业项目向园区集聚</w:t>
                  </w:r>
                  <w:r>
                    <w:rPr>
                      <w:rFonts w:hint="eastAsia"/>
                      <w:color w:val="auto"/>
                      <w:kern w:val="0"/>
                      <w:szCs w:val="21"/>
                    </w:rPr>
                    <w:t>；</w:t>
                  </w:r>
                  <w:r>
                    <w:rPr>
                      <w:color w:val="auto"/>
                      <w:kern w:val="0"/>
                      <w:szCs w:val="21"/>
                    </w:rPr>
                    <w:t>严禁钢铁、水泥、电解铝等产能严重过剩行业扩能</w:t>
                  </w:r>
                  <w:r>
                    <w:rPr>
                      <w:rFonts w:hint="eastAsia"/>
                      <w:color w:val="auto"/>
                      <w:kern w:val="0"/>
                      <w:szCs w:val="21"/>
                    </w:rPr>
                    <w:t>；</w:t>
                  </w:r>
                  <w:r>
                    <w:rPr>
                      <w:color w:val="auto"/>
                      <w:kern w:val="0"/>
                      <w:szCs w:val="21"/>
                    </w:rPr>
                    <w:t>重点对电力、钢铁、建材、有色、化工、石油石化、煤炭、印染等行业中，环保、能耗等不达标或生产、使用淘汰类产品的企业和产能，依法依规改造升级或有序退出。</w:t>
                  </w:r>
                </w:p>
              </w:tc>
              <w:tc>
                <w:tcPr>
                  <w:tcW w:w="1264" w:type="pct"/>
                  <w:vAlign w:val="center"/>
                </w:tcPr>
                <w:p w14:paraId="003B2979">
                  <w:pPr>
                    <w:rPr>
                      <w:color w:val="auto"/>
                      <w:szCs w:val="21"/>
                    </w:rPr>
                  </w:pPr>
                  <w:r>
                    <w:rPr>
                      <w:color w:val="auto"/>
                      <w:szCs w:val="21"/>
                    </w:rPr>
                    <w:t>本项目不</w:t>
                  </w:r>
                  <w:r>
                    <w:rPr>
                      <w:rFonts w:hint="eastAsia"/>
                      <w:color w:val="auto"/>
                      <w:szCs w:val="21"/>
                    </w:rPr>
                    <w:t>属于</w:t>
                  </w:r>
                  <w:r>
                    <w:rPr>
                      <w:color w:val="auto"/>
                      <w:kern w:val="0"/>
                      <w:szCs w:val="21"/>
                    </w:rPr>
                    <w:t>钢铁、水泥、电解铝等产能严重过剩行业，</w:t>
                  </w:r>
                  <w:r>
                    <w:rPr>
                      <w:rFonts w:hint="eastAsia"/>
                      <w:color w:val="auto"/>
                      <w:kern w:val="0"/>
                      <w:szCs w:val="21"/>
                    </w:rPr>
                    <w:t>也不属于</w:t>
                  </w:r>
                  <w:r>
                    <w:rPr>
                      <w:color w:val="auto"/>
                      <w:kern w:val="0"/>
                      <w:szCs w:val="21"/>
                    </w:rPr>
                    <w:t>电力、钢铁、建材、有色、化工、石油石化、煤炭、印染等行业</w:t>
                  </w:r>
                  <w:r>
                    <w:rPr>
                      <w:rFonts w:hint="eastAsia"/>
                      <w:color w:val="auto"/>
                      <w:kern w:val="0"/>
                      <w:szCs w:val="21"/>
                    </w:rPr>
                    <w:t>。</w:t>
                  </w:r>
                </w:p>
              </w:tc>
            </w:tr>
          </w:tbl>
          <w:p w14:paraId="65896586">
            <w:pPr>
              <w:autoSpaceDE w:val="0"/>
              <w:autoSpaceDN w:val="0"/>
              <w:adjustRightInd w:val="0"/>
              <w:snapToGrid w:val="0"/>
              <w:ind w:firstLine="480" w:firstLineChars="200"/>
              <w:rPr>
                <w:rFonts w:cs="宋体"/>
                <w:color w:val="auto"/>
                <w:sz w:val="24"/>
                <w:szCs w:val="21"/>
              </w:rPr>
            </w:pPr>
            <w:r>
              <w:rPr>
                <w:rFonts w:cs="宋体"/>
                <w:color w:val="auto"/>
                <w:sz w:val="24"/>
                <w:szCs w:val="21"/>
              </w:rPr>
              <w:t>（3）“一说明”</w:t>
            </w:r>
          </w:p>
          <w:p w14:paraId="077223B7">
            <w:pPr>
              <w:pStyle w:val="53"/>
              <w:ind w:firstLine="480"/>
              <w:rPr>
                <w:color w:val="auto"/>
              </w:rPr>
            </w:pPr>
            <w:r>
              <w:rPr>
                <w:rFonts w:hint="eastAsia" w:ascii="Times New Roman" w:hAnsi="Times New Roman" w:cs="Times New Roman"/>
                <w:snapToGrid w:val="0"/>
                <w:color w:val="auto"/>
                <w:kern w:val="44"/>
                <w:szCs w:val="30"/>
              </w:rPr>
              <w:t>1）生态保护红线</w:t>
            </w:r>
          </w:p>
          <w:p w14:paraId="2D5D9DCD">
            <w:pPr>
              <w:pStyle w:val="53"/>
              <w:ind w:firstLine="480"/>
              <w:rPr>
                <w:rFonts w:ascii="Times New Roman" w:hAnsi="Times New Roman" w:cs="Times New Roman"/>
                <w:snapToGrid w:val="0"/>
                <w:color w:val="auto"/>
                <w:kern w:val="44"/>
                <w:szCs w:val="30"/>
              </w:rPr>
            </w:pPr>
            <w:r>
              <w:rPr>
                <w:rFonts w:hint="eastAsia" w:ascii="Times New Roman" w:hAnsi="Times New Roman" w:cs="Times New Roman"/>
                <w:snapToGrid w:val="0"/>
                <w:color w:val="auto"/>
                <w:kern w:val="44"/>
                <w:szCs w:val="30"/>
              </w:rPr>
              <w:t>本项目位于</w:t>
            </w:r>
            <w:r>
              <w:rPr>
                <w:rFonts w:hint="eastAsia" w:ascii="Times New Roman" w:hAnsi="Times New Roman" w:cs="Times New Roman"/>
                <w:color w:val="auto"/>
                <w:lang w:bidi="ar"/>
              </w:rPr>
              <w:t>黑龙江省佳木斯市桦川县东河乡兴华屯</w:t>
            </w:r>
            <w:r>
              <w:rPr>
                <w:rFonts w:hint="eastAsia" w:ascii="Times New Roman" w:hAnsi="Times New Roman" w:cs="Times New Roman"/>
                <w:snapToGrid w:val="0"/>
                <w:color w:val="auto"/>
                <w:kern w:val="44"/>
                <w:szCs w:val="30"/>
              </w:rPr>
              <w:t>，根据</w:t>
            </w:r>
            <w:r>
              <w:rPr>
                <w:rFonts w:ascii="Times New Roman" w:hAnsi="Times New Roman" w:cs="Times New Roman"/>
                <w:color w:val="auto"/>
                <w:lang w:bidi="ar"/>
              </w:rPr>
              <w:t>《佳木斯市人民政府关于实施“三线一单”生态环境分区管控的意见》（佳政规〔2021〕4号）</w:t>
            </w:r>
            <w:r>
              <w:rPr>
                <w:rFonts w:hint="eastAsia" w:ascii="Times New Roman" w:hAnsi="Times New Roman" w:cs="Times New Roman"/>
                <w:snapToGrid w:val="0"/>
                <w:color w:val="auto"/>
                <w:kern w:val="44"/>
                <w:szCs w:val="30"/>
              </w:rPr>
              <w:t>，本项目不在一般生态空间及各类保护地内，根据</w:t>
            </w:r>
            <w:r>
              <w:rPr>
                <w:rFonts w:hint="eastAsia" w:ascii="Times New Roman" w:hAnsi="Times New Roman" w:cs="Times New Roman"/>
                <w:color w:val="auto"/>
                <w:lang w:bidi="ar"/>
              </w:rPr>
              <w:t>佳木斯市</w:t>
            </w:r>
            <w:r>
              <w:rPr>
                <w:rFonts w:hint="eastAsia" w:ascii="Times New Roman" w:hAnsi="Times New Roman" w:cs="Times New Roman"/>
                <w:snapToGrid w:val="0"/>
                <w:color w:val="auto"/>
                <w:kern w:val="44"/>
                <w:szCs w:val="30"/>
              </w:rPr>
              <w:t>环境管控单元分布图和黑龙江省生态环境分区管控数据平台查询可知，本项目不占用各类保护地、不占用生态保护红线，符合生态保护红线要求。</w:t>
            </w:r>
          </w:p>
          <w:p w14:paraId="33F25ADB">
            <w:pPr>
              <w:jc w:val="center"/>
              <w:rPr>
                <w:color w:val="auto"/>
              </w:rPr>
            </w:pPr>
            <w:r>
              <w:rPr>
                <w:color w:val="auto"/>
              </w:rPr>
              <w:drawing>
                <wp:inline distT="0" distB="0" distL="114300" distR="114300">
                  <wp:extent cx="4572635" cy="930275"/>
                  <wp:effectExtent l="0" t="0" r="0" b="0"/>
                  <wp:docPr id="44" name="图片 9" descr="C:/Users/Administrator/Desktop/恒恒升材料/恒恒升三线一单/桦川县恒恒升水稻种植专业合作社粮食烘干_2026年03月12日093022_分析报告_03.png桦川县恒恒升水稻种植专业合作社粮食烘干_2026年03月12日093022_分析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descr="C:/Users/Administrator/Desktop/恒恒升材料/恒恒升三线一单/桦川县恒恒升水稻种植专业合作社粮食烘干_2026年03月12日093022_分析报告_03.png桦川县恒恒升水稻种植专业合作社粮食烘干_2026年03月12日093022_分析报告_03"/>
                          <pic:cNvPicPr>
                            <a:picLocks noChangeAspect="1"/>
                          </pic:cNvPicPr>
                        </pic:nvPicPr>
                        <pic:blipFill>
                          <a:blip r:embed="rId14"/>
                          <a:srcRect t="18882" b="52356"/>
                          <a:stretch>
                            <a:fillRect/>
                          </a:stretch>
                        </pic:blipFill>
                        <pic:spPr>
                          <a:xfrm>
                            <a:off x="0" y="0"/>
                            <a:ext cx="4572635" cy="930275"/>
                          </a:xfrm>
                          <a:prstGeom prst="rect">
                            <a:avLst/>
                          </a:prstGeom>
                          <a:noFill/>
                          <a:ln>
                            <a:noFill/>
                          </a:ln>
                        </pic:spPr>
                      </pic:pic>
                    </a:graphicData>
                  </a:graphic>
                </wp:inline>
              </w:drawing>
            </w:r>
          </w:p>
          <w:p w14:paraId="153916CB">
            <w:pPr>
              <w:spacing w:line="360" w:lineRule="auto"/>
              <w:jc w:val="center"/>
              <w:rPr>
                <w:rFonts w:ascii="宋体" w:hAnsi="宋体" w:cs="宋体"/>
                <w:color w:val="auto"/>
                <w:sz w:val="24"/>
              </w:rPr>
            </w:pPr>
            <w:r>
              <w:rPr>
                <w:rFonts w:hint="eastAsia"/>
                <w:b/>
                <w:bCs/>
                <w:color w:val="auto"/>
                <w:szCs w:val="21"/>
              </w:rPr>
              <w:t xml:space="preserve">图1-2 </w:t>
            </w:r>
            <w:r>
              <w:rPr>
                <w:b/>
                <w:bCs/>
                <w:color w:val="auto"/>
                <w:szCs w:val="21"/>
              </w:rPr>
              <w:t>本项目</w:t>
            </w:r>
            <w:r>
              <w:rPr>
                <w:rFonts w:hint="eastAsia"/>
                <w:b/>
                <w:bCs/>
                <w:color w:val="auto"/>
                <w:szCs w:val="21"/>
              </w:rPr>
              <w:t>与生态保护红线交集</w:t>
            </w:r>
            <w:r>
              <w:rPr>
                <w:b/>
                <w:bCs/>
                <w:color w:val="auto"/>
                <w:szCs w:val="21"/>
              </w:rPr>
              <w:t>管控分析报告截图</w:t>
            </w:r>
          </w:p>
          <w:p w14:paraId="047783F7">
            <w:pPr>
              <w:spacing w:line="360" w:lineRule="auto"/>
              <w:ind w:left="420" w:leftChars="200"/>
              <w:rPr>
                <w:color w:val="auto"/>
                <w:sz w:val="24"/>
                <w:lang w:bidi="ar"/>
              </w:rPr>
            </w:pPr>
            <w:r>
              <w:rPr>
                <w:color w:val="auto"/>
                <w:sz w:val="24"/>
                <w:lang w:bidi="ar"/>
              </w:rPr>
              <w:t>2）环境质量底线</w:t>
            </w:r>
          </w:p>
          <w:p w14:paraId="7DBA69E6">
            <w:pPr>
              <w:autoSpaceDE w:val="0"/>
              <w:autoSpaceDN w:val="0"/>
              <w:adjustRightInd w:val="0"/>
              <w:spacing w:line="360" w:lineRule="auto"/>
              <w:ind w:firstLine="480" w:firstLineChars="200"/>
              <w:rPr>
                <w:color w:val="auto"/>
                <w:sz w:val="24"/>
                <w:lang w:val="zh-CN"/>
              </w:rPr>
            </w:pPr>
            <w:r>
              <w:rPr>
                <w:color w:val="auto"/>
                <w:sz w:val="24"/>
                <w:lang w:val="zh-CN"/>
              </w:rPr>
              <w:t>①</w:t>
            </w:r>
            <w:r>
              <w:rPr>
                <w:rFonts w:hint="eastAsia"/>
                <w:snapToGrid w:val="0"/>
                <w:color w:val="auto"/>
                <w:kern w:val="44"/>
                <w:sz w:val="24"/>
                <w:szCs w:val="30"/>
              </w:rPr>
              <w:t>环境空气</w:t>
            </w:r>
          </w:p>
          <w:p w14:paraId="5A1F302D">
            <w:pPr>
              <w:autoSpaceDE w:val="0"/>
              <w:autoSpaceDN w:val="0"/>
              <w:adjustRightInd w:val="0"/>
              <w:spacing w:line="360" w:lineRule="auto"/>
              <w:ind w:firstLine="480" w:firstLineChars="200"/>
              <w:rPr>
                <w:color w:val="auto"/>
                <w:sz w:val="24"/>
              </w:rPr>
            </w:pPr>
            <w:r>
              <w:rPr>
                <w:color w:val="auto"/>
                <w:sz w:val="24"/>
              </w:rPr>
              <w:t>根据“生态环境分区管控分析报告”本项目所在地区属于大气环境一般管控区，本项目为烘干塔建设项目，不属于重点污染工业企业；项目所在区域为达标区；本项目运营期主要废气为燃生物质热风炉烟气，燃生物质热风炉产生烟气经布袋除尘器（除尘效率</w:t>
            </w:r>
            <w:r>
              <w:rPr>
                <w:rFonts w:hint="eastAsia"/>
                <w:color w:val="auto"/>
                <w:sz w:val="24"/>
              </w:rPr>
              <w:t>99.7%</w:t>
            </w:r>
            <w:r>
              <w:rPr>
                <w:color w:val="auto"/>
                <w:sz w:val="24"/>
              </w:rPr>
              <w:t>）处理后通过</w:t>
            </w:r>
            <w:r>
              <w:rPr>
                <w:rFonts w:hint="eastAsia"/>
                <w:color w:val="auto"/>
                <w:sz w:val="24"/>
              </w:rPr>
              <w:t>15m</w:t>
            </w:r>
            <w:r>
              <w:rPr>
                <w:color w:val="auto"/>
                <w:sz w:val="24"/>
              </w:rPr>
              <w:t>高烟囱</w:t>
            </w:r>
            <w:r>
              <w:rPr>
                <w:rFonts w:hint="eastAsia"/>
                <w:color w:val="auto"/>
                <w:sz w:val="24"/>
              </w:rPr>
              <w:t>（DA001、DA002）</w:t>
            </w:r>
            <w:r>
              <w:rPr>
                <w:color w:val="auto"/>
                <w:sz w:val="24"/>
              </w:rPr>
              <w:t>排放</w:t>
            </w:r>
            <w:r>
              <w:rPr>
                <w:rFonts w:hint="eastAsia"/>
                <w:color w:val="auto"/>
                <w:sz w:val="24"/>
              </w:rPr>
              <w:t>；</w:t>
            </w:r>
            <w:r>
              <w:rPr>
                <w:color w:val="auto"/>
                <w:kern w:val="0"/>
                <w:sz w:val="24"/>
                <w:lang w:bidi="ar"/>
              </w:rPr>
              <w:t>热风炉烟气中烟尘和烟气黑度满足《工业炉窑大气污染物排放标准》（GB9078- 1996）表2标准，烟气中</w:t>
            </w:r>
            <w:r>
              <w:rPr>
                <w:rFonts w:hint="eastAsia"/>
                <w:color w:val="auto"/>
                <w:kern w:val="0"/>
                <w:sz w:val="24"/>
                <w:lang w:bidi="ar"/>
              </w:rPr>
              <w:t>汞、</w:t>
            </w:r>
            <w:r>
              <w:rPr>
                <w:color w:val="auto"/>
                <w:kern w:val="0"/>
                <w:sz w:val="24"/>
                <w:lang w:bidi="ar"/>
              </w:rPr>
              <w:t>SO</w:t>
            </w:r>
            <w:r>
              <w:rPr>
                <w:color w:val="auto"/>
                <w:kern w:val="0"/>
                <w:sz w:val="24"/>
                <w:vertAlign w:val="subscript"/>
                <w:lang w:bidi="ar"/>
              </w:rPr>
              <w:t>2</w:t>
            </w:r>
            <w:r>
              <w:rPr>
                <w:color w:val="auto"/>
                <w:kern w:val="0"/>
                <w:sz w:val="24"/>
                <w:lang w:bidi="ar"/>
              </w:rPr>
              <w:t>满足《工业炉窑大气污染物排放标准》（GB9078-1996）表4中二级标准；生产过程中产生的粉尘满足《大气污染物综合排放标准》（GB16297-1996）表2无组织排放监控浓度限值</w:t>
            </w:r>
            <w:r>
              <w:rPr>
                <w:color w:val="auto"/>
                <w:sz w:val="24"/>
              </w:rPr>
              <w:t>标准。</w:t>
            </w:r>
          </w:p>
          <w:p w14:paraId="58CFABE3">
            <w:pPr>
              <w:autoSpaceDE w:val="0"/>
              <w:autoSpaceDN w:val="0"/>
              <w:adjustRightInd w:val="0"/>
              <w:spacing w:line="360" w:lineRule="auto"/>
              <w:ind w:firstLine="480" w:firstLineChars="200"/>
              <w:rPr>
                <w:color w:val="auto"/>
                <w:sz w:val="24"/>
              </w:rPr>
            </w:pPr>
            <w:r>
              <w:rPr>
                <w:color w:val="auto"/>
                <w:sz w:val="24"/>
              </w:rPr>
              <w:t>运营期污染物排放不会对大气环境质量现状造成不良影响，满足大气环境质量底线要求。</w:t>
            </w:r>
          </w:p>
          <w:p w14:paraId="1B9A6519">
            <w:pPr>
              <w:autoSpaceDE w:val="0"/>
              <w:autoSpaceDN w:val="0"/>
              <w:adjustRightInd w:val="0"/>
              <w:spacing w:line="360" w:lineRule="auto"/>
              <w:ind w:firstLine="480" w:firstLineChars="200"/>
              <w:rPr>
                <w:color w:val="auto"/>
                <w:sz w:val="24"/>
              </w:rPr>
            </w:pPr>
            <w:r>
              <w:rPr>
                <w:color w:val="auto"/>
                <w:sz w:val="24"/>
              </w:rPr>
              <w:t>②水环境</w:t>
            </w:r>
          </w:p>
          <w:p w14:paraId="3E08215C">
            <w:pPr>
              <w:autoSpaceDE w:val="0"/>
              <w:autoSpaceDN w:val="0"/>
              <w:adjustRightInd w:val="0"/>
              <w:spacing w:line="360" w:lineRule="auto"/>
              <w:ind w:firstLine="480" w:firstLineChars="200"/>
              <w:rPr>
                <w:color w:val="auto"/>
                <w:sz w:val="24"/>
              </w:rPr>
            </w:pPr>
            <w:r>
              <w:rPr>
                <w:color w:val="auto"/>
                <w:sz w:val="24"/>
              </w:rPr>
              <w:t>本项目所在地表水流域为松花江流域，本项目无生产废水产生</w:t>
            </w:r>
            <w:r>
              <w:rPr>
                <w:rFonts w:hint="eastAsia"/>
                <w:color w:val="auto"/>
                <w:sz w:val="24"/>
              </w:rPr>
              <w:t>，</w:t>
            </w:r>
            <w:r>
              <w:rPr>
                <w:color w:val="auto"/>
                <w:sz w:val="24"/>
              </w:rPr>
              <w:t>生活废水排至防渗</w:t>
            </w:r>
            <w:r>
              <w:rPr>
                <w:rFonts w:hint="eastAsia"/>
                <w:color w:val="auto"/>
                <w:sz w:val="24"/>
              </w:rPr>
              <w:t>厕所</w:t>
            </w:r>
            <w:r>
              <w:rPr>
                <w:color w:val="auto"/>
                <w:sz w:val="24"/>
              </w:rPr>
              <w:t>，定期清掏，外运堆肥，不会对区域水环境造成影响，因此符合黑龙江省水环境质量底线要求。</w:t>
            </w:r>
          </w:p>
          <w:p w14:paraId="4D4FCADC">
            <w:pPr>
              <w:pStyle w:val="111"/>
              <w:ind w:firstLine="480"/>
              <w:rPr>
                <w:color w:val="auto"/>
                <w:lang w:bidi="ar"/>
              </w:rPr>
            </w:pPr>
            <w:r>
              <w:rPr>
                <w:color w:val="auto"/>
              </w:rPr>
              <w:t>落实本环评提出的相关环保措施后，</w:t>
            </w:r>
            <w:r>
              <w:rPr>
                <w:color w:val="auto"/>
                <w:lang w:bidi="ar"/>
              </w:rPr>
              <w:t>本项目建成后所产生的各项污染物均可达标排放，</w:t>
            </w:r>
            <w:r>
              <w:rPr>
                <w:color w:val="auto"/>
              </w:rPr>
              <w:t>项目污染物排放不会对区域环境质量底线造成冲击。综上，项目建设符合环境质量底线要求的</w:t>
            </w:r>
            <w:r>
              <w:rPr>
                <w:color w:val="auto"/>
                <w:lang w:bidi="ar"/>
              </w:rPr>
              <w:t>。</w:t>
            </w:r>
          </w:p>
          <w:p w14:paraId="2C63C506">
            <w:pPr>
              <w:spacing w:line="360" w:lineRule="auto"/>
              <w:ind w:left="420" w:leftChars="200"/>
              <w:rPr>
                <w:color w:val="auto"/>
                <w:sz w:val="24"/>
                <w:lang w:bidi="ar"/>
              </w:rPr>
            </w:pPr>
            <w:r>
              <w:rPr>
                <w:color w:val="auto"/>
                <w:sz w:val="24"/>
                <w:lang w:bidi="ar"/>
              </w:rPr>
              <w:t>（3）资源利用上线</w:t>
            </w:r>
          </w:p>
          <w:p w14:paraId="3C1FEACE">
            <w:pPr>
              <w:spacing w:line="360" w:lineRule="auto"/>
              <w:ind w:firstLine="480" w:firstLineChars="200"/>
              <w:rPr>
                <w:bCs/>
                <w:snapToGrid w:val="0"/>
                <w:color w:val="auto"/>
                <w:kern w:val="0"/>
                <w:sz w:val="24"/>
              </w:rPr>
            </w:pPr>
            <w:r>
              <w:rPr>
                <w:bCs/>
                <w:snapToGrid w:val="0"/>
                <w:color w:val="auto"/>
                <w:kern w:val="0"/>
                <w:sz w:val="24"/>
              </w:rPr>
              <w:t>本项目生产用热由燃生物质热风炉供给，燃料为生物质成型颗粒、不消耗煤炭资源。本项目生产过程不用水，生活水源依托</w:t>
            </w:r>
            <w:r>
              <w:rPr>
                <w:rFonts w:hint="eastAsia"/>
                <w:bCs/>
                <w:snapToGrid w:val="0"/>
                <w:color w:val="auto"/>
                <w:kern w:val="0"/>
                <w:sz w:val="24"/>
              </w:rPr>
              <w:t>村屯自来水</w:t>
            </w:r>
            <w:r>
              <w:rPr>
                <w:bCs/>
                <w:snapToGrid w:val="0"/>
                <w:color w:val="auto"/>
                <w:kern w:val="0"/>
                <w:sz w:val="24"/>
              </w:rPr>
              <w:t>；供电电源为当地供电电网，资源消耗量相对于区域资源利用总量较小。本项目</w:t>
            </w:r>
            <w:r>
              <w:rPr>
                <w:rFonts w:hint="eastAsia"/>
                <w:bCs/>
                <w:snapToGrid w:val="0"/>
                <w:color w:val="auto"/>
                <w:kern w:val="0"/>
                <w:sz w:val="24"/>
              </w:rPr>
              <w:t>总占地面积16474.68m</w:t>
            </w:r>
            <w:r>
              <w:rPr>
                <w:rFonts w:hint="eastAsia"/>
                <w:bCs/>
                <w:snapToGrid w:val="0"/>
                <w:color w:val="auto"/>
                <w:kern w:val="0"/>
                <w:sz w:val="24"/>
                <w:vertAlign w:val="superscript"/>
              </w:rPr>
              <w:t>2</w:t>
            </w:r>
            <w:r>
              <w:rPr>
                <w:bCs/>
                <w:snapToGrid w:val="0"/>
                <w:color w:val="auto"/>
                <w:kern w:val="0"/>
                <w:sz w:val="24"/>
              </w:rPr>
              <w:t>，</w:t>
            </w:r>
            <w:r>
              <w:rPr>
                <w:rFonts w:hint="eastAsia"/>
                <w:bCs/>
                <w:snapToGrid w:val="0"/>
                <w:color w:val="auto"/>
                <w:kern w:val="0"/>
                <w:sz w:val="24"/>
              </w:rPr>
              <w:t>占地性质为设施农业用地</w:t>
            </w:r>
            <w:r>
              <w:rPr>
                <w:bCs/>
                <w:snapToGrid w:val="0"/>
                <w:color w:val="auto"/>
                <w:kern w:val="0"/>
                <w:sz w:val="24"/>
              </w:rPr>
              <w:t>。因此，本项目符合资源利用上线的相关要求。</w:t>
            </w:r>
          </w:p>
          <w:p w14:paraId="2AA4577B">
            <w:pPr>
              <w:pStyle w:val="57"/>
              <w:spacing w:line="360" w:lineRule="auto"/>
              <w:ind w:firstLine="480"/>
              <w:rPr>
                <w:color w:val="auto"/>
                <w:szCs w:val="21"/>
                <w:lang w:bidi="ar"/>
              </w:rPr>
            </w:pPr>
            <w:r>
              <w:rPr>
                <w:color w:val="auto"/>
                <w:szCs w:val="21"/>
                <w:lang w:bidi="ar"/>
              </w:rPr>
              <w:t>（4）</w:t>
            </w:r>
            <w:r>
              <w:rPr>
                <w:color w:val="auto"/>
                <w:lang w:bidi="ar"/>
              </w:rPr>
              <w:t>生态环境准入清单</w:t>
            </w:r>
          </w:p>
          <w:p w14:paraId="63F79514">
            <w:pPr>
              <w:autoSpaceDE w:val="0"/>
              <w:autoSpaceDN w:val="0"/>
              <w:adjustRightInd w:val="0"/>
              <w:snapToGrid w:val="0"/>
              <w:spacing w:line="360" w:lineRule="auto"/>
              <w:ind w:firstLine="480" w:firstLineChars="200"/>
              <w:rPr>
                <w:snapToGrid w:val="0"/>
                <w:color w:val="auto"/>
                <w:kern w:val="44"/>
                <w:sz w:val="24"/>
                <w:szCs w:val="30"/>
              </w:rPr>
            </w:pPr>
            <w:r>
              <w:rPr>
                <w:rFonts w:hint="eastAsia"/>
                <w:snapToGrid w:val="0"/>
                <w:color w:val="auto"/>
                <w:kern w:val="44"/>
                <w:sz w:val="24"/>
                <w:szCs w:val="30"/>
              </w:rPr>
              <w:t>本项目位于</w:t>
            </w:r>
            <w:r>
              <w:rPr>
                <w:rFonts w:hint="eastAsia"/>
                <w:bCs/>
                <w:snapToGrid w:val="0"/>
                <w:color w:val="auto"/>
                <w:kern w:val="0"/>
                <w:sz w:val="24"/>
              </w:rPr>
              <w:t>黑龙江省佳木斯市桦川县东河乡兴华屯</w:t>
            </w:r>
            <w:r>
              <w:rPr>
                <w:rFonts w:hint="eastAsia"/>
                <w:snapToGrid w:val="0"/>
                <w:color w:val="auto"/>
                <w:kern w:val="44"/>
                <w:sz w:val="24"/>
                <w:szCs w:val="30"/>
              </w:rPr>
              <w:t>，根据</w:t>
            </w:r>
            <w:r>
              <w:rPr>
                <w:bCs/>
                <w:snapToGrid w:val="0"/>
                <w:color w:val="auto"/>
                <w:kern w:val="0"/>
                <w:sz w:val="24"/>
              </w:rPr>
              <w:t>《佳木斯市生态环境准入清单》（2023年版）</w:t>
            </w:r>
            <w:r>
              <w:rPr>
                <w:rFonts w:hint="eastAsia"/>
                <w:bCs/>
                <w:snapToGrid w:val="0"/>
                <w:color w:val="auto"/>
                <w:kern w:val="0"/>
                <w:sz w:val="24"/>
              </w:rPr>
              <w:t>，</w:t>
            </w:r>
            <w:r>
              <w:rPr>
                <w:rFonts w:hint="eastAsia"/>
                <w:snapToGrid w:val="0"/>
                <w:color w:val="auto"/>
                <w:kern w:val="44"/>
                <w:sz w:val="24"/>
                <w:szCs w:val="30"/>
              </w:rPr>
              <w:t>项目位于桦川县其他区域一般管控单元。</w:t>
            </w:r>
          </w:p>
          <w:p w14:paraId="765381E4">
            <w:pPr>
              <w:pStyle w:val="53"/>
              <w:ind w:firstLine="480"/>
              <w:rPr>
                <w:rFonts w:ascii="Times New Roman" w:hAnsi="Times New Roman" w:cs="Times New Roman"/>
                <w:color w:val="auto"/>
                <w:kern w:val="0"/>
              </w:rPr>
            </w:pPr>
            <w:r>
              <w:rPr>
                <w:rFonts w:hint="eastAsia" w:ascii="Times New Roman" w:hAnsi="Times New Roman" w:cs="Times New Roman"/>
                <w:snapToGrid w:val="0"/>
                <w:color w:val="auto"/>
                <w:kern w:val="44"/>
                <w:szCs w:val="30"/>
              </w:rPr>
              <w:t>因此本项目符合《黑龙江省人民政府关于实施“三线一单”生态环境分区管控的意见》（黑政发〔2020〕14号）、</w:t>
            </w:r>
            <w:r>
              <w:rPr>
                <w:rFonts w:ascii="Times New Roman" w:hAnsi="Times New Roman" w:cs="Times New Roman"/>
                <w:bCs/>
                <w:snapToGrid w:val="0"/>
                <w:color w:val="auto"/>
                <w:kern w:val="0"/>
              </w:rPr>
              <w:t>《佳木斯市生态环境准入清单》（2023年版）</w:t>
            </w:r>
            <w:r>
              <w:rPr>
                <w:rFonts w:hint="eastAsia" w:ascii="Times New Roman" w:hAnsi="Times New Roman" w:cs="Times New Roman"/>
                <w:snapToGrid w:val="0"/>
                <w:color w:val="auto"/>
                <w:kern w:val="44"/>
                <w:szCs w:val="30"/>
              </w:rPr>
              <w:t>中要求。</w:t>
            </w:r>
          </w:p>
          <w:p w14:paraId="59CC067C">
            <w:pPr>
              <w:spacing w:line="360" w:lineRule="auto"/>
              <w:ind w:firstLine="482"/>
              <w:rPr>
                <w:b/>
                <w:color w:val="auto"/>
                <w:sz w:val="24"/>
              </w:rPr>
            </w:pPr>
            <w:r>
              <w:rPr>
                <w:rFonts w:hint="eastAsia"/>
                <w:b/>
                <w:color w:val="auto"/>
                <w:sz w:val="24"/>
              </w:rPr>
              <w:t>3、《环境空气细颗粒物污染综合防治技术政策》符合性分析</w:t>
            </w:r>
          </w:p>
          <w:p w14:paraId="384F8F24">
            <w:pPr>
              <w:spacing w:line="360" w:lineRule="auto"/>
              <w:ind w:firstLine="482"/>
              <w:rPr>
                <w:color w:val="auto"/>
                <w:sz w:val="24"/>
                <w:shd w:val="clear" w:color="auto" w:fill="FFFFFF"/>
              </w:rPr>
            </w:pPr>
            <w:r>
              <w:rPr>
                <w:color w:val="auto"/>
                <w:sz w:val="24"/>
                <w:shd w:val="clear" w:color="auto" w:fill="FFFFFF"/>
              </w:rPr>
              <w:t>（十三）对于排放细颗粒物的工业污染源，应按照生产工艺、排放方式和烟（废）气组成的特点，选取适用的污染防治技术。工业污染源有组织排放的颗粒物，宜采取袋除尘、电除尘、电袋除尘等高效除尘技术，鼓励火电机组和大型燃煤锅炉采用湿式电除尘等新技术。</w:t>
            </w:r>
          </w:p>
          <w:p w14:paraId="37141C7E">
            <w:pPr>
              <w:spacing w:line="360" w:lineRule="auto"/>
              <w:ind w:firstLine="482"/>
              <w:rPr>
                <w:color w:val="auto"/>
                <w:sz w:val="24"/>
                <w:shd w:val="clear" w:color="auto" w:fill="FFFFFF"/>
              </w:rPr>
            </w:pPr>
            <w:r>
              <w:rPr>
                <w:rFonts w:hint="eastAsia"/>
                <w:color w:val="auto"/>
                <w:sz w:val="24"/>
                <w:shd w:val="clear" w:color="auto" w:fill="FFFFFF"/>
              </w:rPr>
              <w:t>本项目产生的颗粒物经低氮燃烧+布袋除尘器处理后经过15m高烟囱排放。</w:t>
            </w:r>
          </w:p>
          <w:p w14:paraId="55A93228">
            <w:pPr>
              <w:spacing w:line="360" w:lineRule="auto"/>
              <w:ind w:firstLine="482"/>
              <w:rPr>
                <w:b/>
                <w:bCs/>
                <w:color w:val="auto"/>
                <w:sz w:val="24"/>
              </w:rPr>
            </w:pPr>
            <w:r>
              <w:rPr>
                <w:rFonts w:hint="eastAsia"/>
                <w:b/>
                <w:color w:val="auto"/>
                <w:sz w:val="24"/>
              </w:rPr>
              <w:t>4</w:t>
            </w:r>
            <w:r>
              <w:rPr>
                <w:b/>
                <w:color w:val="auto"/>
                <w:sz w:val="24"/>
              </w:rPr>
              <w:t>、</w:t>
            </w:r>
            <w:r>
              <w:rPr>
                <w:b/>
                <w:bCs/>
                <w:color w:val="auto"/>
                <w:sz w:val="24"/>
              </w:rPr>
              <w:t>与《黑龙江省大气污染防治条例》符合性分析</w:t>
            </w:r>
          </w:p>
          <w:p w14:paraId="272225AD">
            <w:pPr>
              <w:pStyle w:val="73"/>
              <w:ind w:firstLine="480"/>
              <w:rPr>
                <w:color w:val="auto"/>
                <w:sz w:val="24"/>
              </w:rPr>
            </w:pPr>
            <w:r>
              <w:rPr>
                <w:color w:val="auto"/>
                <w:sz w:val="24"/>
              </w:rPr>
              <w:t>根据黑龙江省人民代表大会常务委员会发布的，《黑龙江省大气污染防治条例》（2017年1月20日），第三章大气污染防治措施、第一节、燃煤污染防治措施，第二十九条各级人民政府应当调整能源结构，推广清洁能源的生产和使用，制定并组织实施煤炭消费总量控制规划，减少煤炭生产、使用、转化过程中的大气污染物排放。......第三十六条各级人民政府应当加强民用散煤管理，设区的市级人民政府可以制定具体的奖励或者补贴政策，推广供应和使用优质煤炭、洁净型煤和节能环保型炉灶。</w:t>
            </w:r>
          </w:p>
          <w:p w14:paraId="3CAFA749">
            <w:pPr>
              <w:pStyle w:val="73"/>
              <w:ind w:firstLine="480"/>
              <w:rPr>
                <w:bCs/>
                <w:color w:val="auto"/>
                <w:sz w:val="24"/>
              </w:rPr>
            </w:pPr>
            <w:r>
              <w:rPr>
                <w:color w:val="auto"/>
                <w:sz w:val="24"/>
              </w:rPr>
              <w:t>本项目新建热风炉，燃料采用生物质成型颗粒，</w:t>
            </w:r>
            <w:r>
              <w:rPr>
                <w:rFonts w:hint="eastAsia"/>
                <w:color w:val="auto"/>
                <w:sz w:val="24"/>
              </w:rPr>
              <w:t>生物质颗粒加工无需供热，</w:t>
            </w:r>
            <w:r>
              <w:rPr>
                <w:color w:val="auto"/>
                <w:sz w:val="24"/>
              </w:rPr>
              <w:t>符合《黑龙江省大气污染防治条例》中减少煤炭生产、使用、转化过程中的大气污染物排放的意见。</w:t>
            </w:r>
          </w:p>
          <w:p w14:paraId="73CA2ADF">
            <w:pPr>
              <w:pStyle w:val="69"/>
              <w:ind w:firstLine="482"/>
              <w:rPr>
                <w:b/>
                <w:bCs/>
                <w:color w:val="auto"/>
              </w:rPr>
            </w:pPr>
            <w:r>
              <w:rPr>
                <w:rFonts w:hint="eastAsia"/>
                <w:b/>
                <w:color w:val="auto"/>
              </w:rPr>
              <w:t>5</w:t>
            </w:r>
            <w:r>
              <w:rPr>
                <w:b/>
                <w:color w:val="auto"/>
              </w:rPr>
              <w:t>、</w:t>
            </w:r>
            <w:r>
              <w:rPr>
                <w:b/>
                <w:bCs/>
                <w:color w:val="auto"/>
              </w:rPr>
              <w:t>与《工业炉窑大气污染综合治理方案》（环大气</w:t>
            </w:r>
            <w:r>
              <w:rPr>
                <w:rFonts w:hint="eastAsia"/>
                <w:b/>
                <w:bCs/>
                <w:color w:val="auto"/>
              </w:rPr>
              <w:t>〔</w:t>
            </w:r>
            <w:r>
              <w:rPr>
                <w:b/>
                <w:bCs/>
                <w:color w:val="auto"/>
              </w:rPr>
              <w:t>2019</w:t>
            </w:r>
            <w:r>
              <w:rPr>
                <w:rFonts w:hint="eastAsia"/>
                <w:b/>
                <w:bCs/>
                <w:color w:val="auto"/>
              </w:rPr>
              <w:t>〕</w:t>
            </w:r>
            <w:r>
              <w:rPr>
                <w:b/>
                <w:bCs/>
                <w:color w:val="auto"/>
              </w:rPr>
              <w:t>56号）符合性分析</w:t>
            </w:r>
          </w:p>
          <w:p w14:paraId="2F9F394D">
            <w:pPr>
              <w:pStyle w:val="69"/>
              <w:rPr>
                <w:color w:val="auto"/>
              </w:rPr>
            </w:pPr>
            <w:r>
              <w:rPr>
                <w:color w:val="auto"/>
              </w:rPr>
              <w:t>本项目与《工业炉窑大气污染综合治理方案》（环大气</w:t>
            </w:r>
            <w:r>
              <w:rPr>
                <w:rFonts w:hint="eastAsia"/>
                <w:color w:val="auto"/>
              </w:rPr>
              <w:t>〔</w:t>
            </w:r>
            <w:r>
              <w:rPr>
                <w:color w:val="auto"/>
              </w:rPr>
              <w:t>2019</w:t>
            </w:r>
            <w:r>
              <w:rPr>
                <w:rFonts w:hint="eastAsia"/>
                <w:color w:val="auto"/>
              </w:rPr>
              <w:t>〕</w:t>
            </w:r>
            <w:r>
              <w:rPr>
                <w:color w:val="auto"/>
              </w:rPr>
              <w:t>56号文件）相符性分析如下。</w:t>
            </w:r>
          </w:p>
          <w:p w14:paraId="03611A08">
            <w:pPr>
              <w:jc w:val="center"/>
              <w:textAlignment w:val="baseline"/>
              <w:rPr>
                <w:b/>
                <w:bCs/>
                <w:color w:val="auto"/>
                <w:kern w:val="0"/>
                <w:szCs w:val="21"/>
              </w:rPr>
            </w:pPr>
            <w:r>
              <w:rPr>
                <w:b/>
                <w:bCs/>
                <w:color w:val="auto"/>
                <w:kern w:val="0"/>
                <w:szCs w:val="21"/>
              </w:rPr>
              <w:t>表1-2《工业炉窑大气污染综合治理方案》相符性分析表</w:t>
            </w:r>
          </w:p>
          <w:tbl>
            <w:tblPr>
              <w:tblStyle w:val="36"/>
              <w:tblW w:w="732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3917"/>
              <w:gridCol w:w="2321"/>
              <w:gridCol w:w="1086"/>
            </w:tblGrid>
            <w:tr w14:paraId="383CD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71" w:hRule="atLeast"/>
                <w:jc w:val="center"/>
              </w:trPr>
              <w:tc>
                <w:tcPr>
                  <w:tcW w:w="3917" w:type="dxa"/>
                  <w:tcBorders>
                    <w:tl2br w:val="nil"/>
                    <w:tr2bl w:val="nil"/>
                  </w:tcBorders>
                  <w:vAlign w:val="center"/>
                </w:tcPr>
                <w:p w14:paraId="3BCE70B9">
                  <w:pPr>
                    <w:jc w:val="center"/>
                    <w:rPr>
                      <w:bCs/>
                      <w:color w:val="auto"/>
                      <w:szCs w:val="21"/>
                    </w:rPr>
                  </w:pPr>
                  <w:r>
                    <w:rPr>
                      <w:bCs/>
                      <w:color w:val="auto"/>
                      <w:szCs w:val="21"/>
                    </w:rPr>
                    <w:t>方案内容</w:t>
                  </w:r>
                </w:p>
              </w:tc>
              <w:tc>
                <w:tcPr>
                  <w:tcW w:w="2321" w:type="dxa"/>
                  <w:tcBorders>
                    <w:tl2br w:val="nil"/>
                    <w:tr2bl w:val="nil"/>
                  </w:tcBorders>
                  <w:vAlign w:val="center"/>
                </w:tcPr>
                <w:p w14:paraId="09759C0E">
                  <w:pPr>
                    <w:jc w:val="center"/>
                    <w:rPr>
                      <w:bCs/>
                      <w:color w:val="auto"/>
                      <w:szCs w:val="21"/>
                    </w:rPr>
                  </w:pPr>
                  <w:r>
                    <w:rPr>
                      <w:bCs/>
                      <w:color w:val="auto"/>
                      <w:szCs w:val="21"/>
                    </w:rPr>
                    <w:t>项目概况</w:t>
                  </w:r>
                </w:p>
              </w:tc>
              <w:tc>
                <w:tcPr>
                  <w:tcW w:w="1086" w:type="dxa"/>
                  <w:tcBorders>
                    <w:tl2br w:val="nil"/>
                    <w:tr2bl w:val="nil"/>
                  </w:tcBorders>
                  <w:vAlign w:val="center"/>
                </w:tcPr>
                <w:p w14:paraId="36AD8300">
                  <w:pPr>
                    <w:jc w:val="center"/>
                    <w:rPr>
                      <w:bCs/>
                      <w:color w:val="auto"/>
                      <w:szCs w:val="21"/>
                    </w:rPr>
                  </w:pPr>
                  <w:r>
                    <w:rPr>
                      <w:bCs/>
                      <w:color w:val="auto"/>
                      <w:szCs w:val="21"/>
                    </w:rPr>
                    <w:t>符合性</w:t>
                  </w:r>
                </w:p>
              </w:tc>
            </w:tr>
            <w:tr w14:paraId="79E682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227" w:hRule="atLeast"/>
                <w:jc w:val="center"/>
              </w:trPr>
              <w:tc>
                <w:tcPr>
                  <w:tcW w:w="3917" w:type="dxa"/>
                  <w:tcBorders>
                    <w:tl2br w:val="nil"/>
                    <w:tr2bl w:val="nil"/>
                  </w:tcBorders>
                  <w:vAlign w:val="center"/>
                </w:tcPr>
                <w:p w14:paraId="69E2DEE0">
                  <w:pPr>
                    <w:rPr>
                      <w:bCs/>
                      <w:color w:val="auto"/>
                      <w:szCs w:val="21"/>
                    </w:rPr>
                  </w:pPr>
                  <w:r>
                    <w:rPr>
                      <w:bCs/>
                      <w:color w:val="auto"/>
                      <w:szCs w:val="21"/>
                    </w:rPr>
                    <w:t>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w:t>
                  </w:r>
                </w:p>
              </w:tc>
              <w:tc>
                <w:tcPr>
                  <w:tcW w:w="2321" w:type="dxa"/>
                  <w:tcBorders>
                    <w:tl2br w:val="nil"/>
                    <w:tr2bl w:val="nil"/>
                  </w:tcBorders>
                  <w:vAlign w:val="center"/>
                </w:tcPr>
                <w:p w14:paraId="2E28CA43">
                  <w:pPr>
                    <w:rPr>
                      <w:bCs/>
                      <w:color w:val="auto"/>
                      <w:szCs w:val="21"/>
                    </w:rPr>
                  </w:pPr>
                  <w:r>
                    <w:rPr>
                      <w:bCs/>
                      <w:color w:val="auto"/>
                      <w:szCs w:val="21"/>
                    </w:rPr>
                    <w:t>本项目为农产品初加工项目，配套建设</w:t>
                  </w:r>
                  <w:r>
                    <w:rPr>
                      <w:rFonts w:hint="eastAsia"/>
                      <w:bCs/>
                      <w:color w:val="auto"/>
                      <w:szCs w:val="21"/>
                    </w:rPr>
                    <w:t>2台360万kcal/h的</w:t>
                  </w:r>
                  <w:r>
                    <w:rPr>
                      <w:bCs/>
                      <w:color w:val="auto"/>
                      <w:szCs w:val="21"/>
                    </w:rPr>
                    <w:t>热风炉用于玉米烘干，不属于《工业炉窑大气污染物综合治理方案》附件1工业炉窑分类表中农林产品、设备制造、金属制品、监测、化工等行业，热风炉亦配套高效废气治理设施，符合要求</w:t>
                  </w:r>
                  <w:r>
                    <w:rPr>
                      <w:rStyle w:val="46"/>
                      <w:rFonts w:hint="eastAsia"/>
                      <w:color w:val="auto"/>
                    </w:rPr>
                    <w:t>。</w:t>
                  </w:r>
                </w:p>
              </w:tc>
              <w:tc>
                <w:tcPr>
                  <w:tcW w:w="1086" w:type="dxa"/>
                  <w:tcBorders>
                    <w:tl2br w:val="nil"/>
                    <w:tr2bl w:val="nil"/>
                  </w:tcBorders>
                  <w:vAlign w:val="center"/>
                </w:tcPr>
                <w:p w14:paraId="346DF8F7">
                  <w:pPr>
                    <w:jc w:val="center"/>
                    <w:rPr>
                      <w:bCs/>
                      <w:color w:val="auto"/>
                      <w:szCs w:val="21"/>
                    </w:rPr>
                  </w:pPr>
                  <w:r>
                    <w:rPr>
                      <w:bCs/>
                      <w:color w:val="auto"/>
                      <w:szCs w:val="21"/>
                    </w:rPr>
                    <w:t>符合</w:t>
                  </w:r>
                </w:p>
              </w:tc>
            </w:tr>
            <w:tr w14:paraId="3F60C1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1886" w:hRule="atLeast"/>
                <w:jc w:val="center"/>
              </w:trPr>
              <w:tc>
                <w:tcPr>
                  <w:tcW w:w="3917" w:type="dxa"/>
                  <w:tcBorders>
                    <w:tl2br w:val="nil"/>
                    <w:tr2bl w:val="nil"/>
                  </w:tcBorders>
                  <w:vAlign w:val="center"/>
                </w:tcPr>
                <w:p w14:paraId="4D3AF815">
                  <w:pPr>
                    <w:rPr>
                      <w:bCs/>
                      <w:color w:val="auto"/>
                      <w:szCs w:val="21"/>
                    </w:rPr>
                  </w:pPr>
                  <w:r>
                    <w:rPr>
                      <w:bCs/>
                      <w:color w:val="auto"/>
                      <w:szCs w:val="21"/>
                    </w:rPr>
                    <w:t>加快燃料清洁低碳化替代。对以煤、石油焦、渣油、重油等为燃料的工业炉窑，加快使用清洁低碳能源以及利用工厂余热、电厂热力等进行替代。重点区域禁止掺烧高硫石油焦（硫含量大于3%）。玻璃行业全面禁止掺烧高硫石油焦</w:t>
                  </w:r>
                </w:p>
              </w:tc>
              <w:tc>
                <w:tcPr>
                  <w:tcW w:w="2321" w:type="dxa"/>
                  <w:tcBorders>
                    <w:tl2br w:val="nil"/>
                    <w:tr2bl w:val="nil"/>
                  </w:tcBorders>
                  <w:vAlign w:val="center"/>
                </w:tcPr>
                <w:p w14:paraId="636F5364">
                  <w:pPr>
                    <w:rPr>
                      <w:bCs/>
                      <w:color w:val="auto"/>
                      <w:szCs w:val="21"/>
                    </w:rPr>
                  </w:pPr>
                  <w:r>
                    <w:rPr>
                      <w:bCs/>
                      <w:color w:val="auto"/>
                      <w:szCs w:val="21"/>
                    </w:rPr>
                    <w:t>本项目采用成型生物质燃料作为燃料，不使用煤、重油等高污染燃料，符合要求</w:t>
                  </w:r>
                  <w:r>
                    <w:rPr>
                      <w:rStyle w:val="46"/>
                      <w:rFonts w:hint="eastAsia"/>
                      <w:color w:val="auto"/>
                    </w:rPr>
                    <w:t>。</w:t>
                  </w:r>
                </w:p>
              </w:tc>
              <w:tc>
                <w:tcPr>
                  <w:tcW w:w="1086" w:type="dxa"/>
                  <w:tcBorders>
                    <w:tl2br w:val="nil"/>
                    <w:tr2bl w:val="nil"/>
                  </w:tcBorders>
                  <w:vAlign w:val="center"/>
                </w:tcPr>
                <w:p w14:paraId="5AD6747E">
                  <w:pPr>
                    <w:jc w:val="center"/>
                    <w:rPr>
                      <w:bCs/>
                      <w:color w:val="auto"/>
                      <w:szCs w:val="21"/>
                    </w:rPr>
                  </w:pPr>
                  <w:r>
                    <w:rPr>
                      <w:bCs/>
                      <w:color w:val="auto"/>
                      <w:szCs w:val="21"/>
                    </w:rPr>
                    <w:t>符合</w:t>
                  </w:r>
                </w:p>
              </w:tc>
            </w:tr>
            <w:tr w14:paraId="1204AC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812" w:hRule="atLeast"/>
                <w:jc w:val="center"/>
              </w:trPr>
              <w:tc>
                <w:tcPr>
                  <w:tcW w:w="3917" w:type="dxa"/>
                  <w:tcBorders>
                    <w:tl2br w:val="nil"/>
                    <w:tr2bl w:val="nil"/>
                  </w:tcBorders>
                  <w:vAlign w:val="center"/>
                </w:tcPr>
                <w:p w14:paraId="7083D888">
                  <w:pPr>
                    <w:rPr>
                      <w:bCs/>
                      <w:color w:val="auto"/>
                      <w:szCs w:val="21"/>
                    </w:rPr>
                  </w:pPr>
                  <w:r>
                    <w:rPr>
                      <w:bCs/>
                      <w:color w:val="auto"/>
                      <w:szCs w:val="21"/>
                    </w:rPr>
                    <w:t>实施污染深度治理。推进工业炉窑全面达标排放。已有行业排放标准的工业炉窑，严格执行行业排放标准相关规定，配套建设高效脱硫脱硝除尘设施，确保稳定达标排放。已制定更严格地方排放标准的，按地方标准执行。重点区域钢铁、水泥、焦化、石化、化工、有色等行业，二氧化硫、氮氧化物、颗粒物、挥发性有机物（VOCs）排放全面执行大气污染物特别排放限值。已核发排污许可证的，应严格执行许可要求</w:t>
                  </w:r>
                </w:p>
              </w:tc>
              <w:tc>
                <w:tcPr>
                  <w:tcW w:w="2321" w:type="dxa"/>
                  <w:tcBorders>
                    <w:tl2br w:val="nil"/>
                    <w:tr2bl w:val="nil"/>
                  </w:tcBorders>
                  <w:vAlign w:val="center"/>
                </w:tcPr>
                <w:p w14:paraId="32563EA4">
                  <w:pPr>
                    <w:rPr>
                      <w:bCs/>
                      <w:color w:val="auto"/>
                      <w:szCs w:val="21"/>
                    </w:rPr>
                  </w:pPr>
                  <w:r>
                    <w:rPr>
                      <w:bCs/>
                      <w:color w:val="auto"/>
                      <w:szCs w:val="21"/>
                    </w:rPr>
                    <w:t>本项目生物质热风炉配套建有</w:t>
                  </w:r>
                  <w:r>
                    <w:rPr>
                      <w:rFonts w:hint="eastAsia"/>
                      <w:bCs/>
                      <w:color w:val="auto"/>
                      <w:szCs w:val="21"/>
                    </w:rPr>
                    <w:t>低氮燃烧装置、</w:t>
                  </w:r>
                  <w:r>
                    <w:rPr>
                      <w:bCs/>
                      <w:color w:val="auto"/>
                      <w:szCs w:val="21"/>
                    </w:rPr>
                    <w:t>布袋除尘器，热风炉烟气经除尘系统处理后排放，烟气可以达标排放；本项目建成后将积极进行排污许可证申领工作，取得后将严格按照排污许可要求进行项目运营管理</w:t>
                  </w:r>
                  <w:r>
                    <w:rPr>
                      <w:rStyle w:val="46"/>
                      <w:rFonts w:hint="eastAsia"/>
                      <w:color w:val="auto"/>
                    </w:rPr>
                    <w:t>。</w:t>
                  </w:r>
                </w:p>
              </w:tc>
              <w:tc>
                <w:tcPr>
                  <w:tcW w:w="1086" w:type="dxa"/>
                  <w:tcBorders>
                    <w:tl2br w:val="nil"/>
                    <w:tr2bl w:val="nil"/>
                  </w:tcBorders>
                  <w:vAlign w:val="center"/>
                </w:tcPr>
                <w:p w14:paraId="2E634DB1">
                  <w:pPr>
                    <w:jc w:val="center"/>
                    <w:rPr>
                      <w:bCs/>
                      <w:color w:val="auto"/>
                      <w:szCs w:val="21"/>
                    </w:rPr>
                  </w:pPr>
                  <w:r>
                    <w:rPr>
                      <w:bCs/>
                      <w:color w:val="auto"/>
                      <w:szCs w:val="21"/>
                    </w:rPr>
                    <w:t>符合</w:t>
                  </w:r>
                </w:p>
              </w:tc>
            </w:tr>
            <w:tr w14:paraId="745BBD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869" w:hRule="atLeast"/>
                <w:jc w:val="center"/>
              </w:trPr>
              <w:tc>
                <w:tcPr>
                  <w:tcW w:w="3917" w:type="dxa"/>
                  <w:tcBorders>
                    <w:tl2br w:val="nil"/>
                    <w:tr2bl w:val="nil"/>
                  </w:tcBorders>
                  <w:vAlign w:val="center"/>
                </w:tcPr>
                <w:p w14:paraId="64182685">
                  <w:pPr>
                    <w:rPr>
                      <w:bCs/>
                      <w:color w:val="auto"/>
                      <w:szCs w:val="21"/>
                    </w:rPr>
                  </w:pPr>
                  <w:r>
                    <w:rPr>
                      <w:bCs/>
                      <w:color w:val="auto"/>
                      <w:szCs w:val="21"/>
                    </w:rPr>
                    <w:t>开展工业园区和产业集群综合整治。各地要加大涉工业炉窑类工业园区和产业集群的综合整治力度，结合“三线一单”（生态保护红线、环境质量底线、资源利用上线和生态环境准入清单）、规划环评等要求，进一步梳理确定园区和产业发展定位、规模及结构等。制定综合整治方案，对标先进企业，从生产工艺、产能规模、燃料类型、污染治理等方面提出明确要求，提升产业发展质量和环保治理水平。按照统一标准、统一时间表的要求，同步推进区域环境综合整治和企业升级改造。加强工业园区能源替代利用与资源共享，积极推广集中供汽供热或建设清洁低碳能源中心等，替代工业炉窑燃料用煤；充分利用园区内工厂余热、焦炉煤气等清洁低碳能源，加强分质与梯级利用，提高能源利用效率，促进形成清洁低碳高效产业链</w:t>
                  </w:r>
                </w:p>
              </w:tc>
              <w:tc>
                <w:tcPr>
                  <w:tcW w:w="2321" w:type="dxa"/>
                  <w:tcBorders>
                    <w:tl2br w:val="nil"/>
                    <w:tr2bl w:val="nil"/>
                  </w:tcBorders>
                  <w:vAlign w:val="center"/>
                </w:tcPr>
                <w:p w14:paraId="62F66760">
                  <w:pPr>
                    <w:rPr>
                      <w:bCs/>
                      <w:color w:val="auto"/>
                      <w:szCs w:val="21"/>
                    </w:rPr>
                  </w:pPr>
                  <w:r>
                    <w:rPr>
                      <w:bCs/>
                      <w:color w:val="auto"/>
                      <w:szCs w:val="21"/>
                    </w:rPr>
                    <w:t>本项目为农产品初加工项目，不涉及烟草、木材、铸造砂、砂石、矿料（渣）、化工产品、有机涂层产品等，不属于《工业炉窑大气污染物综合治理方案》附件1工业炉窑分类表中农林产品、设备制造、金属制品、监测、化工等行业，本项目热风炉使用成型生物质燃料，不使用煤、重油等高污染燃料，热风炉废气经除尘系统处理后排放，烟气可以达标排放，符合要求</w:t>
                  </w:r>
                  <w:r>
                    <w:rPr>
                      <w:rStyle w:val="46"/>
                      <w:rFonts w:hint="eastAsia"/>
                      <w:color w:val="auto"/>
                    </w:rPr>
                    <w:t>。</w:t>
                  </w:r>
                </w:p>
              </w:tc>
              <w:tc>
                <w:tcPr>
                  <w:tcW w:w="1086" w:type="dxa"/>
                  <w:tcBorders>
                    <w:tl2br w:val="nil"/>
                    <w:tr2bl w:val="nil"/>
                  </w:tcBorders>
                  <w:vAlign w:val="center"/>
                </w:tcPr>
                <w:p w14:paraId="14EC55FD">
                  <w:pPr>
                    <w:jc w:val="center"/>
                    <w:rPr>
                      <w:bCs/>
                      <w:color w:val="auto"/>
                      <w:szCs w:val="21"/>
                    </w:rPr>
                  </w:pPr>
                  <w:r>
                    <w:rPr>
                      <w:bCs/>
                      <w:color w:val="auto"/>
                      <w:szCs w:val="21"/>
                    </w:rPr>
                    <w:t>符合</w:t>
                  </w:r>
                </w:p>
              </w:tc>
            </w:tr>
          </w:tbl>
          <w:p w14:paraId="0280FE6F">
            <w:pPr>
              <w:pStyle w:val="57"/>
              <w:spacing w:line="360" w:lineRule="auto"/>
              <w:ind w:firstLine="482"/>
              <w:rPr>
                <w:b/>
                <w:color w:val="auto"/>
                <w:szCs w:val="24"/>
              </w:rPr>
            </w:pPr>
            <w:r>
              <w:rPr>
                <w:rFonts w:hint="eastAsia"/>
                <w:b/>
                <w:bCs/>
                <w:color w:val="auto"/>
              </w:rPr>
              <w:t>6</w:t>
            </w:r>
            <w:r>
              <w:rPr>
                <w:b/>
                <w:bCs/>
                <w:color w:val="auto"/>
              </w:rPr>
              <w:t>、</w:t>
            </w:r>
            <w:r>
              <w:rPr>
                <w:b/>
                <w:color w:val="auto"/>
                <w:szCs w:val="24"/>
              </w:rPr>
              <w:t>与《黑龙江省工业炉窑大气污染综合治理方案》（黑环发</w:t>
            </w:r>
            <w:r>
              <w:rPr>
                <w:rFonts w:hint="eastAsia"/>
                <w:b/>
                <w:color w:val="auto"/>
                <w:szCs w:val="24"/>
              </w:rPr>
              <w:t>〔</w:t>
            </w:r>
            <w:r>
              <w:rPr>
                <w:b/>
                <w:color w:val="auto"/>
                <w:szCs w:val="24"/>
              </w:rPr>
              <w:t>2019</w:t>
            </w:r>
            <w:r>
              <w:rPr>
                <w:rFonts w:hint="eastAsia"/>
                <w:b/>
                <w:color w:val="auto"/>
                <w:szCs w:val="24"/>
              </w:rPr>
              <w:t>〕</w:t>
            </w:r>
            <w:r>
              <w:rPr>
                <w:b/>
                <w:color w:val="auto"/>
                <w:szCs w:val="24"/>
              </w:rPr>
              <w:t>144号）符合性分析</w:t>
            </w:r>
          </w:p>
          <w:p w14:paraId="65174554">
            <w:pPr>
              <w:autoSpaceDE w:val="0"/>
              <w:autoSpaceDN w:val="0"/>
              <w:adjustRightInd w:val="0"/>
              <w:snapToGrid w:val="0"/>
              <w:spacing w:line="360" w:lineRule="auto"/>
              <w:ind w:firstLine="480" w:firstLineChars="200"/>
              <w:rPr>
                <w:color w:val="auto"/>
                <w:sz w:val="24"/>
              </w:rPr>
            </w:pPr>
            <w:r>
              <w:rPr>
                <w:color w:val="auto"/>
                <w:sz w:val="24"/>
              </w:rPr>
              <w:t>对照《黑龙江省工业炉窑大气污染综合治理方案》（黑环发〔2019〕144号），本项目不属于钢铁、焦化、电解铝、铸造、水泥和平板玻璃等产能过剩行业，符合文件中“二、重点任务：（一）加大产业结构调整力度”中的相关要求。</w:t>
            </w:r>
          </w:p>
          <w:p w14:paraId="29C64C7D">
            <w:pPr>
              <w:pStyle w:val="59"/>
              <w:spacing w:line="360" w:lineRule="auto"/>
              <w:ind w:firstLine="480" w:firstLineChars="200"/>
              <w:jc w:val="both"/>
              <w:rPr>
                <w:color w:val="auto"/>
                <w:kern w:val="2"/>
                <w:sz w:val="24"/>
                <w:szCs w:val="24"/>
              </w:rPr>
            </w:pPr>
            <w:r>
              <w:rPr>
                <w:color w:val="auto"/>
                <w:kern w:val="2"/>
                <w:sz w:val="24"/>
                <w:szCs w:val="24"/>
              </w:rPr>
              <w:t>新建涉工业炉窑的建设项目，原则上要入园区，配套建设高效环保治理设施。</w:t>
            </w:r>
          </w:p>
          <w:p w14:paraId="5521BC3F">
            <w:pPr>
              <w:autoSpaceDE w:val="0"/>
              <w:autoSpaceDN w:val="0"/>
              <w:adjustRightInd w:val="0"/>
              <w:snapToGrid w:val="0"/>
              <w:spacing w:line="360" w:lineRule="auto"/>
              <w:ind w:firstLine="480" w:firstLineChars="200"/>
              <w:rPr>
                <w:color w:val="auto"/>
                <w:sz w:val="24"/>
              </w:rPr>
            </w:pPr>
            <w:r>
              <w:rPr>
                <w:color w:val="auto"/>
                <w:sz w:val="24"/>
              </w:rPr>
              <w:t>本项目烘干塔热风炉燃用生物质成型燃料，不涉及燃煤及煤气发生炉设备，符合文件中“二、重点任务：（二）加快燃料清洁低碳化替代”中的相关要求。</w:t>
            </w:r>
          </w:p>
          <w:p w14:paraId="46EDA0A2">
            <w:pPr>
              <w:autoSpaceDE w:val="0"/>
              <w:autoSpaceDN w:val="0"/>
              <w:adjustRightInd w:val="0"/>
              <w:snapToGrid w:val="0"/>
              <w:spacing w:line="360" w:lineRule="auto"/>
              <w:ind w:firstLine="480" w:firstLineChars="200"/>
              <w:rPr>
                <w:color w:val="auto"/>
                <w:sz w:val="24"/>
              </w:rPr>
            </w:pPr>
            <w:r>
              <w:rPr>
                <w:color w:val="auto"/>
                <w:sz w:val="24"/>
              </w:rPr>
              <w:t>本项目为粮食烘干项目，采用生物质热风炉为烘干塔提供热源，所使用的热风炉属于工业炉窑，方案中主要针对钢铁、焦化、电解铝、铸造、水泥和平板玻璃等高污染行业，本项目为区域粮食服务，不属于以上提到的高污染行业，且作为农村特有的为粮食安全提供的烘干服务企业，结合黑龙江省现有粮食烘干企业的情况，目前均未要求粮食烘干企业进驻工业园区。项目所在区域不属于国家规定的重点区域，不属于城市建成区，本项目建设热风炉配套建设了高效除尘措施，符合《工业炉窑大气污染综合治理方案》中减少生产过程中大气污染物排放的意见。</w:t>
            </w:r>
          </w:p>
          <w:p w14:paraId="6D727796">
            <w:pPr>
              <w:autoSpaceDE w:val="0"/>
              <w:autoSpaceDN w:val="0"/>
              <w:adjustRightInd w:val="0"/>
              <w:snapToGrid w:val="0"/>
              <w:spacing w:line="360" w:lineRule="auto"/>
              <w:ind w:firstLine="480" w:firstLineChars="200"/>
              <w:rPr>
                <w:color w:val="auto"/>
                <w:sz w:val="24"/>
              </w:rPr>
            </w:pPr>
            <w:r>
              <w:rPr>
                <w:color w:val="auto"/>
                <w:sz w:val="24"/>
              </w:rPr>
              <w:t>本项目</w:t>
            </w:r>
            <w:r>
              <w:rPr>
                <w:rFonts w:hint="eastAsia"/>
                <w:color w:val="auto"/>
                <w:sz w:val="24"/>
              </w:rPr>
              <w:t>建设2台</w:t>
            </w:r>
            <w:r>
              <w:rPr>
                <w:color w:val="auto"/>
                <w:sz w:val="24"/>
              </w:rPr>
              <w:t>烘干塔热风炉</w:t>
            </w:r>
            <w:r>
              <w:rPr>
                <w:rFonts w:hint="eastAsia"/>
                <w:color w:val="auto"/>
                <w:sz w:val="24"/>
              </w:rPr>
              <w:t>，分别</w:t>
            </w:r>
            <w:r>
              <w:rPr>
                <w:color w:val="auto"/>
                <w:sz w:val="24"/>
              </w:rPr>
              <w:t>配套建设除尘系统及</w:t>
            </w:r>
            <w:r>
              <w:rPr>
                <w:rFonts w:hint="eastAsia"/>
                <w:color w:val="auto"/>
                <w:sz w:val="24"/>
              </w:rPr>
              <w:t>15m</w:t>
            </w:r>
            <w:r>
              <w:rPr>
                <w:color w:val="auto"/>
                <w:sz w:val="24"/>
              </w:rPr>
              <w:t>烟囱，可使热风炉烟气达标排放；本项目采取减小装卸高度、密闭输送等降尘措施；原粮筛分采用密闭式滚筒筛；烘干塔塔体两侧排气孔</w:t>
            </w:r>
            <w:r>
              <w:rPr>
                <w:rFonts w:hint="eastAsia"/>
                <w:color w:val="auto"/>
                <w:sz w:val="24"/>
              </w:rPr>
              <w:t>均</w:t>
            </w:r>
            <w:r>
              <w:rPr>
                <w:color w:val="auto"/>
                <w:sz w:val="24"/>
              </w:rPr>
              <w:t>设置折流挡板，塔顶排气孔设滤尘网，通过上述措施可使厂界颗粒物无组织达标排放，符合文件中“二、重点任务：（三）实施污染深度治理。推进工业炉窑全面达标排放。”中的相关要求。</w:t>
            </w:r>
          </w:p>
          <w:p w14:paraId="23DDCD3B">
            <w:pPr>
              <w:pStyle w:val="57"/>
              <w:spacing w:line="360" w:lineRule="auto"/>
              <w:ind w:firstLine="480"/>
              <w:rPr>
                <w:color w:val="auto"/>
                <w:szCs w:val="24"/>
              </w:rPr>
            </w:pPr>
            <w:r>
              <w:rPr>
                <w:color w:val="auto"/>
                <w:szCs w:val="24"/>
              </w:rPr>
              <w:t>综上所述，本项目符合《黑龙江省工业炉窑大气污染综合治理方案》（黑环发</w:t>
            </w:r>
            <w:r>
              <w:rPr>
                <w:rFonts w:hint="eastAsia"/>
                <w:color w:val="auto"/>
                <w:szCs w:val="24"/>
              </w:rPr>
              <w:t>〔</w:t>
            </w:r>
            <w:r>
              <w:rPr>
                <w:color w:val="auto"/>
                <w:szCs w:val="24"/>
              </w:rPr>
              <w:t>2019</w:t>
            </w:r>
            <w:r>
              <w:rPr>
                <w:rFonts w:hint="eastAsia"/>
                <w:color w:val="auto"/>
                <w:szCs w:val="24"/>
              </w:rPr>
              <w:t>〕</w:t>
            </w:r>
            <w:r>
              <w:rPr>
                <w:color w:val="auto"/>
                <w:szCs w:val="24"/>
              </w:rPr>
              <w:t>144号）中的相关要求。</w:t>
            </w:r>
          </w:p>
          <w:p w14:paraId="3B6B9C72">
            <w:pPr>
              <w:pStyle w:val="57"/>
              <w:spacing w:line="360" w:lineRule="auto"/>
              <w:ind w:firstLine="482"/>
              <w:rPr>
                <w:color w:val="auto"/>
              </w:rPr>
            </w:pPr>
            <w:r>
              <w:rPr>
                <w:rFonts w:hint="eastAsia"/>
                <w:b/>
                <w:bCs/>
                <w:color w:val="auto"/>
                <w:szCs w:val="24"/>
              </w:rPr>
              <w:t>7</w:t>
            </w:r>
            <w:r>
              <w:rPr>
                <w:b/>
                <w:bCs/>
                <w:color w:val="auto"/>
                <w:szCs w:val="24"/>
              </w:rPr>
              <w:t>、与《黑龙江省空气质量持续改善行动计划实施方案》（黑政发〔2023〕19号）符合性分析</w:t>
            </w:r>
          </w:p>
          <w:p w14:paraId="6525FC3E">
            <w:pPr>
              <w:pStyle w:val="57"/>
              <w:spacing w:line="360" w:lineRule="auto"/>
              <w:ind w:firstLine="480"/>
              <w:rPr>
                <w:bCs/>
                <w:color w:val="auto"/>
                <w:kern w:val="2"/>
                <w:szCs w:val="24"/>
              </w:rPr>
            </w:pPr>
            <w:r>
              <w:rPr>
                <w:bCs/>
                <w:color w:val="auto"/>
                <w:kern w:val="2"/>
                <w:szCs w:val="24"/>
              </w:rPr>
              <w:t>根据《黑龙江省空气质量持续改善行动计划实施方案》，（十二）加快工业炉窑燃料清洁替代。有序推进以电代煤，积极稳妥推进以气代煤。稳步推进在用高污染燃料的工业炉窑改用工业余热、电能、天然气等。</w:t>
            </w:r>
          </w:p>
          <w:p w14:paraId="58493735">
            <w:pPr>
              <w:pStyle w:val="57"/>
              <w:spacing w:line="360" w:lineRule="auto"/>
              <w:ind w:firstLine="480"/>
              <w:rPr>
                <w:bCs/>
                <w:color w:val="auto"/>
                <w:kern w:val="2"/>
                <w:szCs w:val="24"/>
              </w:rPr>
            </w:pPr>
            <w:r>
              <w:rPr>
                <w:bCs/>
                <w:color w:val="auto"/>
                <w:kern w:val="2"/>
                <w:szCs w:val="24"/>
              </w:rPr>
              <w:t>本项目</w:t>
            </w:r>
            <w:r>
              <w:rPr>
                <w:rFonts w:hint="eastAsia"/>
                <w:bCs/>
                <w:color w:val="auto"/>
                <w:kern w:val="2"/>
                <w:szCs w:val="24"/>
              </w:rPr>
              <w:t>2台</w:t>
            </w:r>
            <w:r>
              <w:rPr>
                <w:bCs/>
                <w:color w:val="auto"/>
                <w:kern w:val="2"/>
                <w:szCs w:val="24"/>
              </w:rPr>
              <w:t>热风炉</w:t>
            </w:r>
            <w:r>
              <w:rPr>
                <w:rFonts w:hint="eastAsia"/>
                <w:bCs/>
                <w:color w:val="auto"/>
                <w:kern w:val="2"/>
                <w:szCs w:val="24"/>
              </w:rPr>
              <w:t>均</w:t>
            </w:r>
            <w:r>
              <w:rPr>
                <w:bCs/>
                <w:color w:val="auto"/>
                <w:kern w:val="2"/>
                <w:szCs w:val="24"/>
              </w:rPr>
              <w:t>采用生物质压块</w:t>
            </w:r>
            <w:r>
              <w:rPr>
                <w:rFonts w:hint="eastAsia"/>
                <w:bCs/>
                <w:color w:val="auto"/>
                <w:kern w:val="2"/>
                <w:szCs w:val="24"/>
              </w:rPr>
              <w:t>燃料</w:t>
            </w:r>
            <w:r>
              <w:rPr>
                <w:bCs/>
                <w:color w:val="auto"/>
                <w:kern w:val="2"/>
                <w:szCs w:val="24"/>
              </w:rPr>
              <w:t>，</w:t>
            </w:r>
            <w:r>
              <w:rPr>
                <w:rFonts w:hint="eastAsia"/>
                <w:bCs/>
                <w:color w:val="auto"/>
                <w:kern w:val="2"/>
                <w:szCs w:val="24"/>
              </w:rPr>
              <w:t>分别</w:t>
            </w:r>
            <w:r>
              <w:rPr>
                <w:bCs/>
                <w:color w:val="auto"/>
                <w:kern w:val="2"/>
                <w:szCs w:val="24"/>
              </w:rPr>
              <w:t>经除尘效率</w:t>
            </w:r>
            <w:r>
              <w:rPr>
                <w:rFonts w:hint="eastAsia"/>
                <w:bCs/>
                <w:color w:val="auto"/>
                <w:kern w:val="2"/>
                <w:szCs w:val="24"/>
              </w:rPr>
              <w:t>99.7%</w:t>
            </w:r>
            <w:r>
              <w:rPr>
                <w:bCs/>
                <w:color w:val="auto"/>
                <w:kern w:val="2"/>
                <w:szCs w:val="24"/>
              </w:rPr>
              <w:t>的布袋除尘器处理后，</w:t>
            </w:r>
            <w:r>
              <w:rPr>
                <w:rFonts w:hint="eastAsia"/>
                <w:bCs/>
                <w:color w:val="auto"/>
                <w:kern w:val="2"/>
                <w:szCs w:val="24"/>
              </w:rPr>
              <w:t>分别</w:t>
            </w:r>
            <w:r>
              <w:rPr>
                <w:bCs/>
                <w:color w:val="auto"/>
                <w:kern w:val="2"/>
                <w:szCs w:val="24"/>
              </w:rPr>
              <w:t>经</w:t>
            </w:r>
            <w:r>
              <w:rPr>
                <w:rFonts w:hint="eastAsia"/>
                <w:bCs/>
                <w:color w:val="auto"/>
                <w:kern w:val="2"/>
                <w:szCs w:val="24"/>
              </w:rPr>
              <w:t>15m</w:t>
            </w:r>
            <w:r>
              <w:rPr>
                <w:bCs/>
                <w:color w:val="auto"/>
                <w:kern w:val="2"/>
                <w:szCs w:val="24"/>
              </w:rPr>
              <w:t>高烟囱</w:t>
            </w:r>
            <w:r>
              <w:rPr>
                <w:rFonts w:hint="eastAsia"/>
                <w:bCs/>
                <w:color w:val="auto"/>
                <w:kern w:val="2"/>
                <w:szCs w:val="24"/>
              </w:rPr>
              <w:t>DA001、DA002</w:t>
            </w:r>
            <w:r>
              <w:rPr>
                <w:bCs/>
                <w:color w:val="auto"/>
                <w:kern w:val="2"/>
                <w:szCs w:val="24"/>
              </w:rPr>
              <w:t>排放</w:t>
            </w:r>
            <w:r>
              <w:rPr>
                <w:rFonts w:hint="eastAsia"/>
                <w:bCs/>
                <w:color w:val="auto"/>
                <w:kern w:val="2"/>
                <w:szCs w:val="24"/>
              </w:rPr>
              <w:t>，</w:t>
            </w:r>
            <w:r>
              <w:rPr>
                <w:bCs/>
                <w:color w:val="auto"/>
                <w:kern w:val="2"/>
                <w:szCs w:val="24"/>
              </w:rPr>
              <w:t>对周围空气质量影响可接受。因此符合《黑龙江省空气质量持续改善行动计划实施方案》中相关要求。</w:t>
            </w:r>
          </w:p>
          <w:p w14:paraId="418DA0B8">
            <w:pPr>
              <w:pStyle w:val="57"/>
              <w:spacing w:line="360" w:lineRule="auto"/>
              <w:ind w:firstLine="482"/>
              <w:rPr>
                <w:b/>
                <w:color w:val="auto"/>
                <w:kern w:val="2"/>
                <w:szCs w:val="24"/>
              </w:rPr>
            </w:pPr>
            <w:r>
              <w:rPr>
                <w:rFonts w:hint="eastAsia"/>
                <w:b/>
                <w:color w:val="auto"/>
                <w:kern w:val="2"/>
                <w:szCs w:val="24"/>
              </w:rPr>
              <w:t>8</w:t>
            </w:r>
            <w:r>
              <w:rPr>
                <w:b/>
                <w:color w:val="auto"/>
                <w:kern w:val="2"/>
                <w:szCs w:val="24"/>
              </w:rPr>
              <w:t>、与《佳木斯市“十四五”生态环境保护规划》佳政规〔2023〕1号的符合性分析</w:t>
            </w:r>
          </w:p>
          <w:p w14:paraId="05924F02">
            <w:pPr>
              <w:pStyle w:val="57"/>
              <w:spacing w:line="360" w:lineRule="auto"/>
              <w:ind w:firstLine="480"/>
              <w:rPr>
                <w:bCs/>
                <w:color w:val="auto"/>
                <w:kern w:val="2"/>
                <w:szCs w:val="24"/>
              </w:rPr>
            </w:pPr>
            <w:r>
              <w:rPr>
                <w:bCs/>
                <w:color w:val="auto"/>
                <w:kern w:val="2"/>
                <w:szCs w:val="24"/>
              </w:rPr>
              <w:t>加大燃煤污染治理力度。深入实施散煤污染治理“三重一改”攻坚行动，统筹城市棚户区、城中村、城乡结合部、商户和农村地区散煤污染治理，通过重点时段削峰、重点行业减排、重点区域联动，推进散煤替代改造。加快淘汰城市建成区10-35蒸吨/小时燃煤锅炉，推进65蒸吨/小时及以上燃煤锅炉（含电力）超低排放改造，重点推进垦区大型非电锅炉改造。</w:t>
            </w:r>
          </w:p>
          <w:p w14:paraId="2B2DDDA6">
            <w:pPr>
              <w:pStyle w:val="57"/>
              <w:spacing w:line="360" w:lineRule="auto"/>
              <w:ind w:firstLine="480"/>
              <w:rPr>
                <w:bCs/>
                <w:color w:val="auto"/>
                <w:kern w:val="2"/>
                <w:szCs w:val="24"/>
              </w:rPr>
            </w:pPr>
            <w:r>
              <w:rPr>
                <w:bCs/>
                <w:color w:val="auto"/>
                <w:kern w:val="2"/>
                <w:szCs w:val="24"/>
              </w:rPr>
              <w:t>强化秸秆综合利用和禁烧。编制秸秆综合利用实施方案，合理安排“五化”利用，完善秸秆收储运体系，推广秸秆综合利用先进技术和设备，拓宽利用途径。落实扶持政策，探索建立政府、企业与农民三方共赢的秸秆综合利用利益链接机制，实现秸秆综合利用水平全面提升。到2025年，全市秸秆综合利用率达到95%以上。强化各级网格责任单位秸秆禁烧主体责任，健全市县乡村“四级”网格化监管体系，强化秸秆禁烧督查巡查，综合运用科技手段，不断提高禁烧监管水平，严格落实奖惩制度。</w:t>
            </w:r>
          </w:p>
          <w:p w14:paraId="0352150D">
            <w:pPr>
              <w:pStyle w:val="57"/>
              <w:spacing w:line="360" w:lineRule="auto"/>
              <w:ind w:firstLine="480"/>
              <w:rPr>
                <w:bCs/>
                <w:color w:val="auto"/>
                <w:kern w:val="2"/>
                <w:szCs w:val="24"/>
              </w:rPr>
            </w:pPr>
            <w:r>
              <w:rPr>
                <w:bCs/>
                <w:color w:val="auto"/>
                <w:kern w:val="2"/>
                <w:szCs w:val="24"/>
              </w:rPr>
              <w:t>推进扬尘精细化管控。全面推行绿色施工，严格落实施工工地扬尘管控责任，加强施工扬尘监管执法。推进低尘机械化湿式清扫作业，加大城市出入口、城乡结合部等重要路段冲洗保洁力度，渣土车实施全密闭运输，强化绿化用地扬尘治理。城市裸露地面、粉粒类物料堆放以及大型煤炭和矿石码头、干散货码头物料堆场，推进抑尘设施建设和物料输送系统封闭改造。</w:t>
            </w:r>
          </w:p>
          <w:p w14:paraId="5D40660F">
            <w:pPr>
              <w:pStyle w:val="57"/>
              <w:spacing w:line="360" w:lineRule="auto"/>
              <w:ind w:firstLine="480"/>
              <w:rPr>
                <w:bCs/>
                <w:color w:val="auto"/>
                <w:kern w:val="2"/>
                <w:szCs w:val="24"/>
              </w:rPr>
            </w:pPr>
            <w:r>
              <w:rPr>
                <w:bCs/>
                <w:color w:val="auto"/>
                <w:kern w:val="2"/>
                <w:szCs w:val="24"/>
              </w:rPr>
              <w:t>实施重点行业NOx（氮氧化物）等污染物深度治理。推进焦化、水泥、玻璃等行业污染深度治理。推动平板玻璃等行业企业逐步取消烟气旁路，因安全生产无法取消的，按规定安装在线监管系统。加强生物质锅炉燃料品质及排放管控，禁止掺烧煤炭、垃圾和工业固废。</w:t>
            </w:r>
          </w:p>
          <w:p w14:paraId="674F2BB0">
            <w:pPr>
              <w:pStyle w:val="57"/>
              <w:spacing w:line="360" w:lineRule="auto"/>
              <w:ind w:firstLine="480"/>
              <w:rPr>
                <w:bCs/>
                <w:color w:val="auto"/>
                <w:kern w:val="2"/>
                <w:szCs w:val="24"/>
              </w:rPr>
            </w:pPr>
            <w:r>
              <w:rPr>
                <w:bCs/>
                <w:color w:val="auto"/>
                <w:kern w:val="2"/>
                <w:szCs w:val="24"/>
              </w:rPr>
              <w:t>本项目为烘干项目，不属于重污染行业。</w:t>
            </w:r>
            <w:r>
              <w:rPr>
                <w:rFonts w:hint="eastAsia"/>
                <w:bCs/>
                <w:color w:val="auto"/>
                <w:kern w:val="2"/>
                <w:szCs w:val="24"/>
              </w:rPr>
              <w:t>本项目不位于垦区，</w:t>
            </w:r>
            <w:r>
              <w:rPr>
                <w:bCs/>
                <w:color w:val="auto"/>
                <w:kern w:val="2"/>
                <w:szCs w:val="24"/>
              </w:rPr>
              <w:t>本项目采用</w:t>
            </w:r>
            <w:r>
              <w:rPr>
                <w:rFonts w:hint="eastAsia"/>
                <w:bCs/>
                <w:color w:val="auto"/>
                <w:kern w:val="2"/>
                <w:szCs w:val="24"/>
              </w:rPr>
              <w:t>2台360万kcal</w:t>
            </w:r>
            <w:r>
              <w:rPr>
                <w:bCs/>
                <w:color w:val="auto"/>
                <w:kern w:val="2"/>
                <w:szCs w:val="24"/>
              </w:rPr>
              <w:t>生物质热风炉，燃料为生物质压块燃料，是秸秆能源化利用的一种体现，热风炉配套</w:t>
            </w:r>
            <w:r>
              <w:rPr>
                <w:rFonts w:hint="eastAsia"/>
                <w:bCs/>
                <w:color w:val="auto"/>
                <w:kern w:val="2"/>
                <w:szCs w:val="24"/>
              </w:rPr>
              <w:t>低氮燃烧装置、</w:t>
            </w:r>
            <w:r>
              <w:rPr>
                <w:bCs/>
                <w:color w:val="auto"/>
                <w:kern w:val="2"/>
                <w:szCs w:val="24"/>
              </w:rPr>
              <w:t>高效除尘设施，热风炉烟气</w:t>
            </w:r>
            <w:r>
              <w:rPr>
                <w:rFonts w:hint="eastAsia"/>
                <w:bCs/>
                <w:color w:val="auto"/>
                <w:kern w:val="2"/>
                <w:szCs w:val="24"/>
              </w:rPr>
              <w:t>分别</w:t>
            </w:r>
            <w:r>
              <w:rPr>
                <w:bCs/>
                <w:color w:val="auto"/>
                <w:kern w:val="2"/>
                <w:szCs w:val="24"/>
              </w:rPr>
              <w:t>经布袋除尘器处理后，</w:t>
            </w:r>
            <w:r>
              <w:rPr>
                <w:rFonts w:hint="eastAsia"/>
                <w:bCs/>
                <w:color w:val="auto"/>
                <w:kern w:val="2"/>
                <w:szCs w:val="24"/>
              </w:rPr>
              <w:t>分别</w:t>
            </w:r>
            <w:r>
              <w:rPr>
                <w:bCs/>
                <w:color w:val="auto"/>
                <w:kern w:val="2"/>
                <w:szCs w:val="24"/>
              </w:rPr>
              <w:t>通过</w:t>
            </w:r>
            <w:r>
              <w:rPr>
                <w:rFonts w:hint="eastAsia"/>
                <w:bCs/>
                <w:color w:val="auto"/>
                <w:kern w:val="2"/>
                <w:szCs w:val="24"/>
              </w:rPr>
              <w:t>2根15m</w:t>
            </w:r>
            <w:r>
              <w:rPr>
                <w:bCs/>
                <w:color w:val="auto"/>
                <w:kern w:val="2"/>
                <w:szCs w:val="24"/>
              </w:rPr>
              <w:t>高烟囱</w:t>
            </w:r>
            <w:r>
              <w:rPr>
                <w:rFonts w:hint="eastAsia"/>
                <w:bCs/>
                <w:color w:val="auto"/>
                <w:kern w:val="2"/>
                <w:szCs w:val="24"/>
              </w:rPr>
              <w:t>DA001、DA002</w:t>
            </w:r>
            <w:r>
              <w:rPr>
                <w:bCs/>
                <w:color w:val="auto"/>
                <w:kern w:val="2"/>
                <w:szCs w:val="24"/>
              </w:rPr>
              <w:t>排放</w:t>
            </w:r>
            <w:r>
              <w:rPr>
                <w:rFonts w:hint="eastAsia"/>
                <w:bCs/>
                <w:color w:val="auto"/>
                <w:kern w:val="2"/>
                <w:szCs w:val="24"/>
              </w:rPr>
              <w:t>，</w:t>
            </w:r>
            <w:r>
              <w:rPr>
                <w:bCs/>
                <w:color w:val="auto"/>
                <w:kern w:val="2"/>
                <w:szCs w:val="24"/>
              </w:rPr>
              <w:t>采取治理措施后，对周围大气环境影响较小，符合《佳木斯市“十四五”生态环境保护规划》要求。</w:t>
            </w:r>
          </w:p>
          <w:p w14:paraId="1CBFC958">
            <w:pPr>
              <w:pStyle w:val="57"/>
              <w:spacing w:line="360" w:lineRule="auto"/>
              <w:ind w:firstLine="482"/>
              <w:rPr>
                <w:b/>
                <w:color w:val="auto"/>
                <w:szCs w:val="24"/>
              </w:rPr>
            </w:pPr>
            <w:r>
              <w:rPr>
                <w:rFonts w:hint="eastAsia"/>
                <w:b/>
                <w:color w:val="auto"/>
                <w:szCs w:val="24"/>
              </w:rPr>
              <w:t>9</w:t>
            </w:r>
            <w:r>
              <w:rPr>
                <w:b/>
                <w:color w:val="auto"/>
                <w:szCs w:val="24"/>
              </w:rPr>
              <w:t>、与《佳木斯市环境空气质量持续改善行动计划》符合性分析</w:t>
            </w:r>
          </w:p>
          <w:p w14:paraId="12B8C154">
            <w:pPr>
              <w:autoSpaceDE w:val="0"/>
              <w:autoSpaceDN w:val="0"/>
              <w:adjustRightInd w:val="0"/>
              <w:snapToGrid w:val="0"/>
              <w:spacing w:line="360" w:lineRule="auto"/>
              <w:ind w:firstLine="480" w:firstLineChars="200"/>
              <w:rPr>
                <w:color w:val="auto"/>
                <w:sz w:val="24"/>
              </w:rPr>
            </w:pPr>
            <w:r>
              <w:rPr>
                <w:color w:val="auto"/>
                <w:sz w:val="24"/>
              </w:rPr>
              <w:t>推进燃煤设施设备淘汰改造。动态掌握工业炉窑清单底数，稳步推进在用高污染燃料的工业炉窑改用工业余热、电能、天然气等清洁燃料。县级及以上城市建成区原则上不再新建35蒸吨/小时及以下燃煤锅炉，其他地区原则上不再新建10蒸吨/小时以下燃煤锅炉。到2025年，基本完成城市建成区35蒸吨/小时及以下燃煤锅炉淘汰。</w:t>
            </w:r>
          </w:p>
          <w:p w14:paraId="5D90BF4D">
            <w:pPr>
              <w:autoSpaceDE w:val="0"/>
              <w:autoSpaceDN w:val="0"/>
              <w:adjustRightInd w:val="0"/>
              <w:snapToGrid w:val="0"/>
              <w:spacing w:line="360" w:lineRule="auto"/>
              <w:ind w:firstLine="480" w:firstLineChars="200"/>
              <w:rPr>
                <w:color w:val="auto"/>
                <w:sz w:val="24"/>
              </w:rPr>
            </w:pPr>
            <w:r>
              <w:rPr>
                <w:color w:val="auto"/>
                <w:sz w:val="24"/>
              </w:rPr>
              <w:t>开展燃气、生物质锅炉深度治理。燃气锅炉实施低氮燃烧改造，严把低氮燃烧器、烟气再循环系统、分级燃烧系统、燃料及风量调配系统等关键部件质量关，确保低氮燃烧系统稳定运行。生物质锅炉采用专用锅炉，配套布袋等高效除尘设施，禁止掺烧煤炭、生活垃圾等其他物料。推进整合小型生物质锅炉，城市建成区内新建生物质供热锅炉要达到天然气排放标准，积极引导城市建成区内生物质锅炉（含电力）超低排放改造。</w:t>
            </w:r>
          </w:p>
          <w:p w14:paraId="67EC1E8C">
            <w:pPr>
              <w:autoSpaceDE w:val="0"/>
              <w:autoSpaceDN w:val="0"/>
              <w:adjustRightInd w:val="0"/>
              <w:snapToGrid w:val="0"/>
              <w:spacing w:line="360" w:lineRule="auto"/>
              <w:ind w:firstLine="480" w:firstLineChars="200"/>
              <w:rPr>
                <w:color w:val="auto"/>
                <w:sz w:val="24"/>
              </w:rPr>
            </w:pPr>
            <w:r>
              <w:rPr>
                <w:color w:val="auto"/>
                <w:sz w:val="24"/>
              </w:rPr>
              <w:t>持续推进清洁取暖。加快推动超低排放改造、煤改清洁能源、散煤锅炉并网、农村散煤替代、集中供热扩容、工业余热利用、供热老旧管网改造、新建热源、既有建筑节能改造和配套能力建设等十类工程建设。到2024年12月，全面完成清洁取暖试点城市建设，建设任务完成后，依法将整体完成清洁取暖改造的地区划定为高污染燃料禁燃区，严禁散煤复烧。</w:t>
            </w:r>
            <w:r>
              <w:rPr>
                <w:rFonts w:hint="eastAsia"/>
                <w:color w:val="auto"/>
                <w:sz w:val="24"/>
              </w:rPr>
              <w:t>项目冬季取暖方式为电采暖，工业炉窑燃用生物质成型颗粒物，热风炉配备布袋除尘器，不属于高污染燃料，</w:t>
            </w:r>
            <w:r>
              <w:rPr>
                <w:rFonts w:hint="eastAsia"/>
                <w:bCs/>
                <w:color w:val="auto"/>
                <w:sz w:val="24"/>
              </w:rPr>
              <w:t>经低氮燃烧+布袋除尘器处理后分别经15m高排气筒DA001、DA002排放，</w:t>
            </w:r>
            <w:r>
              <w:rPr>
                <w:rFonts w:hint="eastAsia"/>
                <w:color w:val="auto"/>
                <w:sz w:val="24"/>
              </w:rPr>
              <w:t>本项目符合《佳木斯市环境空气质量持续改善行动计划》。</w:t>
            </w:r>
          </w:p>
          <w:p w14:paraId="14DB0848">
            <w:pPr>
              <w:pStyle w:val="57"/>
              <w:spacing w:line="360" w:lineRule="auto"/>
              <w:ind w:firstLine="482"/>
              <w:rPr>
                <w:b/>
                <w:color w:val="auto"/>
                <w:szCs w:val="24"/>
              </w:rPr>
            </w:pPr>
            <w:r>
              <w:rPr>
                <w:rFonts w:hint="eastAsia"/>
                <w:b/>
                <w:color w:val="auto"/>
                <w:szCs w:val="24"/>
              </w:rPr>
              <w:t>10</w:t>
            </w:r>
            <w:r>
              <w:rPr>
                <w:b/>
                <w:color w:val="auto"/>
                <w:szCs w:val="24"/>
              </w:rPr>
              <w:t>、与《桦川县国土空间总体规划（2021—2035）》符合性分析</w:t>
            </w:r>
          </w:p>
          <w:p w14:paraId="0B1D2C5C">
            <w:pPr>
              <w:autoSpaceDE w:val="0"/>
              <w:autoSpaceDN w:val="0"/>
              <w:adjustRightInd w:val="0"/>
              <w:snapToGrid w:val="0"/>
              <w:spacing w:line="360" w:lineRule="auto"/>
              <w:ind w:firstLine="480" w:firstLineChars="200"/>
              <w:rPr>
                <w:color w:val="auto"/>
                <w:sz w:val="24"/>
              </w:rPr>
            </w:pPr>
            <w:r>
              <w:rPr>
                <w:color w:val="auto"/>
                <w:sz w:val="24"/>
              </w:rPr>
              <w:t>《桦川县国土空间总体规划（2021—2035）)》县域发展定位为</w:t>
            </w:r>
            <w:r>
              <w:rPr>
                <w:rFonts w:hint="eastAsia"/>
                <w:color w:val="auto"/>
                <w:sz w:val="24"/>
              </w:rPr>
              <w:t>：</w:t>
            </w:r>
            <w:r>
              <w:rPr>
                <w:color w:val="auto"/>
                <w:sz w:val="24"/>
              </w:rPr>
              <w:t>维稳耕地保护目标，严守永久基本农田，</w:t>
            </w:r>
            <w:r>
              <w:rPr>
                <w:rFonts w:hint="eastAsia"/>
                <w:color w:val="auto"/>
                <w:sz w:val="24"/>
              </w:rPr>
              <w:t>重点农业发展区。</w:t>
            </w:r>
            <w:r>
              <w:rPr>
                <w:color w:val="auto"/>
                <w:sz w:val="24"/>
              </w:rPr>
              <w:t>以县域内地形地貌基本特征为基础，以国土空间开发保</w:t>
            </w:r>
            <w:r>
              <w:rPr>
                <w:rFonts w:hint="eastAsia"/>
                <w:color w:val="auto"/>
                <w:sz w:val="24"/>
              </w:rPr>
              <w:t>护战略与目标为导向，结合主体功能区定位，统筹山水林田湖草沙等保护要素和城乡、产业、交通等发展类要素布局，依托农业空间、生态空间、城镇空间三类空间山水本底，构建“一心一轴一廊三区”的国土空间开发保护利用总体格局。</w:t>
            </w:r>
            <w:r>
              <w:rPr>
                <w:color w:val="auto"/>
                <w:sz w:val="24"/>
              </w:rPr>
              <w:t>桦川县定位为以发展现代农业为主体的国家粮食生产基地县，新能源发展区、佳木斯产业发展的协作基地。悦来城区职能分类为综合性，为县域政治、经济、文化中心，以机械加工农副产品加工为主，积极发展休闲旅游职能。</w:t>
            </w:r>
            <w:r>
              <w:rPr>
                <w:rFonts w:hint="eastAsia"/>
                <w:color w:val="auto"/>
                <w:sz w:val="24"/>
              </w:rPr>
              <w:t>农业用地</w:t>
            </w:r>
            <w:r>
              <w:rPr>
                <w:color w:val="auto"/>
                <w:sz w:val="24"/>
              </w:rPr>
              <w:t>规划</w:t>
            </w:r>
            <w:r>
              <w:rPr>
                <w:rFonts w:hint="eastAsia"/>
                <w:color w:val="auto"/>
                <w:sz w:val="24"/>
              </w:rPr>
              <w:t>：</w:t>
            </w:r>
            <w:r>
              <w:rPr>
                <w:color w:val="auto"/>
                <w:sz w:val="24"/>
              </w:rPr>
              <w:t>城市工业布局以城区南部的工业开发区建设为重点。规划该工业组团可布局机械制造业和农副食品加工业等一、二类工业企业，以</w:t>
            </w:r>
            <w:r>
              <w:rPr>
                <w:rFonts w:hint="eastAsia"/>
                <w:color w:val="auto"/>
                <w:sz w:val="24"/>
              </w:rPr>
              <w:t>无</w:t>
            </w:r>
            <w:r>
              <w:rPr>
                <w:color w:val="auto"/>
                <w:sz w:val="24"/>
              </w:rPr>
              <w:t>污染和轻污染工业为主。县域发展战略中城镇发展战略</w:t>
            </w:r>
            <w:r>
              <w:rPr>
                <w:rFonts w:hint="eastAsia"/>
                <w:color w:val="auto"/>
                <w:sz w:val="24"/>
              </w:rPr>
              <w:t>：</w:t>
            </w:r>
            <w:r>
              <w:rPr>
                <w:color w:val="auto"/>
                <w:sz w:val="24"/>
              </w:rPr>
              <w:t>继续培育壮大县城作为县域中心城市。因地制宜地发展新城、横头山等城镇。择优培育中心镇，努力提高城镇化质量。积极推进桦西开发区和县城工业园区建设，以工业化促进城镇化，制定有利于人口向城市转移、产业向园区集中的政策措施，促进工业化、城镇化协调发展。东河乡发展定位为以农副产品生产加工、</w:t>
            </w:r>
            <w:r>
              <w:rPr>
                <w:rFonts w:hint="eastAsia"/>
                <w:color w:val="auto"/>
                <w:sz w:val="24"/>
              </w:rPr>
              <w:t>生态农业种植为主导的农贸型乡镇。</w:t>
            </w:r>
          </w:p>
          <w:p w14:paraId="667DE30C">
            <w:pPr>
              <w:pStyle w:val="57"/>
              <w:spacing w:line="360" w:lineRule="auto"/>
              <w:ind w:firstLine="480"/>
              <w:rPr>
                <w:color w:val="auto"/>
              </w:rPr>
            </w:pPr>
            <w:r>
              <w:rPr>
                <w:rFonts w:hint="eastAsia"/>
                <w:color w:val="auto"/>
              </w:rPr>
              <w:t>本项目不占用永久基本农田，本项目占地性质为设施农业用地，符合用地性质要求，本项目属于粮食烘干，</w:t>
            </w:r>
            <w:r>
              <w:rPr>
                <w:bCs/>
                <w:color w:val="auto"/>
                <w:kern w:val="2"/>
                <w:szCs w:val="24"/>
              </w:rPr>
              <w:t>采取治理措施后，对周围大气环境影响较小，符合</w:t>
            </w:r>
            <w:r>
              <w:rPr>
                <w:color w:val="auto"/>
                <w:kern w:val="2"/>
                <w:szCs w:val="24"/>
              </w:rPr>
              <w:t>《</w:t>
            </w:r>
            <w:r>
              <w:rPr>
                <w:color w:val="auto"/>
              </w:rPr>
              <w:t>桦川县国土空间总体规划（2021—2035）)》</w:t>
            </w:r>
            <w:r>
              <w:rPr>
                <w:bCs/>
                <w:color w:val="auto"/>
                <w:kern w:val="2"/>
                <w:szCs w:val="24"/>
              </w:rPr>
              <w:t>要求。</w:t>
            </w:r>
          </w:p>
          <w:p w14:paraId="72BB83FC">
            <w:pPr>
              <w:pStyle w:val="57"/>
              <w:spacing w:line="360" w:lineRule="auto"/>
              <w:ind w:firstLine="482"/>
              <w:rPr>
                <w:b/>
                <w:color w:val="auto"/>
                <w:szCs w:val="24"/>
              </w:rPr>
            </w:pPr>
            <w:r>
              <w:rPr>
                <w:rFonts w:hint="eastAsia"/>
                <w:b/>
                <w:color w:val="auto"/>
                <w:szCs w:val="24"/>
              </w:rPr>
              <w:t>11</w:t>
            </w:r>
            <w:r>
              <w:rPr>
                <w:b/>
                <w:color w:val="auto"/>
                <w:szCs w:val="24"/>
              </w:rPr>
              <w:t>、选址合理性分析</w:t>
            </w:r>
          </w:p>
          <w:p w14:paraId="51897FA9">
            <w:pPr>
              <w:adjustRightInd w:val="0"/>
              <w:snapToGrid w:val="0"/>
              <w:spacing w:line="360" w:lineRule="auto"/>
              <w:ind w:firstLine="480" w:firstLineChars="200"/>
              <w:rPr>
                <w:bCs/>
                <w:color w:val="auto"/>
                <w:sz w:val="24"/>
              </w:rPr>
            </w:pPr>
            <w:r>
              <w:rPr>
                <w:snapToGrid w:val="0"/>
                <w:color w:val="auto"/>
                <w:kern w:val="0"/>
                <w:sz w:val="24"/>
                <w:szCs w:val="21"/>
              </w:rPr>
              <w:t>项目位</w:t>
            </w:r>
            <w:r>
              <w:rPr>
                <w:bCs/>
                <w:color w:val="auto"/>
                <w:sz w:val="24"/>
              </w:rPr>
              <w:t>于</w:t>
            </w:r>
            <w:r>
              <w:rPr>
                <w:rFonts w:hint="eastAsia"/>
                <w:color w:val="auto"/>
                <w:sz w:val="24"/>
              </w:rPr>
              <w:t>黑龙江省佳木斯市桦川县东河乡兴华屯</w:t>
            </w:r>
            <w:r>
              <w:rPr>
                <w:color w:val="auto"/>
                <w:sz w:val="24"/>
              </w:rPr>
              <w:t>，</w:t>
            </w:r>
            <w:r>
              <w:rPr>
                <w:color w:val="auto"/>
                <w:sz w:val="24"/>
                <w:szCs w:val="21"/>
                <w:lang w:bidi="ar"/>
              </w:rPr>
              <w:t>本项目占地为</w:t>
            </w:r>
            <w:r>
              <w:rPr>
                <w:rFonts w:hint="eastAsia"/>
                <w:color w:val="auto"/>
                <w:sz w:val="24"/>
                <w:szCs w:val="21"/>
                <w:lang w:bidi="ar"/>
              </w:rPr>
              <w:t>设施农业用地</w:t>
            </w:r>
            <w:r>
              <w:rPr>
                <w:color w:val="auto"/>
                <w:sz w:val="24"/>
                <w:lang w:bidi="ar"/>
              </w:rPr>
              <w:t>。</w:t>
            </w:r>
            <w:r>
              <w:rPr>
                <w:color w:val="auto"/>
                <w:sz w:val="24"/>
              </w:rPr>
              <w:t>厂区</w:t>
            </w:r>
            <w:r>
              <w:rPr>
                <w:rFonts w:hint="eastAsia"/>
                <w:color w:val="auto"/>
                <w:sz w:val="24"/>
              </w:rPr>
              <w:t>四周均为农田</w:t>
            </w:r>
            <w:r>
              <w:rPr>
                <w:bCs/>
                <w:color w:val="auto"/>
                <w:sz w:val="24"/>
              </w:rPr>
              <w:t>。</w:t>
            </w:r>
            <w:r>
              <w:rPr>
                <w:bCs/>
                <w:color w:val="auto"/>
                <w:kern w:val="0"/>
                <w:sz w:val="24"/>
              </w:rPr>
              <w:t>项目选址不属于风景名胜区、温泉疗养区、水产养殖区、基本农田保护区、自然保护区等需要特殊保护区域。</w:t>
            </w:r>
            <w:r>
              <w:rPr>
                <w:bCs/>
                <w:color w:val="auto"/>
                <w:sz w:val="24"/>
              </w:rPr>
              <w:t>项目所在地具有方便的交通运输和水电条件，便于项目的生产和运营。</w:t>
            </w:r>
          </w:p>
          <w:p w14:paraId="449DBD16">
            <w:pPr>
              <w:adjustRightInd w:val="0"/>
              <w:snapToGrid w:val="0"/>
              <w:spacing w:line="360" w:lineRule="auto"/>
              <w:ind w:firstLine="480" w:firstLineChars="200"/>
              <w:rPr>
                <w:snapToGrid w:val="0"/>
                <w:color w:val="auto"/>
                <w:sz w:val="24"/>
              </w:rPr>
            </w:pPr>
            <w:r>
              <w:rPr>
                <w:color w:val="auto"/>
                <w:sz w:val="24"/>
              </w:rPr>
              <w:t>本项目建成后产生的废气主要包括有组织排放废气（热风炉废气）和无组织排放废气（包括装卸、输送工段废气，筛选工段废气，烘干工段废气）。有组织排放</w:t>
            </w:r>
            <w:r>
              <w:rPr>
                <w:snapToGrid w:val="0"/>
                <w:color w:val="auto"/>
                <w:sz w:val="24"/>
              </w:rPr>
              <w:t>热风炉废气经布袋除尘器（除尘效率</w:t>
            </w:r>
            <w:r>
              <w:rPr>
                <w:rFonts w:hint="eastAsia"/>
                <w:snapToGrid w:val="0"/>
                <w:color w:val="auto"/>
                <w:sz w:val="24"/>
              </w:rPr>
              <w:t>99.7%</w:t>
            </w:r>
            <w:r>
              <w:rPr>
                <w:snapToGrid w:val="0"/>
                <w:color w:val="auto"/>
                <w:sz w:val="24"/>
              </w:rPr>
              <w:t>）除尘后，经15m高烟囱高空排放。颗粒物排放浓度和烟气黑度、SO</w:t>
            </w:r>
            <w:r>
              <w:rPr>
                <w:snapToGrid w:val="0"/>
                <w:color w:val="auto"/>
                <w:sz w:val="24"/>
                <w:vertAlign w:val="subscript"/>
              </w:rPr>
              <w:t>2</w:t>
            </w:r>
            <w:r>
              <w:rPr>
                <w:snapToGrid w:val="0"/>
                <w:color w:val="auto"/>
                <w:sz w:val="24"/>
              </w:rPr>
              <w:t>排放浓度满足《工业炉窑大气污染物排放标准》（GB9078-1996）中的表2、表4中的二级标准要求。</w:t>
            </w:r>
            <w:r>
              <w:rPr>
                <w:rFonts w:hint="eastAsia"/>
                <w:snapToGrid w:val="0"/>
                <w:color w:val="auto"/>
                <w:sz w:val="24"/>
              </w:rPr>
              <w:t>厂区内颗粒物执行《工业窑炉大气污染物排放标准》（GB9078-1996）表3中标准限值，</w:t>
            </w:r>
            <w:r>
              <w:rPr>
                <w:snapToGrid w:val="0"/>
                <w:color w:val="auto"/>
                <w:sz w:val="24"/>
              </w:rPr>
              <w:t>无组织废气颗粒物排放浓度满足《大气污染物综合排放标准》（GB16297-1996）表2中无组织排放监控浓度限值。本项目对大气污染物排放采取相应措施，可使污染物得到有效控制，因此对环境空气影响较小。</w:t>
            </w:r>
          </w:p>
          <w:p w14:paraId="2DFE4A74">
            <w:pPr>
              <w:autoSpaceDE w:val="0"/>
              <w:autoSpaceDN w:val="0"/>
              <w:adjustRightInd w:val="0"/>
              <w:snapToGrid w:val="0"/>
              <w:spacing w:line="360" w:lineRule="auto"/>
              <w:ind w:firstLine="480" w:firstLineChars="200"/>
              <w:rPr>
                <w:bCs/>
                <w:color w:val="auto"/>
                <w:sz w:val="24"/>
              </w:rPr>
            </w:pPr>
            <w:r>
              <w:rPr>
                <w:bCs/>
                <w:color w:val="auto"/>
                <w:sz w:val="24"/>
              </w:rPr>
              <w:t>项目无生产废水，生活污水排入防渗</w:t>
            </w:r>
            <w:r>
              <w:rPr>
                <w:rFonts w:hint="eastAsia"/>
                <w:bCs/>
                <w:color w:val="auto"/>
                <w:sz w:val="24"/>
              </w:rPr>
              <w:t>厕所</w:t>
            </w:r>
            <w:r>
              <w:rPr>
                <w:bCs/>
                <w:color w:val="auto"/>
                <w:sz w:val="24"/>
              </w:rPr>
              <w:t>，定期清掏外运堆肥，不外排。距离本项目厂界最近的敏感目标为厂界</w:t>
            </w:r>
            <w:r>
              <w:rPr>
                <w:rFonts w:hint="eastAsia"/>
                <w:bCs/>
                <w:color w:val="auto"/>
                <w:sz w:val="24"/>
              </w:rPr>
              <w:t>东</w:t>
            </w:r>
            <w:r>
              <w:rPr>
                <w:bCs/>
                <w:color w:val="auto"/>
                <w:sz w:val="24"/>
              </w:rPr>
              <w:t>侧</w:t>
            </w:r>
            <w:r>
              <w:rPr>
                <w:rFonts w:hint="eastAsia"/>
                <w:bCs/>
                <w:color w:val="auto"/>
                <w:sz w:val="24"/>
              </w:rPr>
              <w:t>130</w:t>
            </w:r>
            <w:r>
              <w:rPr>
                <w:bCs/>
                <w:color w:val="auto"/>
                <w:sz w:val="24"/>
              </w:rPr>
              <w:t>m处的</w:t>
            </w:r>
            <w:r>
              <w:rPr>
                <w:rFonts w:hint="eastAsia"/>
                <w:bCs/>
                <w:color w:val="auto"/>
                <w:sz w:val="24"/>
              </w:rPr>
              <w:t>兴国村</w:t>
            </w:r>
            <w:r>
              <w:rPr>
                <w:bCs/>
                <w:color w:val="auto"/>
                <w:sz w:val="24"/>
              </w:rPr>
              <w:t>居民，</w:t>
            </w:r>
            <w:r>
              <w:rPr>
                <w:rFonts w:hint="eastAsia"/>
                <w:bCs/>
                <w:color w:val="auto"/>
                <w:sz w:val="24"/>
              </w:rPr>
              <w:t>厂区所在区域主导风向为西风，兴国村居民位于主导风向下风向，本项目引用现状检测</w:t>
            </w:r>
            <w:r>
              <w:rPr>
                <w:rFonts w:hint="eastAsia"/>
                <w:color w:val="auto"/>
                <w:sz w:val="24"/>
                <w:szCs w:val="24"/>
                <w:lang w:val="en-US" w:eastAsia="zh-CN"/>
              </w:rPr>
              <w:t>TSP</w:t>
            </w:r>
            <w:r>
              <w:rPr>
                <w:rFonts w:hint="eastAsia"/>
                <w:bCs/>
                <w:color w:val="auto"/>
                <w:sz w:val="24"/>
              </w:rPr>
              <w:t>满足《环境空气质量标准》（GB3095-2026）过渡阶段浓度限值要求，</w:t>
            </w:r>
            <w:r>
              <w:rPr>
                <w:bCs/>
                <w:color w:val="auto"/>
                <w:sz w:val="24"/>
              </w:rPr>
              <w:t>项目运行期产生的污染物为废气、噪声和固体废物，各污染物经采取报告提出的污染防治设施处理后均可达标排放，不会对周围敏感目标及区域环境产生影响，项目的建设不会使得环境功能发生改变。</w:t>
            </w:r>
          </w:p>
          <w:p w14:paraId="34B6E68E">
            <w:pPr>
              <w:autoSpaceDE w:val="0"/>
              <w:autoSpaceDN w:val="0"/>
              <w:adjustRightInd w:val="0"/>
              <w:snapToGrid w:val="0"/>
              <w:spacing w:line="360" w:lineRule="auto"/>
              <w:ind w:firstLine="480" w:firstLineChars="200"/>
              <w:rPr>
                <w:color w:val="auto"/>
              </w:rPr>
            </w:pPr>
            <w:r>
              <w:rPr>
                <w:color w:val="auto"/>
                <w:sz w:val="24"/>
              </w:rPr>
              <w:t>综上所述，本项目选址较为合理。</w:t>
            </w:r>
          </w:p>
        </w:tc>
      </w:tr>
    </w:tbl>
    <w:p w14:paraId="64263F84">
      <w:pPr>
        <w:spacing w:line="360" w:lineRule="auto"/>
        <w:rPr>
          <w:color w:val="auto"/>
          <w:sz w:val="30"/>
        </w:rPr>
        <w:sectPr>
          <w:footerReference r:id="rId5" w:type="default"/>
          <w:pgSz w:w="11906" w:h="16838"/>
          <w:pgMar w:top="1701" w:right="1531" w:bottom="1701" w:left="1531" w:header="851" w:footer="1077" w:gutter="0"/>
          <w:pgNumType w:start="1"/>
          <w:cols w:space="720" w:num="1"/>
          <w:docGrid w:linePitch="312" w:charSpace="0"/>
        </w:sectPr>
      </w:pPr>
    </w:p>
    <w:p w14:paraId="5D9AFD3F">
      <w:pPr>
        <w:pStyle w:val="30"/>
        <w:jc w:val="center"/>
        <w:outlineLvl w:val="0"/>
        <w:rPr>
          <w:rFonts w:ascii="Times New Roman" w:hAnsi="Times New Roman"/>
          <w:snapToGrid w:val="0"/>
          <w:color w:val="auto"/>
          <w:sz w:val="30"/>
          <w:szCs w:val="30"/>
        </w:rPr>
      </w:pPr>
      <w:bookmarkStart w:id="2" w:name="_Toc7477"/>
      <w:bookmarkStart w:id="3" w:name="_Toc11698"/>
      <w:r>
        <w:rPr>
          <w:rFonts w:ascii="Times New Roman" w:hAnsi="Times New Roman"/>
          <w:snapToGrid w:val="0"/>
          <w:color w:val="auto"/>
          <w:sz w:val="30"/>
          <w:szCs w:val="30"/>
        </w:rPr>
        <w:t>二、建设项目工程分析</w:t>
      </w:r>
      <w:bookmarkEnd w:id="2"/>
      <w:bookmarkEnd w:id="3"/>
    </w:p>
    <w:tbl>
      <w:tblPr>
        <w:tblStyle w:val="35"/>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29A8A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5196F3F6">
            <w:pPr>
              <w:pStyle w:val="3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Cs w:val="24"/>
              </w:rPr>
              <w:t>建设内容</w:t>
            </w:r>
          </w:p>
        </w:tc>
        <w:tc>
          <w:tcPr>
            <w:tcW w:w="8161" w:type="dxa"/>
          </w:tcPr>
          <w:p w14:paraId="4C4CE374">
            <w:pPr>
              <w:tabs>
                <w:tab w:val="left" w:pos="6480"/>
              </w:tabs>
              <w:spacing w:line="360" w:lineRule="auto"/>
              <w:ind w:firstLine="482" w:firstLineChars="200"/>
              <w:rPr>
                <w:color w:val="auto"/>
                <w:sz w:val="24"/>
              </w:rPr>
            </w:pPr>
            <w:r>
              <w:rPr>
                <w:b/>
                <w:bCs/>
                <w:color w:val="auto"/>
                <w:sz w:val="24"/>
              </w:rPr>
              <w:t>1、工程内容</w:t>
            </w:r>
          </w:p>
          <w:p w14:paraId="5808A991">
            <w:pPr>
              <w:tabs>
                <w:tab w:val="left" w:pos="6480"/>
              </w:tabs>
              <w:spacing w:line="360" w:lineRule="auto"/>
              <w:ind w:firstLine="480" w:firstLineChars="200"/>
              <w:rPr>
                <w:color w:val="auto"/>
                <w:sz w:val="24"/>
              </w:rPr>
            </w:pPr>
            <w:r>
              <w:rPr>
                <w:color w:val="auto"/>
                <w:sz w:val="24"/>
              </w:rPr>
              <w:t>项目位于</w:t>
            </w:r>
            <w:r>
              <w:rPr>
                <w:rFonts w:hint="eastAsia"/>
                <w:color w:val="auto"/>
                <w:sz w:val="24"/>
              </w:rPr>
              <w:t>黑龙江省佳木斯市桦川县东河乡兴华屯</w:t>
            </w:r>
            <w:r>
              <w:rPr>
                <w:color w:val="auto"/>
                <w:sz w:val="24"/>
              </w:rPr>
              <w:t>，企业占地面积为</w:t>
            </w:r>
            <w:r>
              <w:rPr>
                <w:rFonts w:hint="eastAsia"/>
                <w:color w:val="auto"/>
                <w:sz w:val="24"/>
              </w:rPr>
              <w:t>16474.68m</w:t>
            </w:r>
            <w:r>
              <w:rPr>
                <w:rFonts w:hint="eastAsia"/>
                <w:color w:val="auto"/>
                <w:sz w:val="24"/>
                <w:vertAlign w:val="superscript"/>
              </w:rPr>
              <w:t>2</w:t>
            </w:r>
            <w:r>
              <w:rPr>
                <w:color w:val="auto"/>
                <w:sz w:val="24"/>
              </w:rPr>
              <w:t>，用地性质</w:t>
            </w:r>
            <w:r>
              <w:rPr>
                <w:color w:val="auto"/>
                <w:sz w:val="24"/>
                <w:szCs w:val="21"/>
                <w:lang w:bidi="ar"/>
              </w:rPr>
              <w:t>为</w:t>
            </w:r>
            <w:r>
              <w:rPr>
                <w:rFonts w:hint="eastAsia"/>
                <w:color w:val="auto"/>
                <w:sz w:val="24"/>
                <w:szCs w:val="21"/>
                <w:lang w:bidi="ar"/>
              </w:rPr>
              <w:t>设施农业用地</w:t>
            </w:r>
            <w:r>
              <w:rPr>
                <w:color w:val="auto"/>
                <w:sz w:val="24"/>
              </w:rPr>
              <w:t>，本项目建设</w:t>
            </w:r>
            <w:r>
              <w:rPr>
                <w:rFonts w:hint="eastAsia"/>
                <w:color w:val="auto"/>
                <w:sz w:val="24"/>
              </w:rPr>
              <w:t>2</w:t>
            </w:r>
            <w:r>
              <w:rPr>
                <w:color w:val="auto"/>
                <w:sz w:val="24"/>
              </w:rPr>
              <w:t>座烘干能力为</w:t>
            </w:r>
            <w:r>
              <w:rPr>
                <w:rFonts w:hint="eastAsia"/>
                <w:color w:val="auto"/>
                <w:sz w:val="24"/>
              </w:rPr>
              <w:t>3</w:t>
            </w:r>
            <w:r>
              <w:rPr>
                <w:color w:val="auto"/>
                <w:sz w:val="24"/>
              </w:rPr>
              <w:t>00</w:t>
            </w:r>
            <w:r>
              <w:rPr>
                <w:rFonts w:hint="eastAsia"/>
                <w:color w:val="auto"/>
                <w:sz w:val="24"/>
                <w:lang w:val="en-US" w:eastAsia="zh-CN"/>
              </w:rPr>
              <w:t>t/d</w:t>
            </w:r>
            <w:r>
              <w:rPr>
                <w:color w:val="auto"/>
                <w:sz w:val="24"/>
              </w:rPr>
              <w:t>的烘干塔，</w:t>
            </w:r>
            <w:r>
              <w:rPr>
                <w:rFonts w:hint="eastAsia"/>
                <w:color w:val="auto"/>
                <w:sz w:val="24"/>
              </w:rPr>
              <w:t>总烘干能力为600t/d，</w:t>
            </w:r>
            <w:r>
              <w:rPr>
                <w:color w:val="auto"/>
                <w:sz w:val="24"/>
              </w:rPr>
              <w:t>配套</w:t>
            </w:r>
            <w:r>
              <w:rPr>
                <w:rFonts w:hint="eastAsia"/>
                <w:color w:val="auto"/>
                <w:sz w:val="24"/>
              </w:rPr>
              <w:t>2台360万kcal/h</w:t>
            </w:r>
            <w:r>
              <w:rPr>
                <w:color w:val="auto"/>
                <w:sz w:val="24"/>
              </w:rPr>
              <w:t>的燃生物质热风炉，用于玉米</w:t>
            </w:r>
            <w:r>
              <w:rPr>
                <w:rFonts w:hint="eastAsia"/>
                <w:color w:val="auto"/>
                <w:sz w:val="24"/>
                <w:lang w:val="en-US" w:eastAsia="zh-CN"/>
              </w:rPr>
              <w:t>和水稻</w:t>
            </w:r>
            <w:r>
              <w:rPr>
                <w:color w:val="auto"/>
                <w:sz w:val="24"/>
              </w:rPr>
              <w:t>的烘干，</w:t>
            </w:r>
            <w:r>
              <w:rPr>
                <w:rFonts w:hint="eastAsia"/>
                <w:color w:val="auto"/>
                <w:sz w:val="24"/>
              </w:rPr>
              <w:t>年烘干玉米15000吨，水稻5000吨。</w:t>
            </w:r>
            <w:r>
              <w:rPr>
                <w:color w:val="auto"/>
                <w:sz w:val="24"/>
              </w:rPr>
              <w:t>本项目主要建设内容见下表</w:t>
            </w:r>
            <w:r>
              <w:rPr>
                <w:rFonts w:hint="eastAsia"/>
                <w:color w:val="auto"/>
                <w:sz w:val="24"/>
              </w:rPr>
              <w:t>：</w:t>
            </w:r>
          </w:p>
          <w:p w14:paraId="6B878DD3">
            <w:pPr>
              <w:pStyle w:val="57"/>
              <w:spacing w:line="360" w:lineRule="auto"/>
              <w:ind w:firstLine="422"/>
              <w:jc w:val="center"/>
              <w:rPr>
                <w:b/>
                <w:bCs/>
                <w:color w:val="auto"/>
                <w:sz w:val="21"/>
                <w:szCs w:val="21"/>
              </w:rPr>
            </w:pPr>
            <w:r>
              <w:rPr>
                <w:b/>
                <w:bCs/>
                <w:color w:val="auto"/>
                <w:sz w:val="21"/>
                <w:szCs w:val="21"/>
              </w:rPr>
              <w:t>表2-1工程内容一览表</w:t>
            </w:r>
          </w:p>
          <w:tbl>
            <w:tblPr>
              <w:tblStyle w:val="35"/>
              <w:tblW w:w="8011"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84"/>
              <w:gridCol w:w="931"/>
              <w:gridCol w:w="5916"/>
              <w:gridCol w:w="680"/>
            </w:tblGrid>
            <w:tr w14:paraId="66DCD32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87" w:hRule="atLeast"/>
                <w:jc w:val="center"/>
              </w:trPr>
              <w:tc>
                <w:tcPr>
                  <w:tcW w:w="1415" w:type="dxa"/>
                  <w:gridSpan w:val="2"/>
                  <w:vAlign w:val="center"/>
                </w:tcPr>
                <w:p w14:paraId="72F3872C">
                  <w:pPr>
                    <w:jc w:val="center"/>
                    <w:rPr>
                      <w:color w:val="auto"/>
                      <w:szCs w:val="21"/>
                    </w:rPr>
                  </w:pPr>
                  <w:r>
                    <w:rPr>
                      <w:color w:val="auto"/>
                      <w:szCs w:val="21"/>
                    </w:rPr>
                    <w:t>建设内容</w:t>
                  </w:r>
                </w:p>
              </w:tc>
              <w:tc>
                <w:tcPr>
                  <w:tcW w:w="5916" w:type="dxa"/>
                  <w:vAlign w:val="center"/>
                </w:tcPr>
                <w:p w14:paraId="7711E053">
                  <w:pPr>
                    <w:jc w:val="center"/>
                    <w:rPr>
                      <w:color w:val="auto"/>
                      <w:szCs w:val="21"/>
                    </w:rPr>
                  </w:pPr>
                  <w:r>
                    <w:rPr>
                      <w:color w:val="auto"/>
                      <w:szCs w:val="21"/>
                    </w:rPr>
                    <w:t>建设规模及内容</w:t>
                  </w:r>
                </w:p>
              </w:tc>
              <w:tc>
                <w:tcPr>
                  <w:tcW w:w="680" w:type="dxa"/>
                  <w:vAlign w:val="center"/>
                </w:tcPr>
                <w:p w14:paraId="5C6D3E5E">
                  <w:pPr>
                    <w:jc w:val="center"/>
                    <w:rPr>
                      <w:color w:val="auto"/>
                      <w:szCs w:val="21"/>
                    </w:rPr>
                  </w:pPr>
                  <w:r>
                    <w:rPr>
                      <w:color w:val="auto"/>
                      <w:szCs w:val="21"/>
                    </w:rPr>
                    <w:t>备注</w:t>
                  </w:r>
                </w:p>
              </w:tc>
            </w:tr>
            <w:tr w14:paraId="3718113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23" w:hRule="atLeast"/>
                <w:jc w:val="center"/>
              </w:trPr>
              <w:tc>
                <w:tcPr>
                  <w:tcW w:w="484" w:type="dxa"/>
                  <w:vMerge w:val="restart"/>
                  <w:shd w:val="clear" w:color="auto" w:fill="auto"/>
                  <w:vAlign w:val="center"/>
                </w:tcPr>
                <w:p w14:paraId="7611CA33">
                  <w:pPr>
                    <w:jc w:val="center"/>
                    <w:rPr>
                      <w:bCs/>
                      <w:color w:val="auto"/>
                      <w:szCs w:val="21"/>
                    </w:rPr>
                  </w:pPr>
                  <w:r>
                    <w:rPr>
                      <w:bCs/>
                      <w:color w:val="auto"/>
                      <w:szCs w:val="21"/>
                    </w:rPr>
                    <w:t>主体工程</w:t>
                  </w:r>
                </w:p>
              </w:tc>
              <w:tc>
                <w:tcPr>
                  <w:tcW w:w="931" w:type="dxa"/>
                  <w:shd w:val="clear" w:color="auto" w:fill="FFFFFF"/>
                  <w:vAlign w:val="center"/>
                </w:tcPr>
                <w:p w14:paraId="28157DBA">
                  <w:pPr>
                    <w:jc w:val="center"/>
                    <w:rPr>
                      <w:bCs/>
                      <w:color w:val="auto"/>
                      <w:szCs w:val="21"/>
                    </w:rPr>
                  </w:pPr>
                  <w:r>
                    <w:rPr>
                      <w:bCs/>
                      <w:color w:val="auto"/>
                      <w:szCs w:val="21"/>
                    </w:rPr>
                    <w:t>烘干塔</w:t>
                  </w:r>
                  <w:r>
                    <w:rPr>
                      <w:rFonts w:hint="eastAsia"/>
                      <w:bCs/>
                      <w:color w:val="auto"/>
                      <w:szCs w:val="21"/>
                    </w:rPr>
                    <w:t>1</w:t>
                  </w:r>
                </w:p>
              </w:tc>
              <w:tc>
                <w:tcPr>
                  <w:tcW w:w="5916" w:type="dxa"/>
                  <w:shd w:val="clear" w:color="auto" w:fill="FFFFFF"/>
                  <w:vAlign w:val="center"/>
                </w:tcPr>
                <w:p w14:paraId="22734E28">
                  <w:pPr>
                    <w:rPr>
                      <w:bCs/>
                      <w:color w:val="auto"/>
                      <w:szCs w:val="21"/>
                    </w:rPr>
                  </w:pPr>
                  <w:r>
                    <w:rPr>
                      <w:bCs/>
                      <w:color w:val="auto"/>
                      <w:szCs w:val="21"/>
                    </w:rPr>
                    <w:t>用于玉米</w:t>
                  </w:r>
                  <w:r>
                    <w:rPr>
                      <w:rFonts w:hint="eastAsia"/>
                      <w:bCs/>
                      <w:color w:val="auto"/>
                      <w:szCs w:val="21"/>
                    </w:rPr>
                    <w:t>和水稻</w:t>
                  </w:r>
                  <w:r>
                    <w:rPr>
                      <w:bCs/>
                      <w:color w:val="auto"/>
                      <w:szCs w:val="21"/>
                    </w:rPr>
                    <w:t>的烘干，燃用生物质成型燃料，</w:t>
                  </w:r>
                  <w:r>
                    <w:rPr>
                      <w:color w:val="auto"/>
                      <w:szCs w:val="21"/>
                    </w:rPr>
                    <w:t>烘干塔</w:t>
                  </w:r>
                  <w:r>
                    <w:rPr>
                      <w:bCs/>
                      <w:color w:val="auto"/>
                      <w:szCs w:val="21"/>
                    </w:rPr>
                    <w:t>年运行</w:t>
                  </w:r>
                  <w:r>
                    <w:rPr>
                      <w:rFonts w:hint="eastAsia"/>
                      <w:bCs/>
                      <w:color w:val="auto"/>
                      <w:szCs w:val="21"/>
                    </w:rPr>
                    <w:t>34天</w:t>
                  </w:r>
                  <w:r>
                    <w:rPr>
                      <w:bCs/>
                      <w:color w:val="auto"/>
                      <w:szCs w:val="21"/>
                    </w:rPr>
                    <w:t>，</w:t>
                  </w:r>
                  <w:r>
                    <w:rPr>
                      <w:rFonts w:hint="eastAsia"/>
                      <w:bCs/>
                      <w:color w:val="auto"/>
                      <w:szCs w:val="21"/>
                    </w:rPr>
                    <w:t>其中烘干玉米25天，烘干水稻9天；</w:t>
                  </w:r>
                  <w:r>
                    <w:rPr>
                      <w:bCs/>
                      <w:color w:val="auto"/>
                      <w:szCs w:val="21"/>
                    </w:rPr>
                    <w:t>烘干塔烘干能力为</w:t>
                  </w:r>
                  <w:r>
                    <w:rPr>
                      <w:rFonts w:hint="eastAsia"/>
                      <w:bCs/>
                      <w:color w:val="auto"/>
                      <w:szCs w:val="21"/>
                    </w:rPr>
                    <w:t>3</w:t>
                  </w:r>
                  <w:r>
                    <w:rPr>
                      <w:bCs/>
                      <w:color w:val="auto"/>
                      <w:szCs w:val="21"/>
                    </w:rPr>
                    <w:t>00t/d</w:t>
                  </w:r>
                </w:p>
              </w:tc>
              <w:tc>
                <w:tcPr>
                  <w:tcW w:w="680" w:type="dxa"/>
                  <w:shd w:val="clear" w:color="auto" w:fill="FFFFFF"/>
                  <w:vAlign w:val="center"/>
                </w:tcPr>
                <w:p w14:paraId="44B9D43A">
                  <w:pPr>
                    <w:jc w:val="center"/>
                    <w:rPr>
                      <w:bCs/>
                      <w:color w:val="auto"/>
                      <w:szCs w:val="21"/>
                    </w:rPr>
                  </w:pPr>
                  <w:r>
                    <w:rPr>
                      <w:rFonts w:hint="eastAsia"/>
                      <w:bCs/>
                      <w:color w:val="auto"/>
                      <w:szCs w:val="21"/>
                    </w:rPr>
                    <w:t>新建</w:t>
                  </w:r>
                </w:p>
              </w:tc>
            </w:tr>
            <w:tr w14:paraId="09507C8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continue"/>
                  <w:shd w:val="clear" w:color="auto" w:fill="auto"/>
                  <w:vAlign w:val="center"/>
                </w:tcPr>
                <w:p w14:paraId="41A55E12">
                  <w:pPr>
                    <w:jc w:val="center"/>
                    <w:rPr>
                      <w:bCs/>
                      <w:color w:val="auto"/>
                      <w:szCs w:val="21"/>
                    </w:rPr>
                  </w:pPr>
                </w:p>
              </w:tc>
              <w:tc>
                <w:tcPr>
                  <w:tcW w:w="931" w:type="dxa"/>
                  <w:shd w:val="clear" w:color="auto" w:fill="FFFFFF"/>
                  <w:vAlign w:val="center"/>
                </w:tcPr>
                <w:p w14:paraId="6E484974">
                  <w:pPr>
                    <w:jc w:val="center"/>
                    <w:rPr>
                      <w:bCs/>
                      <w:color w:val="auto"/>
                      <w:szCs w:val="21"/>
                    </w:rPr>
                  </w:pPr>
                  <w:r>
                    <w:rPr>
                      <w:bCs/>
                      <w:color w:val="auto"/>
                      <w:szCs w:val="21"/>
                    </w:rPr>
                    <w:t>热风炉房</w:t>
                  </w:r>
                  <w:r>
                    <w:rPr>
                      <w:rFonts w:hint="eastAsia"/>
                      <w:bCs/>
                      <w:color w:val="auto"/>
                      <w:szCs w:val="21"/>
                    </w:rPr>
                    <w:t>1</w:t>
                  </w:r>
                </w:p>
              </w:tc>
              <w:tc>
                <w:tcPr>
                  <w:tcW w:w="5916" w:type="dxa"/>
                  <w:shd w:val="clear" w:color="auto" w:fill="FFFFFF"/>
                  <w:vAlign w:val="center"/>
                </w:tcPr>
                <w:p w14:paraId="42EE3D6D">
                  <w:pPr>
                    <w:rPr>
                      <w:bCs/>
                      <w:color w:val="auto"/>
                      <w:szCs w:val="21"/>
                    </w:rPr>
                  </w:pPr>
                  <w:r>
                    <w:rPr>
                      <w:bCs/>
                      <w:color w:val="auto"/>
                      <w:szCs w:val="21"/>
                    </w:rPr>
                    <w:t>建筑面积</w:t>
                  </w:r>
                  <w:r>
                    <w:rPr>
                      <w:rFonts w:hint="eastAsia"/>
                      <w:bCs/>
                      <w:color w:val="auto"/>
                      <w:szCs w:val="21"/>
                    </w:rPr>
                    <w:t>200</w:t>
                  </w:r>
                  <w:r>
                    <w:rPr>
                      <w:color w:val="auto"/>
                      <w:szCs w:val="21"/>
                    </w:rPr>
                    <w:t>m</w:t>
                  </w:r>
                  <w:r>
                    <w:rPr>
                      <w:color w:val="auto"/>
                      <w:szCs w:val="21"/>
                      <w:vertAlign w:val="superscript"/>
                    </w:rPr>
                    <w:t>2</w:t>
                  </w:r>
                  <w:r>
                    <w:rPr>
                      <w:bCs/>
                      <w:color w:val="auto"/>
                      <w:szCs w:val="21"/>
                    </w:rPr>
                    <w:t>，</w:t>
                  </w:r>
                  <w:r>
                    <w:rPr>
                      <w:rFonts w:hint="eastAsia"/>
                      <w:bCs/>
                      <w:color w:val="auto"/>
                      <w:szCs w:val="21"/>
                    </w:rPr>
                    <w:t>建筑高度约5m，</w:t>
                  </w:r>
                  <w:r>
                    <w:rPr>
                      <w:bCs/>
                      <w:color w:val="auto"/>
                      <w:szCs w:val="21"/>
                    </w:rPr>
                    <w:t>内设</w:t>
                  </w:r>
                  <w:r>
                    <w:rPr>
                      <w:rFonts w:hint="eastAsia"/>
                      <w:bCs/>
                      <w:color w:val="auto"/>
                      <w:szCs w:val="21"/>
                    </w:rPr>
                    <w:t>1台360万kcal/h</w:t>
                  </w:r>
                  <w:r>
                    <w:rPr>
                      <w:bCs/>
                      <w:color w:val="auto"/>
                      <w:szCs w:val="21"/>
                    </w:rPr>
                    <w:t>热风炉，燃用生物质成型燃料，</w:t>
                  </w:r>
                  <w:r>
                    <w:rPr>
                      <w:rFonts w:hint="eastAsia"/>
                      <w:bCs/>
                      <w:color w:val="auto"/>
                      <w:szCs w:val="21"/>
                    </w:rPr>
                    <w:t>烟囱</w:t>
                  </w:r>
                  <w:r>
                    <w:rPr>
                      <w:bCs/>
                      <w:color w:val="auto"/>
                      <w:szCs w:val="21"/>
                    </w:rPr>
                    <w:t>高</w:t>
                  </w:r>
                  <w:r>
                    <w:rPr>
                      <w:rFonts w:hint="eastAsia"/>
                      <w:bCs/>
                      <w:color w:val="auto"/>
                      <w:szCs w:val="21"/>
                    </w:rPr>
                    <w:t>15m</w:t>
                  </w:r>
                </w:p>
              </w:tc>
              <w:tc>
                <w:tcPr>
                  <w:tcW w:w="680" w:type="dxa"/>
                  <w:shd w:val="clear" w:color="auto" w:fill="FFFFFF"/>
                  <w:vAlign w:val="center"/>
                </w:tcPr>
                <w:p w14:paraId="0596D02A">
                  <w:pPr>
                    <w:jc w:val="center"/>
                    <w:rPr>
                      <w:bCs/>
                      <w:color w:val="auto"/>
                      <w:szCs w:val="21"/>
                    </w:rPr>
                  </w:pPr>
                  <w:r>
                    <w:rPr>
                      <w:rFonts w:hint="eastAsia"/>
                      <w:bCs/>
                      <w:color w:val="auto"/>
                      <w:szCs w:val="21"/>
                    </w:rPr>
                    <w:t>新建</w:t>
                  </w:r>
                </w:p>
              </w:tc>
            </w:tr>
            <w:tr w14:paraId="1A4E9B1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continue"/>
                  <w:shd w:val="clear" w:color="auto" w:fill="auto"/>
                  <w:vAlign w:val="center"/>
                </w:tcPr>
                <w:p w14:paraId="3EC0BD30">
                  <w:pPr>
                    <w:jc w:val="center"/>
                    <w:rPr>
                      <w:bCs/>
                      <w:color w:val="auto"/>
                      <w:szCs w:val="21"/>
                    </w:rPr>
                  </w:pPr>
                </w:p>
              </w:tc>
              <w:tc>
                <w:tcPr>
                  <w:tcW w:w="931" w:type="dxa"/>
                  <w:shd w:val="clear" w:color="auto" w:fill="FFFFFF"/>
                  <w:vAlign w:val="center"/>
                </w:tcPr>
                <w:p w14:paraId="4A793CA0">
                  <w:pPr>
                    <w:jc w:val="center"/>
                    <w:rPr>
                      <w:bCs/>
                      <w:color w:val="auto"/>
                      <w:szCs w:val="21"/>
                    </w:rPr>
                  </w:pPr>
                  <w:r>
                    <w:rPr>
                      <w:bCs/>
                      <w:color w:val="auto"/>
                      <w:szCs w:val="21"/>
                    </w:rPr>
                    <w:t>烘干塔</w:t>
                  </w:r>
                  <w:r>
                    <w:rPr>
                      <w:rFonts w:hint="eastAsia"/>
                      <w:bCs/>
                      <w:color w:val="auto"/>
                      <w:szCs w:val="21"/>
                    </w:rPr>
                    <w:t>2</w:t>
                  </w:r>
                </w:p>
              </w:tc>
              <w:tc>
                <w:tcPr>
                  <w:tcW w:w="5916" w:type="dxa"/>
                  <w:shd w:val="clear" w:color="auto" w:fill="FFFFFF"/>
                  <w:vAlign w:val="center"/>
                </w:tcPr>
                <w:p w14:paraId="742279FA">
                  <w:pPr>
                    <w:rPr>
                      <w:bCs/>
                      <w:color w:val="auto"/>
                      <w:szCs w:val="21"/>
                    </w:rPr>
                  </w:pPr>
                  <w:r>
                    <w:rPr>
                      <w:bCs/>
                      <w:color w:val="auto"/>
                      <w:szCs w:val="21"/>
                    </w:rPr>
                    <w:t>用于玉米</w:t>
                  </w:r>
                  <w:r>
                    <w:rPr>
                      <w:rFonts w:hint="eastAsia"/>
                      <w:bCs/>
                      <w:color w:val="auto"/>
                      <w:szCs w:val="21"/>
                    </w:rPr>
                    <w:t>和水稻</w:t>
                  </w:r>
                  <w:r>
                    <w:rPr>
                      <w:bCs/>
                      <w:color w:val="auto"/>
                      <w:szCs w:val="21"/>
                    </w:rPr>
                    <w:t>的烘干，燃用生物质成型燃料，</w:t>
                  </w:r>
                  <w:r>
                    <w:rPr>
                      <w:color w:val="auto"/>
                      <w:szCs w:val="21"/>
                    </w:rPr>
                    <w:t>烘干塔</w:t>
                  </w:r>
                  <w:r>
                    <w:rPr>
                      <w:bCs/>
                      <w:color w:val="auto"/>
                      <w:szCs w:val="21"/>
                    </w:rPr>
                    <w:t>年运行</w:t>
                  </w:r>
                  <w:r>
                    <w:rPr>
                      <w:rFonts w:hint="eastAsia"/>
                      <w:bCs/>
                      <w:color w:val="auto"/>
                      <w:szCs w:val="21"/>
                    </w:rPr>
                    <w:t>34天</w:t>
                  </w:r>
                  <w:r>
                    <w:rPr>
                      <w:bCs/>
                      <w:color w:val="auto"/>
                      <w:szCs w:val="21"/>
                    </w:rPr>
                    <w:t>，</w:t>
                  </w:r>
                  <w:r>
                    <w:rPr>
                      <w:rFonts w:hint="eastAsia"/>
                      <w:bCs/>
                      <w:color w:val="auto"/>
                      <w:szCs w:val="21"/>
                    </w:rPr>
                    <w:t>其中烘干玉米25天，烘干水稻9天；</w:t>
                  </w:r>
                  <w:r>
                    <w:rPr>
                      <w:bCs/>
                      <w:color w:val="auto"/>
                      <w:szCs w:val="21"/>
                    </w:rPr>
                    <w:t>烘干塔烘干能力为</w:t>
                  </w:r>
                  <w:r>
                    <w:rPr>
                      <w:rFonts w:hint="eastAsia"/>
                      <w:bCs/>
                      <w:color w:val="auto"/>
                      <w:szCs w:val="21"/>
                    </w:rPr>
                    <w:t>3</w:t>
                  </w:r>
                  <w:r>
                    <w:rPr>
                      <w:bCs/>
                      <w:color w:val="auto"/>
                      <w:szCs w:val="21"/>
                    </w:rPr>
                    <w:t>00t/d</w:t>
                  </w:r>
                </w:p>
              </w:tc>
              <w:tc>
                <w:tcPr>
                  <w:tcW w:w="680" w:type="dxa"/>
                  <w:shd w:val="clear" w:color="auto" w:fill="FFFFFF"/>
                  <w:vAlign w:val="center"/>
                </w:tcPr>
                <w:p w14:paraId="72F76FA1">
                  <w:pPr>
                    <w:jc w:val="center"/>
                    <w:rPr>
                      <w:bCs/>
                      <w:color w:val="auto"/>
                      <w:szCs w:val="21"/>
                    </w:rPr>
                  </w:pPr>
                  <w:r>
                    <w:rPr>
                      <w:rFonts w:hint="eastAsia"/>
                      <w:bCs/>
                      <w:color w:val="auto"/>
                      <w:szCs w:val="21"/>
                    </w:rPr>
                    <w:t>新建</w:t>
                  </w:r>
                </w:p>
              </w:tc>
            </w:tr>
            <w:tr w14:paraId="2B37999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continue"/>
                  <w:shd w:val="clear" w:color="auto" w:fill="auto"/>
                  <w:vAlign w:val="center"/>
                </w:tcPr>
                <w:p w14:paraId="0CF0C8C3">
                  <w:pPr>
                    <w:jc w:val="center"/>
                    <w:rPr>
                      <w:bCs/>
                      <w:color w:val="auto"/>
                      <w:szCs w:val="21"/>
                    </w:rPr>
                  </w:pPr>
                </w:p>
              </w:tc>
              <w:tc>
                <w:tcPr>
                  <w:tcW w:w="931" w:type="dxa"/>
                  <w:shd w:val="clear" w:color="auto" w:fill="FFFFFF"/>
                  <w:vAlign w:val="center"/>
                </w:tcPr>
                <w:p w14:paraId="08E11FF7">
                  <w:pPr>
                    <w:jc w:val="center"/>
                    <w:rPr>
                      <w:bCs/>
                      <w:color w:val="auto"/>
                      <w:szCs w:val="21"/>
                    </w:rPr>
                  </w:pPr>
                  <w:r>
                    <w:rPr>
                      <w:bCs/>
                      <w:color w:val="auto"/>
                      <w:szCs w:val="21"/>
                    </w:rPr>
                    <w:t>热风炉房</w:t>
                  </w:r>
                  <w:r>
                    <w:rPr>
                      <w:rFonts w:hint="eastAsia"/>
                      <w:bCs/>
                      <w:color w:val="auto"/>
                      <w:szCs w:val="21"/>
                    </w:rPr>
                    <w:t>2</w:t>
                  </w:r>
                </w:p>
              </w:tc>
              <w:tc>
                <w:tcPr>
                  <w:tcW w:w="5916" w:type="dxa"/>
                  <w:shd w:val="clear" w:color="auto" w:fill="FFFFFF"/>
                  <w:vAlign w:val="center"/>
                </w:tcPr>
                <w:p w14:paraId="7A4BE6BB">
                  <w:pPr>
                    <w:rPr>
                      <w:bCs/>
                      <w:color w:val="auto"/>
                      <w:szCs w:val="21"/>
                    </w:rPr>
                  </w:pPr>
                  <w:r>
                    <w:rPr>
                      <w:bCs/>
                      <w:color w:val="auto"/>
                      <w:szCs w:val="21"/>
                    </w:rPr>
                    <w:t>建筑面积</w:t>
                  </w:r>
                  <w:r>
                    <w:rPr>
                      <w:rFonts w:hint="eastAsia"/>
                      <w:bCs/>
                      <w:color w:val="auto"/>
                      <w:szCs w:val="21"/>
                    </w:rPr>
                    <w:t>200</w:t>
                  </w:r>
                  <w:r>
                    <w:rPr>
                      <w:color w:val="auto"/>
                      <w:szCs w:val="21"/>
                    </w:rPr>
                    <w:t>m</w:t>
                  </w:r>
                  <w:r>
                    <w:rPr>
                      <w:color w:val="auto"/>
                      <w:szCs w:val="21"/>
                      <w:vertAlign w:val="superscript"/>
                    </w:rPr>
                    <w:t>2</w:t>
                  </w:r>
                  <w:r>
                    <w:rPr>
                      <w:bCs/>
                      <w:color w:val="auto"/>
                      <w:szCs w:val="21"/>
                    </w:rPr>
                    <w:t>，</w:t>
                  </w:r>
                  <w:r>
                    <w:rPr>
                      <w:rFonts w:hint="eastAsia"/>
                      <w:bCs/>
                      <w:color w:val="auto"/>
                      <w:szCs w:val="21"/>
                    </w:rPr>
                    <w:t>建筑高度约5m，</w:t>
                  </w:r>
                  <w:r>
                    <w:rPr>
                      <w:bCs/>
                      <w:color w:val="auto"/>
                      <w:szCs w:val="21"/>
                    </w:rPr>
                    <w:t>内设</w:t>
                  </w:r>
                  <w:r>
                    <w:rPr>
                      <w:rFonts w:hint="eastAsia"/>
                      <w:bCs/>
                      <w:color w:val="auto"/>
                      <w:szCs w:val="21"/>
                    </w:rPr>
                    <w:t>1台360万kcal/h</w:t>
                  </w:r>
                  <w:r>
                    <w:rPr>
                      <w:bCs/>
                      <w:color w:val="auto"/>
                      <w:szCs w:val="21"/>
                    </w:rPr>
                    <w:t>热风炉，燃用生物质成型燃料</w:t>
                  </w:r>
                  <w:r>
                    <w:rPr>
                      <w:rStyle w:val="46"/>
                      <w:rFonts w:hint="eastAsia"/>
                      <w:color w:val="auto"/>
                    </w:rPr>
                    <w:t>，烟囱高15m</w:t>
                  </w:r>
                </w:p>
              </w:tc>
              <w:tc>
                <w:tcPr>
                  <w:tcW w:w="680" w:type="dxa"/>
                  <w:shd w:val="clear" w:color="auto" w:fill="FFFFFF"/>
                  <w:vAlign w:val="center"/>
                </w:tcPr>
                <w:p w14:paraId="69BAE45C">
                  <w:pPr>
                    <w:jc w:val="center"/>
                    <w:rPr>
                      <w:bCs/>
                      <w:color w:val="auto"/>
                      <w:szCs w:val="21"/>
                    </w:rPr>
                  </w:pPr>
                  <w:r>
                    <w:rPr>
                      <w:rFonts w:hint="eastAsia"/>
                      <w:bCs/>
                      <w:color w:val="auto"/>
                      <w:szCs w:val="21"/>
                    </w:rPr>
                    <w:t>新建</w:t>
                  </w:r>
                </w:p>
              </w:tc>
            </w:tr>
            <w:tr w14:paraId="2F479AD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restart"/>
                  <w:tcBorders>
                    <w:top w:val="single" w:color="auto" w:sz="4" w:space="0"/>
                  </w:tcBorders>
                  <w:shd w:val="clear" w:color="auto" w:fill="auto"/>
                  <w:vAlign w:val="center"/>
                </w:tcPr>
                <w:p w14:paraId="22EFEB36">
                  <w:pPr>
                    <w:widowControl/>
                    <w:jc w:val="center"/>
                    <w:rPr>
                      <w:color w:val="auto"/>
                      <w:szCs w:val="21"/>
                    </w:rPr>
                  </w:pPr>
                  <w:r>
                    <w:rPr>
                      <w:color w:val="auto"/>
                      <w:szCs w:val="21"/>
                    </w:rPr>
                    <w:t>储运工程</w:t>
                  </w:r>
                </w:p>
              </w:tc>
              <w:tc>
                <w:tcPr>
                  <w:tcW w:w="931" w:type="dxa"/>
                  <w:shd w:val="clear" w:color="auto" w:fill="FFFFFF"/>
                  <w:vAlign w:val="center"/>
                </w:tcPr>
                <w:p w14:paraId="26288EFD">
                  <w:pPr>
                    <w:jc w:val="center"/>
                    <w:rPr>
                      <w:color w:val="auto"/>
                      <w:szCs w:val="21"/>
                    </w:rPr>
                  </w:pPr>
                  <w:r>
                    <w:rPr>
                      <w:color w:val="auto"/>
                      <w:szCs w:val="21"/>
                    </w:rPr>
                    <w:t>灰渣</w:t>
                  </w:r>
                  <w:r>
                    <w:rPr>
                      <w:rFonts w:hint="eastAsia"/>
                      <w:color w:val="auto"/>
                      <w:szCs w:val="21"/>
                    </w:rPr>
                    <w:t>间</w:t>
                  </w:r>
                </w:p>
              </w:tc>
              <w:tc>
                <w:tcPr>
                  <w:tcW w:w="5916" w:type="dxa"/>
                  <w:shd w:val="clear" w:color="auto" w:fill="FFFFFF"/>
                  <w:vAlign w:val="center"/>
                </w:tcPr>
                <w:p w14:paraId="1A788757">
                  <w:pPr>
                    <w:rPr>
                      <w:color w:val="auto"/>
                      <w:szCs w:val="21"/>
                    </w:rPr>
                  </w:pPr>
                  <w:r>
                    <w:rPr>
                      <w:rFonts w:hint="eastAsia"/>
                      <w:color w:val="auto"/>
                      <w:szCs w:val="21"/>
                    </w:rPr>
                    <w:t>灰渣间</w:t>
                  </w:r>
                  <w:r>
                    <w:rPr>
                      <w:color w:val="auto"/>
                      <w:szCs w:val="21"/>
                    </w:rPr>
                    <w:t>为</w:t>
                  </w:r>
                  <w:r>
                    <w:rPr>
                      <w:color w:val="auto"/>
                    </w:rPr>
                    <w:t>独立、密闭设计，</w:t>
                  </w:r>
                  <w:r>
                    <w:rPr>
                      <w:color w:val="auto"/>
                      <w:szCs w:val="21"/>
                    </w:rPr>
                    <w:t>建筑</w:t>
                  </w:r>
                  <w:r>
                    <w:rPr>
                      <w:bCs/>
                      <w:color w:val="auto"/>
                      <w:szCs w:val="21"/>
                    </w:rPr>
                    <w:t>容积为</w:t>
                  </w:r>
                  <w:r>
                    <w:rPr>
                      <w:rFonts w:hint="eastAsia"/>
                      <w:color w:val="auto"/>
                      <w:szCs w:val="21"/>
                    </w:rPr>
                    <w:t>50</w:t>
                  </w:r>
                  <w:r>
                    <w:rPr>
                      <w:color w:val="auto"/>
                      <w:szCs w:val="21"/>
                    </w:rPr>
                    <w:t>m</w:t>
                  </w:r>
                  <w:r>
                    <w:rPr>
                      <w:color w:val="auto"/>
                      <w:szCs w:val="21"/>
                      <w:vertAlign w:val="superscript"/>
                    </w:rPr>
                    <w:t>3</w:t>
                  </w:r>
                  <w:r>
                    <w:rPr>
                      <w:color w:val="auto"/>
                      <w:szCs w:val="21"/>
                    </w:rPr>
                    <w:t>，</w:t>
                  </w:r>
                  <w:r>
                    <w:rPr>
                      <w:rFonts w:hint="eastAsia"/>
                      <w:color w:val="auto"/>
                      <w:szCs w:val="21"/>
                    </w:rPr>
                    <w:t>建筑物高度约5m，</w:t>
                  </w:r>
                  <w:r>
                    <w:rPr>
                      <w:color w:val="auto"/>
                      <w:szCs w:val="21"/>
                    </w:rPr>
                    <w:t>用于存放灰渣</w:t>
                  </w:r>
                  <w:r>
                    <w:rPr>
                      <w:rFonts w:hint="eastAsia"/>
                      <w:color w:val="auto"/>
                      <w:szCs w:val="21"/>
                    </w:rPr>
                    <w:t>等一般工业固废</w:t>
                  </w:r>
                  <w:r>
                    <w:rPr>
                      <w:color w:val="auto"/>
                      <w:szCs w:val="21"/>
                    </w:rPr>
                    <w:t>，最大储量为</w:t>
                  </w:r>
                  <w:r>
                    <w:rPr>
                      <w:rFonts w:hint="eastAsia"/>
                      <w:color w:val="auto"/>
                      <w:szCs w:val="21"/>
                    </w:rPr>
                    <w:t>50</w:t>
                  </w:r>
                  <w:r>
                    <w:rPr>
                      <w:color w:val="auto"/>
                      <w:szCs w:val="21"/>
                    </w:rPr>
                    <w:t>t</w:t>
                  </w:r>
                </w:p>
              </w:tc>
              <w:tc>
                <w:tcPr>
                  <w:tcW w:w="680" w:type="dxa"/>
                  <w:shd w:val="clear" w:color="auto" w:fill="FFFFFF"/>
                  <w:vAlign w:val="center"/>
                </w:tcPr>
                <w:p w14:paraId="5A61C6EF">
                  <w:pPr>
                    <w:jc w:val="center"/>
                    <w:rPr>
                      <w:bCs/>
                      <w:color w:val="auto"/>
                      <w:szCs w:val="21"/>
                    </w:rPr>
                  </w:pPr>
                  <w:r>
                    <w:rPr>
                      <w:rFonts w:hint="eastAsia"/>
                      <w:bCs/>
                      <w:color w:val="auto"/>
                      <w:szCs w:val="21"/>
                    </w:rPr>
                    <w:t>新建</w:t>
                  </w:r>
                </w:p>
              </w:tc>
            </w:tr>
            <w:tr w14:paraId="7E8B953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continue"/>
                  <w:shd w:val="clear" w:color="auto" w:fill="auto"/>
                  <w:vAlign w:val="center"/>
                </w:tcPr>
                <w:p w14:paraId="4CAC8416">
                  <w:pPr>
                    <w:widowControl/>
                    <w:jc w:val="center"/>
                    <w:rPr>
                      <w:color w:val="auto"/>
                      <w:szCs w:val="21"/>
                    </w:rPr>
                  </w:pPr>
                </w:p>
              </w:tc>
              <w:tc>
                <w:tcPr>
                  <w:tcW w:w="931" w:type="dxa"/>
                  <w:shd w:val="clear" w:color="auto" w:fill="FFFFFF"/>
                  <w:vAlign w:val="center"/>
                </w:tcPr>
                <w:p w14:paraId="6CE24938">
                  <w:pPr>
                    <w:jc w:val="center"/>
                    <w:rPr>
                      <w:color w:val="auto"/>
                      <w:szCs w:val="21"/>
                    </w:rPr>
                  </w:pPr>
                  <w:r>
                    <w:rPr>
                      <w:rFonts w:hint="eastAsia"/>
                      <w:color w:val="auto"/>
                      <w:szCs w:val="21"/>
                    </w:rPr>
                    <w:t>燃料间</w:t>
                  </w:r>
                </w:p>
              </w:tc>
              <w:tc>
                <w:tcPr>
                  <w:tcW w:w="5916" w:type="dxa"/>
                  <w:shd w:val="clear" w:color="auto" w:fill="FFFFFF"/>
                  <w:vAlign w:val="center"/>
                </w:tcPr>
                <w:p w14:paraId="00D5639F">
                  <w:pPr>
                    <w:rPr>
                      <w:color w:val="auto"/>
                      <w:szCs w:val="21"/>
                    </w:rPr>
                  </w:pPr>
                  <w:r>
                    <w:rPr>
                      <w:color w:val="auto"/>
                    </w:rPr>
                    <w:t>独立、密闭设计，</w:t>
                  </w:r>
                  <w:r>
                    <w:rPr>
                      <w:color w:val="auto"/>
                      <w:szCs w:val="21"/>
                    </w:rPr>
                    <w:t>建筑</w:t>
                  </w:r>
                  <w:r>
                    <w:rPr>
                      <w:bCs/>
                      <w:color w:val="auto"/>
                      <w:szCs w:val="21"/>
                    </w:rPr>
                    <w:t>容积为</w:t>
                  </w:r>
                  <w:r>
                    <w:rPr>
                      <w:rFonts w:hint="eastAsia"/>
                      <w:color w:val="auto"/>
                      <w:szCs w:val="21"/>
                    </w:rPr>
                    <w:t>50</w:t>
                  </w:r>
                  <w:r>
                    <w:rPr>
                      <w:color w:val="auto"/>
                      <w:szCs w:val="21"/>
                    </w:rPr>
                    <w:t>m</w:t>
                  </w:r>
                  <w:r>
                    <w:rPr>
                      <w:color w:val="auto"/>
                      <w:szCs w:val="21"/>
                      <w:vertAlign w:val="superscript"/>
                    </w:rPr>
                    <w:t>3</w:t>
                  </w:r>
                  <w:r>
                    <w:rPr>
                      <w:color w:val="auto"/>
                      <w:szCs w:val="21"/>
                    </w:rPr>
                    <w:t>，</w:t>
                  </w:r>
                  <w:r>
                    <w:rPr>
                      <w:rFonts w:hint="eastAsia"/>
                      <w:color w:val="auto"/>
                      <w:szCs w:val="21"/>
                    </w:rPr>
                    <w:t>建筑物高度约5m，</w:t>
                  </w:r>
                  <w:r>
                    <w:rPr>
                      <w:color w:val="auto"/>
                      <w:szCs w:val="21"/>
                    </w:rPr>
                    <w:t>用于存放</w:t>
                  </w:r>
                  <w:r>
                    <w:rPr>
                      <w:rFonts w:hint="eastAsia"/>
                      <w:color w:val="auto"/>
                      <w:szCs w:val="21"/>
                    </w:rPr>
                    <w:t>燃料</w:t>
                  </w:r>
                  <w:r>
                    <w:rPr>
                      <w:color w:val="auto"/>
                      <w:szCs w:val="21"/>
                    </w:rPr>
                    <w:t>，最大储量为</w:t>
                  </w:r>
                  <w:r>
                    <w:rPr>
                      <w:rFonts w:hint="eastAsia"/>
                      <w:color w:val="auto"/>
                      <w:szCs w:val="21"/>
                    </w:rPr>
                    <w:t>50</w:t>
                  </w:r>
                  <w:r>
                    <w:rPr>
                      <w:color w:val="auto"/>
                      <w:szCs w:val="21"/>
                    </w:rPr>
                    <w:t>t</w:t>
                  </w:r>
                </w:p>
              </w:tc>
              <w:tc>
                <w:tcPr>
                  <w:tcW w:w="680" w:type="dxa"/>
                  <w:shd w:val="clear" w:color="auto" w:fill="FFFFFF"/>
                  <w:vAlign w:val="center"/>
                </w:tcPr>
                <w:p w14:paraId="23447FB3">
                  <w:pPr>
                    <w:jc w:val="center"/>
                    <w:rPr>
                      <w:bCs/>
                      <w:color w:val="auto"/>
                      <w:szCs w:val="21"/>
                    </w:rPr>
                  </w:pPr>
                  <w:r>
                    <w:rPr>
                      <w:rFonts w:hint="eastAsia"/>
                      <w:bCs/>
                      <w:color w:val="auto"/>
                      <w:szCs w:val="21"/>
                    </w:rPr>
                    <w:t>新建</w:t>
                  </w:r>
                </w:p>
              </w:tc>
            </w:tr>
            <w:tr w14:paraId="4B94345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7" w:hRule="atLeast"/>
                <w:jc w:val="center"/>
              </w:trPr>
              <w:tc>
                <w:tcPr>
                  <w:tcW w:w="484" w:type="dxa"/>
                  <w:vMerge w:val="continue"/>
                  <w:shd w:val="clear" w:color="auto" w:fill="auto"/>
                  <w:vAlign w:val="center"/>
                </w:tcPr>
                <w:p w14:paraId="1D081F02">
                  <w:pPr>
                    <w:widowControl/>
                    <w:jc w:val="center"/>
                    <w:rPr>
                      <w:color w:val="auto"/>
                      <w:szCs w:val="21"/>
                    </w:rPr>
                  </w:pPr>
                </w:p>
              </w:tc>
              <w:tc>
                <w:tcPr>
                  <w:tcW w:w="931" w:type="dxa"/>
                  <w:tcBorders>
                    <w:bottom w:val="single" w:color="auto" w:sz="4" w:space="0"/>
                  </w:tcBorders>
                  <w:shd w:val="clear" w:color="auto" w:fill="FFFFFF"/>
                  <w:vAlign w:val="center"/>
                </w:tcPr>
                <w:p w14:paraId="019317AD">
                  <w:pPr>
                    <w:jc w:val="center"/>
                    <w:rPr>
                      <w:bCs/>
                      <w:color w:val="auto"/>
                      <w:szCs w:val="21"/>
                    </w:rPr>
                  </w:pPr>
                  <w:r>
                    <w:rPr>
                      <w:rFonts w:hint="eastAsia"/>
                      <w:bCs/>
                      <w:color w:val="auto"/>
                      <w:szCs w:val="21"/>
                    </w:rPr>
                    <w:t>仓房</w:t>
                  </w:r>
                </w:p>
              </w:tc>
              <w:tc>
                <w:tcPr>
                  <w:tcW w:w="5916" w:type="dxa"/>
                  <w:tcBorders>
                    <w:bottom w:val="single" w:color="auto" w:sz="4" w:space="0"/>
                  </w:tcBorders>
                  <w:shd w:val="clear" w:color="auto" w:fill="FFFFFF"/>
                  <w:vAlign w:val="center"/>
                </w:tcPr>
                <w:p w14:paraId="2A269F45">
                  <w:pPr>
                    <w:rPr>
                      <w:bCs/>
                      <w:color w:val="auto"/>
                      <w:szCs w:val="21"/>
                    </w:rPr>
                  </w:pPr>
                  <w:r>
                    <w:rPr>
                      <w:bCs/>
                      <w:color w:val="auto"/>
                      <w:szCs w:val="21"/>
                    </w:rPr>
                    <w:t>建筑面积</w:t>
                  </w:r>
                  <w:r>
                    <w:rPr>
                      <w:rFonts w:hint="eastAsia"/>
                      <w:bCs/>
                      <w:color w:val="auto"/>
                      <w:szCs w:val="21"/>
                    </w:rPr>
                    <w:t>80</w:t>
                  </w:r>
                  <w:r>
                    <w:rPr>
                      <w:bCs/>
                      <w:color w:val="auto"/>
                      <w:szCs w:val="21"/>
                    </w:rPr>
                    <w:t>m</w:t>
                  </w:r>
                  <w:r>
                    <w:rPr>
                      <w:bCs/>
                      <w:color w:val="auto"/>
                      <w:szCs w:val="21"/>
                      <w:vertAlign w:val="superscript"/>
                    </w:rPr>
                    <w:t>2</w:t>
                  </w:r>
                  <w:r>
                    <w:rPr>
                      <w:bCs/>
                      <w:color w:val="auto"/>
                      <w:szCs w:val="21"/>
                    </w:rPr>
                    <w:t>，</w:t>
                  </w:r>
                  <w:r>
                    <w:rPr>
                      <w:rFonts w:hint="eastAsia"/>
                      <w:color w:val="auto"/>
                      <w:szCs w:val="21"/>
                    </w:rPr>
                    <w:t>建筑物高度约8m，</w:t>
                  </w:r>
                  <w:r>
                    <w:rPr>
                      <w:rFonts w:hint="eastAsia"/>
                      <w:bCs/>
                      <w:color w:val="auto"/>
                      <w:szCs w:val="21"/>
                    </w:rPr>
                    <w:t>位于潮粮仓中，</w:t>
                  </w:r>
                  <w:r>
                    <w:rPr>
                      <w:bCs/>
                      <w:color w:val="auto"/>
                      <w:szCs w:val="21"/>
                    </w:rPr>
                    <w:t>用</w:t>
                  </w:r>
                  <w:r>
                    <w:rPr>
                      <w:rFonts w:hint="eastAsia"/>
                      <w:bCs/>
                      <w:color w:val="auto"/>
                      <w:szCs w:val="21"/>
                    </w:rPr>
                    <w:t>于存放工具</w:t>
                  </w:r>
                </w:p>
              </w:tc>
              <w:tc>
                <w:tcPr>
                  <w:tcW w:w="680" w:type="dxa"/>
                  <w:tcBorders>
                    <w:bottom w:val="single" w:color="auto" w:sz="4" w:space="0"/>
                  </w:tcBorders>
                  <w:shd w:val="clear" w:color="auto" w:fill="FFFFFF"/>
                  <w:vAlign w:val="center"/>
                </w:tcPr>
                <w:p w14:paraId="4D7CAA53">
                  <w:pPr>
                    <w:jc w:val="center"/>
                    <w:rPr>
                      <w:bCs/>
                      <w:color w:val="auto"/>
                      <w:szCs w:val="21"/>
                    </w:rPr>
                  </w:pPr>
                  <w:r>
                    <w:rPr>
                      <w:rFonts w:hint="eastAsia"/>
                      <w:bCs/>
                      <w:color w:val="auto"/>
                      <w:szCs w:val="21"/>
                    </w:rPr>
                    <w:t>新建</w:t>
                  </w:r>
                </w:p>
              </w:tc>
            </w:tr>
            <w:tr w14:paraId="71535C5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484" w:type="dxa"/>
                  <w:vMerge w:val="continue"/>
                  <w:shd w:val="clear" w:color="auto" w:fill="auto"/>
                  <w:vAlign w:val="center"/>
                </w:tcPr>
                <w:p w14:paraId="0724C2FF">
                  <w:pPr>
                    <w:widowControl/>
                    <w:jc w:val="center"/>
                    <w:rPr>
                      <w:color w:val="auto"/>
                      <w:szCs w:val="21"/>
                    </w:rPr>
                  </w:pPr>
                </w:p>
              </w:tc>
              <w:tc>
                <w:tcPr>
                  <w:tcW w:w="931" w:type="dxa"/>
                  <w:tcBorders>
                    <w:top w:val="single" w:color="auto" w:sz="4" w:space="0"/>
                  </w:tcBorders>
                  <w:shd w:val="clear" w:color="auto" w:fill="FFFFFF"/>
                  <w:vAlign w:val="center"/>
                </w:tcPr>
                <w:p w14:paraId="2B1F0785">
                  <w:pPr>
                    <w:jc w:val="center"/>
                    <w:rPr>
                      <w:color w:val="auto"/>
                      <w:szCs w:val="21"/>
                    </w:rPr>
                  </w:pPr>
                  <w:r>
                    <w:rPr>
                      <w:rFonts w:hint="eastAsia"/>
                      <w:color w:val="auto"/>
                      <w:szCs w:val="21"/>
                    </w:rPr>
                    <w:t>潮粮仓</w:t>
                  </w:r>
                </w:p>
              </w:tc>
              <w:tc>
                <w:tcPr>
                  <w:tcW w:w="5916" w:type="dxa"/>
                  <w:tcBorders>
                    <w:top w:val="single" w:color="auto" w:sz="4" w:space="0"/>
                  </w:tcBorders>
                  <w:shd w:val="clear" w:color="auto" w:fill="FFFFFF"/>
                  <w:vAlign w:val="center"/>
                </w:tcPr>
                <w:p w14:paraId="2FAF32DB">
                  <w:pPr>
                    <w:rPr>
                      <w:bCs/>
                      <w:color w:val="auto"/>
                      <w:szCs w:val="21"/>
                    </w:rPr>
                  </w:pPr>
                  <w:r>
                    <w:rPr>
                      <w:rFonts w:hint="eastAsia"/>
                      <w:bCs/>
                      <w:color w:val="auto"/>
                      <w:szCs w:val="21"/>
                    </w:rPr>
                    <w:t>占地面积1230m</w:t>
                  </w:r>
                  <w:r>
                    <w:rPr>
                      <w:rFonts w:hint="eastAsia"/>
                      <w:bCs/>
                      <w:color w:val="auto"/>
                      <w:szCs w:val="21"/>
                      <w:vertAlign w:val="superscript"/>
                    </w:rPr>
                    <w:t>2</w:t>
                  </w:r>
                  <w:r>
                    <w:rPr>
                      <w:bCs/>
                      <w:color w:val="auto"/>
                      <w:szCs w:val="21"/>
                    </w:rPr>
                    <w:t>，</w:t>
                  </w:r>
                  <w:r>
                    <w:rPr>
                      <w:rFonts w:hint="eastAsia"/>
                      <w:color w:val="auto"/>
                      <w:szCs w:val="21"/>
                    </w:rPr>
                    <w:t>建筑物高度约8m，</w:t>
                  </w:r>
                  <w:r>
                    <w:rPr>
                      <w:bCs/>
                      <w:color w:val="auto"/>
                      <w:szCs w:val="21"/>
                    </w:rPr>
                    <w:t>用</w:t>
                  </w:r>
                  <w:r>
                    <w:rPr>
                      <w:rFonts w:hint="eastAsia"/>
                      <w:bCs/>
                      <w:color w:val="auto"/>
                      <w:szCs w:val="21"/>
                    </w:rPr>
                    <w:t>于潮粮存储，</w:t>
                  </w:r>
                  <w:r>
                    <w:rPr>
                      <w:color w:val="auto"/>
                      <w:szCs w:val="21"/>
                    </w:rPr>
                    <w:t>储量为</w:t>
                  </w:r>
                  <w:r>
                    <w:rPr>
                      <w:rFonts w:hint="eastAsia"/>
                      <w:color w:val="auto"/>
                      <w:szCs w:val="21"/>
                    </w:rPr>
                    <w:t>1000</w:t>
                  </w:r>
                  <w:r>
                    <w:rPr>
                      <w:color w:val="auto"/>
                      <w:szCs w:val="21"/>
                    </w:rPr>
                    <w:t>t</w:t>
                  </w:r>
                </w:p>
              </w:tc>
              <w:tc>
                <w:tcPr>
                  <w:tcW w:w="680" w:type="dxa"/>
                  <w:tcBorders>
                    <w:top w:val="single" w:color="auto" w:sz="4" w:space="0"/>
                  </w:tcBorders>
                  <w:shd w:val="clear" w:color="auto" w:fill="FFFFFF"/>
                  <w:vAlign w:val="center"/>
                </w:tcPr>
                <w:p w14:paraId="6DCBE278">
                  <w:pPr>
                    <w:jc w:val="center"/>
                    <w:rPr>
                      <w:bCs/>
                      <w:color w:val="auto"/>
                      <w:szCs w:val="21"/>
                    </w:rPr>
                  </w:pPr>
                  <w:r>
                    <w:rPr>
                      <w:rFonts w:hint="eastAsia"/>
                      <w:bCs/>
                      <w:color w:val="auto"/>
                      <w:szCs w:val="21"/>
                    </w:rPr>
                    <w:t>新建</w:t>
                  </w:r>
                </w:p>
              </w:tc>
            </w:tr>
            <w:tr w14:paraId="52C2600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484" w:type="dxa"/>
                  <w:vMerge w:val="continue"/>
                  <w:shd w:val="clear" w:color="auto" w:fill="auto"/>
                  <w:vAlign w:val="center"/>
                </w:tcPr>
                <w:p w14:paraId="4DF9DA34">
                  <w:pPr>
                    <w:widowControl/>
                    <w:jc w:val="center"/>
                    <w:rPr>
                      <w:color w:val="auto"/>
                      <w:szCs w:val="21"/>
                    </w:rPr>
                  </w:pPr>
                </w:p>
              </w:tc>
              <w:tc>
                <w:tcPr>
                  <w:tcW w:w="931" w:type="dxa"/>
                  <w:tcBorders>
                    <w:top w:val="single" w:color="auto" w:sz="4" w:space="0"/>
                  </w:tcBorders>
                  <w:shd w:val="clear" w:color="auto" w:fill="FFFFFF"/>
                  <w:vAlign w:val="center"/>
                </w:tcPr>
                <w:p w14:paraId="0A59E280">
                  <w:pPr>
                    <w:jc w:val="center"/>
                    <w:rPr>
                      <w:color w:val="auto"/>
                      <w:szCs w:val="21"/>
                    </w:rPr>
                  </w:pPr>
                  <w:r>
                    <w:rPr>
                      <w:rFonts w:hint="eastAsia"/>
                      <w:color w:val="auto"/>
                      <w:szCs w:val="21"/>
                    </w:rPr>
                    <w:t>干粮仓</w:t>
                  </w:r>
                </w:p>
              </w:tc>
              <w:tc>
                <w:tcPr>
                  <w:tcW w:w="5916" w:type="dxa"/>
                  <w:tcBorders>
                    <w:top w:val="single" w:color="auto" w:sz="4" w:space="0"/>
                  </w:tcBorders>
                  <w:shd w:val="clear" w:color="auto" w:fill="FFFFFF"/>
                  <w:vAlign w:val="center"/>
                </w:tcPr>
                <w:p w14:paraId="4E672BEA">
                  <w:pPr>
                    <w:rPr>
                      <w:bCs/>
                      <w:color w:val="auto"/>
                      <w:szCs w:val="21"/>
                    </w:rPr>
                  </w:pPr>
                  <w:r>
                    <w:rPr>
                      <w:rFonts w:hint="eastAsia"/>
                      <w:bCs/>
                      <w:color w:val="auto"/>
                      <w:szCs w:val="21"/>
                    </w:rPr>
                    <w:t>占地面积100m</w:t>
                  </w:r>
                  <w:r>
                    <w:rPr>
                      <w:rFonts w:hint="eastAsia"/>
                      <w:bCs/>
                      <w:color w:val="auto"/>
                      <w:szCs w:val="21"/>
                      <w:vertAlign w:val="superscript"/>
                    </w:rPr>
                    <w:t>2</w:t>
                  </w:r>
                  <w:r>
                    <w:rPr>
                      <w:bCs/>
                      <w:color w:val="auto"/>
                      <w:szCs w:val="21"/>
                    </w:rPr>
                    <w:t>，</w:t>
                  </w:r>
                  <w:r>
                    <w:rPr>
                      <w:rFonts w:hint="eastAsia"/>
                      <w:color w:val="auto"/>
                      <w:szCs w:val="21"/>
                    </w:rPr>
                    <w:t>建筑物高度约8m，</w:t>
                  </w:r>
                  <w:r>
                    <w:rPr>
                      <w:bCs/>
                      <w:color w:val="auto"/>
                      <w:szCs w:val="21"/>
                    </w:rPr>
                    <w:t>用</w:t>
                  </w:r>
                  <w:r>
                    <w:rPr>
                      <w:rFonts w:hint="eastAsia"/>
                      <w:bCs/>
                      <w:color w:val="auto"/>
                      <w:szCs w:val="21"/>
                    </w:rPr>
                    <w:t>于干粮存储，</w:t>
                  </w:r>
                  <w:r>
                    <w:rPr>
                      <w:color w:val="auto"/>
                      <w:szCs w:val="21"/>
                    </w:rPr>
                    <w:t>储量为</w:t>
                  </w:r>
                  <w:r>
                    <w:rPr>
                      <w:rFonts w:hint="eastAsia"/>
                      <w:color w:val="auto"/>
                      <w:szCs w:val="21"/>
                    </w:rPr>
                    <w:t>200</w:t>
                  </w:r>
                  <w:r>
                    <w:rPr>
                      <w:color w:val="auto"/>
                      <w:szCs w:val="21"/>
                    </w:rPr>
                    <w:t>t</w:t>
                  </w:r>
                </w:p>
              </w:tc>
              <w:tc>
                <w:tcPr>
                  <w:tcW w:w="680" w:type="dxa"/>
                  <w:tcBorders>
                    <w:top w:val="single" w:color="auto" w:sz="4" w:space="0"/>
                  </w:tcBorders>
                  <w:shd w:val="clear" w:color="auto" w:fill="FFFFFF"/>
                  <w:vAlign w:val="center"/>
                </w:tcPr>
                <w:p w14:paraId="5FE7E48E">
                  <w:pPr>
                    <w:jc w:val="center"/>
                    <w:rPr>
                      <w:bCs/>
                      <w:color w:val="auto"/>
                      <w:szCs w:val="21"/>
                    </w:rPr>
                  </w:pPr>
                  <w:r>
                    <w:rPr>
                      <w:rFonts w:hint="eastAsia"/>
                      <w:bCs/>
                      <w:color w:val="auto"/>
                      <w:szCs w:val="21"/>
                    </w:rPr>
                    <w:t>新建</w:t>
                  </w:r>
                </w:p>
              </w:tc>
            </w:tr>
            <w:tr w14:paraId="407DCB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restart"/>
                  <w:shd w:val="clear" w:color="auto" w:fill="auto"/>
                  <w:vAlign w:val="center"/>
                </w:tcPr>
                <w:p w14:paraId="2A9E72AA">
                  <w:pPr>
                    <w:widowControl/>
                    <w:jc w:val="center"/>
                    <w:rPr>
                      <w:color w:val="auto"/>
                      <w:szCs w:val="21"/>
                    </w:rPr>
                  </w:pPr>
                  <w:r>
                    <w:rPr>
                      <w:color w:val="auto"/>
                      <w:szCs w:val="21"/>
                    </w:rPr>
                    <w:t>辅助工程</w:t>
                  </w:r>
                </w:p>
              </w:tc>
              <w:tc>
                <w:tcPr>
                  <w:tcW w:w="931" w:type="dxa"/>
                  <w:tcBorders>
                    <w:top w:val="single" w:color="auto" w:sz="4" w:space="0"/>
                  </w:tcBorders>
                  <w:shd w:val="clear" w:color="auto" w:fill="FFFFFF"/>
                  <w:vAlign w:val="center"/>
                </w:tcPr>
                <w:p w14:paraId="4BAB7DA4">
                  <w:pPr>
                    <w:jc w:val="center"/>
                    <w:rPr>
                      <w:bCs/>
                      <w:color w:val="auto"/>
                      <w:szCs w:val="21"/>
                    </w:rPr>
                  </w:pPr>
                  <w:r>
                    <w:rPr>
                      <w:rFonts w:hint="eastAsia"/>
                      <w:bCs/>
                      <w:color w:val="auto"/>
                      <w:szCs w:val="21"/>
                    </w:rPr>
                    <w:t>办公楼</w:t>
                  </w:r>
                </w:p>
              </w:tc>
              <w:tc>
                <w:tcPr>
                  <w:tcW w:w="5916" w:type="dxa"/>
                  <w:tcBorders>
                    <w:top w:val="single" w:color="auto" w:sz="4" w:space="0"/>
                  </w:tcBorders>
                  <w:shd w:val="clear" w:color="auto" w:fill="FFFFFF"/>
                  <w:vAlign w:val="center"/>
                </w:tcPr>
                <w:p w14:paraId="63E00759">
                  <w:pPr>
                    <w:rPr>
                      <w:bCs/>
                      <w:color w:val="auto"/>
                      <w:szCs w:val="21"/>
                    </w:rPr>
                  </w:pPr>
                  <w:r>
                    <w:rPr>
                      <w:bCs/>
                      <w:color w:val="auto"/>
                      <w:szCs w:val="21"/>
                    </w:rPr>
                    <w:t>建筑面积</w:t>
                  </w:r>
                  <w:r>
                    <w:rPr>
                      <w:rFonts w:hint="eastAsia"/>
                      <w:bCs/>
                      <w:color w:val="auto"/>
                      <w:szCs w:val="21"/>
                    </w:rPr>
                    <w:t>300</w:t>
                  </w:r>
                  <w:r>
                    <w:rPr>
                      <w:bCs/>
                      <w:color w:val="auto"/>
                      <w:szCs w:val="21"/>
                    </w:rPr>
                    <w:t>m</w:t>
                  </w:r>
                  <w:r>
                    <w:rPr>
                      <w:bCs/>
                      <w:color w:val="auto"/>
                      <w:szCs w:val="21"/>
                      <w:vertAlign w:val="superscript"/>
                    </w:rPr>
                    <w:t>2</w:t>
                  </w:r>
                  <w:r>
                    <w:rPr>
                      <w:bCs/>
                      <w:color w:val="auto"/>
                      <w:szCs w:val="21"/>
                    </w:rPr>
                    <w:t>，</w:t>
                  </w:r>
                  <w:r>
                    <w:rPr>
                      <w:rFonts w:hint="eastAsia"/>
                      <w:bCs/>
                      <w:color w:val="auto"/>
                      <w:szCs w:val="21"/>
                    </w:rPr>
                    <w:t>建筑高度约5m，</w:t>
                  </w:r>
                  <w:r>
                    <w:rPr>
                      <w:bCs/>
                      <w:color w:val="auto"/>
                      <w:szCs w:val="21"/>
                    </w:rPr>
                    <w:t>用于企业</w:t>
                  </w:r>
                  <w:r>
                    <w:rPr>
                      <w:rFonts w:hint="eastAsia"/>
                      <w:bCs/>
                      <w:color w:val="auto"/>
                      <w:szCs w:val="21"/>
                    </w:rPr>
                    <w:t>办公</w:t>
                  </w:r>
                </w:p>
              </w:tc>
              <w:tc>
                <w:tcPr>
                  <w:tcW w:w="680" w:type="dxa"/>
                  <w:tcBorders>
                    <w:top w:val="single" w:color="auto" w:sz="4" w:space="0"/>
                  </w:tcBorders>
                  <w:shd w:val="clear" w:color="auto" w:fill="FFFFFF"/>
                  <w:vAlign w:val="center"/>
                </w:tcPr>
                <w:p w14:paraId="1D6076CF">
                  <w:pPr>
                    <w:jc w:val="center"/>
                    <w:rPr>
                      <w:bCs/>
                      <w:color w:val="auto"/>
                      <w:szCs w:val="21"/>
                    </w:rPr>
                  </w:pPr>
                  <w:r>
                    <w:rPr>
                      <w:rFonts w:hint="eastAsia"/>
                      <w:bCs/>
                      <w:color w:val="auto"/>
                      <w:szCs w:val="21"/>
                    </w:rPr>
                    <w:t>新建</w:t>
                  </w:r>
                </w:p>
              </w:tc>
            </w:tr>
            <w:tr w14:paraId="527C511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continue"/>
                  <w:shd w:val="clear" w:color="auto" w:fill="auto"/>
                  <w:vAlign w:val="center"/>
                </w:tcPr>
                <w:p w14:paraId="4407DD47">
                  <w:pPr>
                    <w:widowControl/>
                    <w:jc w:val="center"/>
                    <w:rPr>
                      <w:color w:val="auto"/>
                      <w:szCs w:val="21"/>
                    </w:rPr>
                  </w:pPr>
                </w:p>
              </w:tc>
              <w:tc>
                <w:tcPr>
                  <w:tcW w:w="931" w:type="dxa"/>
                  <w:tcBorders>
                    <w:top w:val="single" w:color="auto" w:sz="4" w:space="0"/>
                  </w:tcBorders>
                  <w:shd w:val="clear" w:color="auto" w:fill="FFFFFF"/>
                  <w:vAlign w:val="center"/>
                </w:tcPr>
                <w:p w14:paraId="63355248">
                  <w:pPr>
                    <w:jc w:val="center"/>
                    <w:rPr>
                      <w:bCs/>
                      <w:color w:val="auto"/>
                      <w:szCs w:val="21"/>
                    </w:rPr>
                  </w:pPr>
                  <w:r>
                    <w:rPr>
                      <w:rFonts w:hint="eastAsia"/>
                      <w:bCs/>
                      <w:color w:val="auto"/>
                      <w:szCs w:val="21"/>
                    </w:rPr>
                    <w:t>化验室</w:t>
                  </w:r>
                </w:p>
              </w:tc>
              <w:tc>
                <w:tcPr>
                  <w:tcW w:w="5916" w:type="dxa"/>
                  <w:tcBorders>
                    <w:top w:val="single" w:color="auto" w:sz="4" w:space="0"/>
                  </w:tcBorders>
                  <w:shd w:val="clear" w:color="auto" w:fill="FFFFFF"/>
                  <w:vAlign w:val="center"/>
                </w:tcPr>
                <w:p w14:paraId="43B082D6">
                  <w:pPr>
                    <w:rPr>
                      <w:bCs/>
                      <w:color w:val="auto"/>
                      <w:szCs w:val="21"/>
                    </w:rPr>
                  </w:pPr>
                  <w:r>
                    <w:rPr>
                      <w:rFonts w:hint="eastAsia"/>
                      <w:bCs/>
                      <w:color w:val="auto"/>
                      <w:szCs w:val="21"/>
                    </w:rPr>
                    <w:t>建筑面积为50</w:t>
                  </w:r>
                  <w:r>
                    <w:rPr>
                      <w:bCs/>
                      <w:color w:val="auto"/>
                      <w:szCs w:val="21"/>
                    </w:rPr>
                    <w:t>m</w:t>
                  </w:r>
                  <w:r>
                    <w:rPr>
                      <w:bCs/>
                      <w:color w:val="auto"/>
                      <w:szCs w:val="21"/>
                      <w:vertAlign w:val="superscript"/>
                    </w:rPr>
                    <w:t>2</w:t>
                  </w:r>
                  <w:r>
                    <w:rPr>
                      <w:rFonts w:hint="eastAsia"/>
                      <w:bCs/>
                      <w:color w:val="auto"/>
                      <w:szCs w:val="21"/>
                    </w:rPr>
                    <w:t>，建筑高度约5m，位于办公楼内，用于化验粮食水分</w:t>
                  </w:r>
                </w:p>
              </w:tc>
              <w:tc>
                <w:tcPr>
                  <w:tcW w:w="680" w:type="dxa"/>
                  <w:tcBorders>
                    <w:top w:val="single" w:color="auto" w:sz="4" w:space="0"/>
                  </w:tcBorders>
                  <w:shd w:val="clear" w:color="auto" w:fill="FFFFFF"/>
                  <w:vAlign w:val="center"/>
                </w:tcPr>
                <w:p w14:paraId="7BF408C6">
                  <w:pPr>
                    <w:jc w:val="center"/>
                    <w:rPr>
                      <w:bCs/>
                      <w:color w:val="auto"/>
                      <w:szCs w:val="21"/>
                    </w:rPr>
                  </w:pPr>
                  <w:r>
                    <w:rPr>
                      <w:rFonts w:hint="eastAsia"/>
                      <w:bCs/>
                      <w:color w:val="auto"/>
                      <w:szCs w:val="21"/>
                    </w:rPr>
                    <w:t>新建</w:t>
                  </w:r>
                </w:p>
              </w:tc>
            </w:tr>
            <w:tr w14:paraId="7F2A93E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1" w:hRule="atLeast"/>
                <w:jc w:val="center"/>
              </w:trPr>
              <w:tc>
                <w:tcPr>
                  <w:tcW w:w="484" w:type="dxa"/>
                  <w:vMerge w:val="restart"/>
                  <w:vAlign w:val="center"/>
                </w:tcPr>
                <w:p w14:paraId="3C6A7066">
                  <w:pPr>
                    <w:jc w:val="center"/>
                    <w:rPr>
                      <w:color w:val="auto"/>
                      <w:szCs w:val="21"/>
                    </w:rPr>
                  </w:pPr>
                  <w:r>
                    <w:rPr>
                      <w:color w:val="auto"/>
                      <w:szCs w:val="21"/>
                    </w:rPr>
                    <w:t>公用工程</w:t>
                  </w:r>
                </w:p>
              </w:tc>
              <w:tc>
                <w:tcPr>
                  <w:tcW w:w="931" w:type="dxa"/>
                  <w:vAlign w:val="center"/>
                </w:tcPr>
                <w:p w14:paraId="5E727938">
                  <w:pPr>
                    <w:jc w:val="center"/>
                    <w:rPr>
                      <w:color w:val="auto"/>
                      <w:szCs w:val="21"/>
                    </w:rPr>
                  </w:pPr>
                  <w:r>
                    <w:rPr>
                      <w:color w:val="auto"/>
                      <w:szCs w:val="21"/>
                    </w:rPr>
                    <w:t>供水</w:t>
                  </w:r>
                </w:p>
              </w:tc>
              <w:tc>
                <w:tcPr>
                  <w:tcW w:w="5916" w:type="dxa"/>
                  <w:vAlign w:val="center"/>
                </w:tcPr>
                <w:p w14:paraId="67B763F9">
                  <w:pPr>
                    <w:rPr>
                      <w:color w:val="auto"/>
                      <w:szCs w:val="21"/>
                    </w:rPr>
                  </w:pPr>
                  <w:r>
                    <w:rPr>
                      <w:color w:val="auto"/>
                      <w:szCs w:val="21"/>
                    </w:rPr>
                    <w:t>本项目</w:t>
                  </w:r>
                  <w:r>
                    <w:rPr>
                      <w:rFonts w:hint="eastAsia"/>
                      <w:color w:val="auto"/>
                      <w:szCs w:val="21"/>
                    </w:rPr>
                    <w:t>无生产用水</w:t>
                  </w:r>
                  <w:r>
                    <w:rPr>
                      <w:color w:val="auto"/>
                      <w:szCs w:val="21"/>
                    </w:rPr>
                    <w:t>，生活用水由</w:t>
                  </w:r>
                  <w:r>
                    <w:rPr>
                      <w:rFonts w:hint="eastAsia"/>
                      <w:color w:val="auto"/>
                      <w:szCs w:val="21"/>
                    </w:rPr>
                    <w:t>村屯自来水</w:t>
                  </w:r>
                  <w:r>
                    <w:rPr>
                      <w:color w:val="auto"/>
                      <w:szCs w:val="21"/>
                    </w:rPr>
                    <w:t>提供。</w:t>
                  </w:r>
                </w:p>
              </w:tc>
              <w:tc>
                <w:tcPr>
                  <w:tcW w:w="680" w:type="dxa"/>
                  <w:vAlign w:val="center"/>
                </w:tcPr>
                <w:p w14:paraId="538EDCE1">
                  <w:pPr>
                    <w:jc w:val="center"/>
                    <w:rPr>
                      <w:color w:val="auto"/>
                      <w:szCs w:val="21"/>
                    </w:rPr>
                  </w:pPr>
                  <w:r>
                    <w:rPr>
                      <w:bCs/>
                      <w:color w:val="auto"/>
                      <w:szCs w:val="21"/>
                    </w:rPr>
                    <w:t>/</w:t>
                  </w:r>
                </w:p>
              </w:tc>
            </w:tr>
            <w:tr w14:paraId="067DC76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7" w:hRule="atLeast"/>
                <w:jc w:val="center"/>
              </w:trPr>
              <w:tc>
                <w:tcPr>
                  <w:tcW w:w="484" w:type="dxa"/>
                  <w:vMerge w:val="continue"/>
                  <w:shd w:val="clear" w:color="auto" w:fill="auto"/>
                  <w:vAlign w:val="center"/>
                </w:tcPr>
                <w:p w14:paraId="42AA67D3">
                  <w:pPr>
                    <w:jc w:val="center"/>
                    <w:rPr>
                      <w:color w:val="auto"/>
                      <w:szCs w:val="21"/>
                    </w:rPr>
                  </w:pPr>
                </w:p>
              </w:tc>
              <w:tc>
                <w:tcPr>
                  <w:tcW w:w="931" w:type="dxa"/>
                  <w:shd w:val="clear" w:color="auto" w:fill="FFFFFF"/>
                  <w:vAlign w:val="center"/>
                </w:tcPr>
                <w:p w14:paraId="38AE944D">
                  <w:pPr>
                    <w:jc w:val="center"/>
                    <w:rPr>
                      <w:color w:val="auto"/>
                      <w:szCs w:val="21"/>
                    </w:rPr>
                  </w:pPr>
                  <w:r>
                    <w:rPr>
                      <w:color w:val="auto"/>
                      <w:szCs w:val="21"/>
                    </w:rPr>
                    <w:t>排水</w:t>
                  </w:r>
                </w:p>
              </w:tc>
              <w:tc>
                <w:tcPr>
                  <w:tcW w:w="5916" w:type="dxa"/>
                  <w:shd w:val="clear" w:color="auto" w:fill="FFFFFF"/>
                  <w:vAlign w:val="center"/>
                </w:tcPr>
                <w:p w14:paraId="2745C182">
                  <w:pPr>
                    <w:rPr>
                      <w:color w:val="auto"/>
                      <w:szCs w:val="21"/>
                    </w:rPr>
                  </w:pPr>
                  <w:r>
                    <w:rPr>
                      <w:color w:val="auto"/>
                      <w:szCs w:val="21"/>
                    </w:rPr>
                    <w:t>本项目建设完成后无生产废水，生活污水排入防渗</w:t>
                  </w:r>
                  <w:r>
                    <w:rPr>
                      <w:rFonts w:hint="eastAsia"/>
                      <w:color w:val="auto"/>
                      <w:szCs w:val="21"/>
                    </w:rPr>
                    <w:t>厕所</w:t>
                  </w:r>
                  <w:r>
                    <w:rPr>
                      <w:color w:val="auto"/>
                      <w:szCs w:val="21"/>
                    </w:rPr>
                    <w:t>，</w:t>
                  </w:r>
                  <w:r>
                    <w:rPr>
                      <w:rFonts w:hint="eastAsia"/>
                      <w:color w:val="auto"/>
                      <w:szCs w:val="21"/>
                    </w:rPr>
                    <w:t>定期清掏，外运堆肥处置。</w:t>
                  </w:r>
                </w:p>
              </w:tc>
              <w:tc>
                <w:tcPr>
                  <w:tcW w:w="680" w:type="dxa"/>
                  <w:shd w:val="clear" w:color="auto" w:fill="FFFFFF"/>
                  <w:vAlign w:val="center"/>
                </w:tcPr>
                <w:p w14:paraId="59B78C3D">
                  <w:pPr>
                    <w:jc w:val="center"/>
                    <w:rPr>
                      <w:color w:val="auto"/>
                      <w:szCs w:val="21"/>
                    </w:rPr>
                  </w:pPr>
                  <w:r>
                    <w:rPr>
                      <w:bCs/>
                      <w:color w:val="auto"/>
                      <w:szCs w:val="21"/>
                    </w:rPr>
                    <w:t>/</w:t>
                  </w:r>
                </w:p>
              </w:tc>
            </w:tr>
            <w:tr w14:paraId="10DF820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7" w:hRule="atLeast"/>
                <w:jc w:val="center"/>
              </w:trPr>
              <w:tc>
                <w:tcPr>
                  <w:tcW w:w="484" w:type="dxa"/>
                  <w:vMerge w:val="continue"/>
                  <w:shd w:val="clear" w:color="auto" w:fill="auto"/>
                  <w:vAlign w:val="center"/>
                </w:tcPr>
                <w:p w14:paraId="453749B6">
                  <w:pPr>
                    <w:jc w:val="center"/>
                    <w:rPr>
                      <w:color w:val="auto"/>
                      <w:szCs w:val="21"/>
                    </w:rPr>
                  </w:pPr>
                </w:p>
              </w:tc>
              <w:tc>
                <w:tcPr>
                  <w:tcW w:w="931" w:type="dxa"/>
                  <w:shd w:val="clear" w:color="auto" w:fill="FFFFFF"/>
                  <w:vAlign w:val="center"/>
                </w:tcPr>
                <w:p w14:paraId="292D785D">
                  <w:pPr>
                    <w:jc w:val="center"/>
                    <w:rPr>
                      <w:color w:val="auto"/>
                      <w:szCs w:val="21"/>
                    </w:rPr>
                  </w:pPr>
                  <w:r>
                    <w:rPr>
                      <w:color w:val="auto"/>
                      <w:szCs w:val="21"/>
                    </w:rPr>
                    <w:t>供热</w:t>
                  </w:r>
                </w:p>
              </w:tc>
              <w:tc>
                <w:tcPr>
                  <w:tcW w:w="5916" w:type="dxa"/>
                  <w:shd w:val="clear" w:color="auto" w:fill="FFFFFF"/>
                  <w:vAlign w:val="center"/>
                </w:tcPr>
                <w:p w14:paraId="0A902DA3">
                  <w:pPr>
                    <w:rPr>
                      <w:color w:val="auto"/>
                    </w:rPr>
                  </w:pPr>
                  <w:r>
                    <w:rPr>
                      <w:color w:val="auto"/>
                      <w:szCs w:val="21"/>
                    </w:rPr>
                    <w:t>生产供热由新建</w:t>
                  </w:r>
                  <w:r>
                    <w:rPr>
                      <w:rFonts w:hint="eastAsia"/>
                      <w:color w:val="auto"/>
                      <w:szCs w:val="21"/>
                    </w:rPr>
                    <w:t>2</w:t>
                  </w:r>
                  <w:r>
                    <w:rPr>
                      <w:color w:val="auto"/>
                      <w:szCs w:val="21"/>
                    </w:rPr>
                    <w:t>台</w:t>
                  </w:r>
                  <w:r>
                    <w:rPr>
                      <w:rFonts w:hint="eastAsia"/>
                      <w:color w:val="auto"/>
                      <w:szCs w:val="21"/>
                    </w:rPr>
                    <w:t>360万kcal/h</w:t>
                  </w:r>
                  <w:r>
                    <w:rPr>
                      <w:color w:val="auto"/>
                      <w:szCs w:val="21"/>
                    </w:rPr>
                    <w:t>燃生物质热风炉提供，</w:t>
                  </w:r>
                  <w:r>
                    <w:rPr>
                      <w:bCs/>
                      <w:color w:val="auto"/>
                      <w:szCs w:val="21"/>
                    </w:rPr>
                    <w:t>燃用生物质成型燃料，</w:t>
                  </w:r>
                  <w:r>
                    <w:rPr>
                      <w:color w:val="auto"/>
                      <w:szCs w:val="21"/>
                    </w:rPr>
                    <w:t>生物质成型燃料消耗</w:t>
                  </w:r>
                  <w:r>
                    <w:rPr>
                      <w:rFonts w:hint="eastAsia"/>
                      <w:color w:val="auto"/>
                      <w:szCs w:val="21"/>
                    </w:rPr>
                    <w:t>总</w:t>
                  </w:r>
                  <w:r>
                    <w:rPr>
                      <w:color w:val="auto"/>
                      <w:szCs w:val="21"/>
                    </w:rPr>
                    <w:t>量为</w:t>
                  </w:r>
                  <w:r>
                    <w:rPr>
                      <w:rFonts w:hint="eastAsia"/>
                      <w:color w:val="auto"/>
                      <w:szCs w:val="21"/>
                      <w:lang w:eastAsia="zh-CN"/>
                    </w:rPr>
                    <w:t>2181</w:t>
                  </w:r>
                  <w:r>
                    <w:rPr>
                      <w:color w:val="auto"/>
                      <w:szCs w:val="21"/>
                    </w:rPr>
                    <w:t>t/a，</w:t>
                  </w:r>
                  <w:r>
                    <w:rPr>
                      <w:rFonts w:hint="eastAsia"/>
                      <w:color w:val="auto"/>
                      <w:szCs w:val="21"/>
                    </w:rPr>
                    <w:t>其中热风炉1</w:t>
                  </w:r>
                  <w:r>
                    <w:rPr>
                      <w:color w:val="auto"/>
                      <w:szCs w:val="21"/>
                    </w:rPr>
                    <w:t>生物质成型燃料消耗</w:t>
                  </w:r>
                  <w:r>
                    <w:rPr>
                      <w:rFonts w:hint="eastAsia"/>
                      <w:color w:val="auto"/>
                      <w:szCs w:val="21"/>
                    </w:rPr>
                    <w:t>量为</w:t>
                  </w:r>
                  <w:r>
                    <w:rPr>
                      <w:rFonts w:hint="eastAsia"/>
                      <w:color w:val="auto"/>
                      <w:szCs w:val="21"/>
                      <w:lang w:eastAsia="zh-CN"/>
                    </w:rPr>
                    <w:t>1090.5</w:t>
                  </w:r>
                  <w:r>
                    <w:rPr>
                      <w:color w:val="auto"/>
                      <w:szCs w:val="21"/>
                    </w:rPr>
                    <w:t>t/a</w:t>
                  </w:r>
                  <w:r>
                    <w:rPr>
                      <w:rFonts w:hint="eastAsia"/>
                      <w:color w:val="auto"/>
                      <w:szCs w:val="21"/>
                    </w:rPr>
                    <w:t>，热风炉2</w:t>
                  </w:r>
                  <w:r>
                    <w:rPr>
                      <w:color w:val="auto"/>
                      <w:szCs w:val="21"/>
                    </w:rPr>
                    <w:t>生物质成型燃料消耗</w:t>
                  </w:r>
                  <w:r>
                    <w:rPr>
                      <w:rFonts w:hint="eastAsia"/>
                      <w:color w:val="auto"/>
                      <w:szCs w:val="21"/>
                    </w:rPr>
                    <w:t>量为</w:t>
                  </w:r>
                  <w:r>
                    <w:rPr>
                      <w:rFonts w:hint="eastAsia"/>
                      <w:color w:val="auto"/>
                      <w:szCs w:val="21"/>
                      <w:lang w:eastAsia="zh-CN"/>
                    </w:rPr>
                    <w:t>1090.5</w:t>
                  </w:r>
                  <w:r>
                    <w:rPr>
                      <w:color w:val="auto"/>
                      <w:szCs w:val="21"/>
                    </w:rPr>
                    <w:t>t/a</w:t>
                  </w:r>
                  <w:r>
                    <w:rPr>
                      <w:rFonts w:hint="eastAsia"/>
                      <w:color w:val="auto"/>
                      <w:szCs w:val="21"/>
                    </w:rPr>
                    <w:t>；</w:t>
                  </w:r>
                  <w:r>
                    <w:rPr>
                      <w:color w:val="auto"/>
                      <w:szCs w:val="21"/>
                    </w:rPr>
                    <w:t>烟囱高</w:t>
                  </w:r>
                  <w:r>
                    <w:rPr>
                      <w:rFonts w:hint="eastAsia"/>
                      <w:color w:val="auto"/>
                      <w:szCs w:val="21"/>
                    </w:rPr>
                    <w:t>15m</w:t>
                  </w:r>
                  <w:r>
                    <w:rPr>
                      <w:color w:val="auto"/>
                      <w:szCs w:val="21"/>
                    </w:rPr>
                    <w:t>；</w:t>
                  </w:r>
                  <w:r>
                    <w:rPr>
                      <w:rFonts w:hint="eastAsia"/>
                      <w:color w:val="auto"/>
                      <w:szCs w:val="21"/>
                    </w:rPr>
                    <w:t>办公楼</w:t>
                  </w:r>
                  <w:r>
                    <w:rPr>
                      <w:color w:val="auto"/>
                    </w:rPr>
                    <w:t>冬季供暖</w:t>
                  </w:r>
                  <w:r>
                    <w:rPr>
                      <w:rFonts w:hint="eastAsia"/>
                      <w:color w:val="auto"/>
                    </w:rPr>
                    <w:t>采用电暖。</w:t>
                  </w:r>
                </w:p>
              </w:tc>
              <w:tc>
                <w:tcPr>
                  <w:tcW w:w="680" w:type="dxa"/>
                  <w:shd w:val="clear" w:color="auto" w:fill="FFFFFF"/>
                  <w:vAlign w:val="center"/>
                </w:tcPr>
                <w:p w14:paraId="383574B3">
                  <w:pPr>
                    <w:jc w:val="center"/>
                    <w:rPr>
                      <w:color w:val="auto"/>
                      <w:szCs w:val="21"/>
                    </w:rPr>
                  </w:pPr>
                  <w:r>
                    <w:rPr>
                      <w:rFonts w:hint="eastAsia"/>
                      <w:color w:val="auto"/>
                      <w:szCs w:val="21"/>
                    </w:rPr>
                    <w:t>/</w:t>
                  </w:r>
                </w:p>
              </w:tc>
            </w:tr>
            <w:tr w14:paraId="7141BC6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84" w:type="dxa"/>
                  <w:vMerge w:val="continue"/>
                  <w:shd w:val="clear" w:color="auto" w:fill="auto"/>
                  <w:vAlign w:val="center"/>
                </w:tcPr>
                <w:p w14:paraId="7A7A6B7F">
                  <w:pPr>
                    <w:jc w:val="center"/>
                    <w:rPr>
                      <w:color w:val="auto"/>
                      <w:szCs w:val="21"/>
                    </w:rPr>
                  </w:pPr>
                </w:p>
              </w:tc>
              <w:tc>
                <w:tcPr>
                  <w:tcW w:w="931" w:type="dxa"/>
                  <w:shd w:val="clear" w:color="auto" w:fill="FFFFFF"/>
                  <w:vAlign w:val="center"/>
                </w:tcPr>
                <w:p w14:paraId="4B97EE9C">
                  <w:pPr>
                    <w:jc w:val="center"/>
                    <w:rPr>
                      <w:color w:val="auto"/>
                      <w:szCs w:val="21"/>
                    </w:rPr>
                  </w:pPr>
                  <w:r>
                    <w:rPr>
                      <w:color w:val="auto"/>
                      <w:szCs w:val="21"/>
                    </w:rPr>
                    <w:t>供电</w:t>
                  </w:r>
                </w:p>
              </w:tc>
              <w:tc>
                <w:tcPr>
                  <w:tcW w:w="5916" w:type="dxa"/>
                  <w:shd w:val="clear" w:color="auto" w:fill="FFFFFF"/>
                  <w:vAlign w:val="center"/>
                </w:tcPr>
                <w:p w14:paraId="1F64CA8E">
                  <w:pPr>
                    <w:rPr>
                      <w:color w:val="auto"/>
                      <w:szCs w:val="21"/>
                    </w:rPr>
                  </w:pPr>
                  <w:r>
                    <w:rPr>
                      <w:color w:val="auto"/>
                      <w:szCs w:val="21"/>
                    </w:rPr>
                    <w:t>用电由所在地供电电网提供</w:t>
                  </w:r>
                </w:p>
              </w:tc>
              <w:tc>
                <w:tcPr>
                  <w:tcW w:w="680" w:type="dxa"/>
                  <w:shd w:val="clear" w:color="auto" w:fill="FFFFFF"/>
                  <w:vAlign w:val="center"/>
                </w:tcPr>
                <w:p w14:paraId="1E10BCC3">
                  <w:pPr>
                    <w:jc w:val="center"/>
                    <w:rPr>
                      <w:color w:val="auto"/>
                      <w:szCs w:val="21"/>
                    </w:rPr>
                  </w:pPr>
                  <w:r>
                    <w:rPr>
                      <w:bCs/>
                      <w:color w:val="auto"/>
                      <w:szCs w:val="21"/>
                    </w:rPr>
                    <w:t>依托</w:t>
                  </w:r>
                </w:p>
              </w:tc>
            </w:tr>
            <w:tr w14:paraId="07521ED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14" w:hRule="atLeast"/>
                <w:jc w:val="center"/>
              </w:trPr>
              <w:tc>
                <w:tcPr>
                  <w:tcW w:w="484" w:type="dxa"/>
                  <w:vMerge w:val="restart"/>
                  <w:vAlign w:val="center"/>
                </w:tcPr>
                <w:p w14:paraId="23C44DF4">
                  <w:pPr>
                    <w:jc w:val="center"/>
                    <w:rPr>
                      <w:color w:val="auto"/>
                      <w:szCs w:val="21"/>
                    </w:rPr>
                  </w:pPr>
                  <w:r>
                    <w:rPr>
                      <w:color w:val="auto"/>
                      <w:szCs w:val="21"/>
                    </w:rPr>
                    <w:t>环保工程</w:t>
                  </w:r>
                </w:p>
              </w:tc>
              <w:tc>
                <w:tcPr>
                  <w:tcW w:w="931" w:type="dxa"/>
                  <w:vMerge w:val="restart"/>
                  <w:vAlign w:val="center"/>
                </w:tcPr>
                <w:p w14:paraId="793338B8">
                  <w:pPr>
                    <w:jc w:val="center"/>
                    <w:rPr>
                      <w:color w:val="auto"/>
                      <w:szCs w:val="21"/>
                    </w:rPr>
                  </w:pPr>
                  <w:r>
                    <w:rPr>
                      <w:color w:val="auto"/>
                      <w:szCs w:val="21"/>
                    </w:rPr>
                    <w:t>废气防治措施</w:t>
                  </w:r>
                </w:p>
              </w:tc>
              <w:tc>
                <w:tcPr>
                  <w:tcW w:w="5916" w:type="dxa"/>
                  <w:vAlign w:val="center"/>
                </w:tcPr>
                <w:p w14:paraId="0F54BE2D">
                  <w:pPr>
                    <w:widowControl/>
                    <w:rPr>
                      <w:b/>
                      <w:bCs/>
                      <w:color w:val="auto"/>
                      <w:szCs w:val="21"/>
                    </w:rPr>
                  </w:pPr>
                  <w:r>
                    <w:rPr>
                      <w:b/>
                      <w:bCs/>
                      <w:color w:val="auto"/>
                      <w:szCs w:val="21"/>
                    </w:rPr>
                    <w:t>无组织排放废气</w:t>
                  </w:r>
                </w:p>
                <w:p w14:paraId="5C1B7B16">
                  <w:pPr>
                    <w:widowControl/>
                    <w:rPr>
                      <w:color w:val="auto"/>
                      <w:szCs w:val="21"/>
                    </w:rPr>
                  </w:pPr>
                  <w:r>
                    <w:rPr>
                      <w:rFonts w:hint="eastAsia"/>
                      <w:color w:val="auto"/>
                      <w:szCs w:val="21"/>
                    </w:rPr>
                    <w:t>1.燃料储存废气</w:t>
                  </w:r>
                </w:p>
                <w:p w14:paraId="7FD8473F">
                  <w:pPr>
                    <w:widowControl/>
                    <w:rPr>
                      <w:color w:val="auto"/>
                      <w:szCs w:val="21"/>
                    </w:rPr>
                  </w:pPr>
                  <w:r>
                    <w:rPr>
                      <w:color w:val="auto"/>
                      <w:szCs w:val="21"/>
                    </w:rPr>
                    <w:t>生物质成型燃料储存在厂区密闭燃料间内，粉尘主要为燃料堆取中产生粉尘，产生量较少，安装换气扇、定期通风</w:t>
                  </w:r>
                  <w:r>
                    <w:rPr>
                      <w:rFonts w:hint="eastAsia"/>
                      <w:color w:val="auto"/>
                      <w:szCs w:val="21"/>
                    </w:rPr>
                    <w:t>。</w:t>
                  </w:r>
                </w:p>
                <w:p w14:paraId="1446F491">
                  <w:pPr>
                    <w:widowControl/>
                    <w:rPr>
                      <w:color w:val="auto"/>
                      <w:szCs w:val="21"/>
                    </w:rPr>
                  </w:pPr>
                  <w:r>
                    <w:rPr>
                      <w:rFonts w:hint="eastAsia"/>
                      <w:color w:val="auto"/>
                      <w:szCs w:val="21"/>
                    </w:rPr>
                    <w:t>2.</w:t>
                  </w:r>
                  <w:r>
                    <w:rPr>
                      <w:color w:val="auto"/>
                      <w:szCs w:val="21"/>
                    </w:rPr>
                    <w:t>装卸废气</w:t>
                  </w:r>
                </w:p>
                <w:p w14:paraId="74246CA3">
                  <w:pPr>
                    <w:widowControl/>
                    <w:rPr>
                      <w:color w:val="auto"/>
                      <w:szCs w:val="21"/>
                    </w:rPr>
                  </w:pPr>
                  <w:r>
                    <w:rPr>
                      <w:color w:val="auto"/>
                      <w:szCs w:val="21"/>
                    </w:rPr>
                    <w:t>原粮装卸过程通过</w:t>
                  </w:r>
                  <w:r>
                    <w:rPr>
                      <w:rFonts w:hint="eastAsia"/>
                      <w:color w:val="auto"/>
                      <w:szCs w:val="21"/>
                    </w:rPr>
                    <w:t>在装卸末端</w:t>
                  </w:r>
                  <w:r>
                    <w:rPr>
                      <w:color w:val="auto"/>
                      <w:szCs w:val="21"/>
                    </w:rPr>
                    <w:t>设置临时围挡</w:t>
                  </w:r>
                  <w:r>
                    <w:rPr>
                      <w:rFonts w:hint="eastAsia"/>
                      <w:color w:val="auto"/>
                      <w:szCs w:val="21"/>
                    </w:rPr>
                    <w:t>（3米高，周长8米，材质为钢材</w:t>
                  </w:r>
                  <w:r>
                    <w:rPr>
                      <w:rFonts w:hint="eastAsia"/>
                      <w:color w:val="auto"/>
                      <w:szCs w:val="21"/>
                      <w:lang w:eastAsia="zh-CN"/>
                    </w:rPr>
                    <w:t>，</w:t>
                  </w:r>
                  <w:r>
                    <w:rPr>
                      <w:rFonts w:hint="eastAsia"/>
                      <w:color w:val="auto"/>
                      <w:szCs w:val="21"/>
                      <w:lang w:val="en-US" w:eastAsia="zh-CN"/>
                    </w:rPr>
                    <w:t>抑尘效率约为74%</w:t>
                  </w:r>
                  <w:r>
                    <w:rPr>
                      <w:rFonts w:hint="eastAsia"/>
                      <w:color w:val="auto"/>
                      <w:szCs w:val="21"/>
                    </w:rPr>
                    <w:t>），</w:t>
                  </w:r>
                  <w:r>
                    <w:rPr>
                      <w:color w:val="auto"/>
                      <w:szCs w:val="21"/>
                    </w:rPr>
                    <w:t>减小装卸高度等措施进行降尘。输送过程采用封闭输送带进行输送，减少粉尘的产生。</w:t>
                  </w:r>
                </w:p>
                <w:p w14:paraId="1AF2F176">
                  <w:pPr>
                    <w:widowControl/>
                    <w:rPr>
                      <w:color w:val="auto"/>
                      <w:szCs w:val="21"/>
                    </w:rPr>
                  </w:pPr>
                  <w:r>
                    <w:rPr>
                      <w:rFonts w:hint="eastAsia"/>
                      <w:color w:val="auto"/>
                      <w:szCs w:val="21"/>
                    </w:rPr>
                    <w:t>3</w:t>
                  </w:r>
                  <w:r>
                    <w:rPr>
                      <w:color w:val="auto"/>
                      <w:szCs w:val="21"/>
                    </w:rPr>
                    <w:t>.筛</w:t>
                  </w:r>
                  <w:r>
                    <w:rPr>
                      <w:rFonts w:hint="eastAsia"/>
                      <w:color w:val="auto"/>
                      <w:szCs w:val="21"/>
                    </w:rPr>
                    <w:t>分</w:t>
                  </w:r>
                  <w:r>
                    <w:rPr>
                      <w:color w:val="auto"/>
                      <w:szCs w:val="21"/>
                    </w:rPr>
                    <w:t>废气</w:t>
                  </w:r>
                </w:p>
                <w:p w14:paraId="07A4685E">
                  <w:pPr>
                    <w:widowControl/>
                    <w:rPr>
                      <w:color w:val="auto"/>
                      <w:szCs w:val="21"/>
                    </w:rPr>
                  </w:pPr>
                  <w:r>
                    <w:rPr>
                      <w:color w:val="auto"/>
                      <w:szCs w:val="21"/>
                    </w:rPr>
                    <w:t>原粮筛选过程中会有粉尘产生，采用密闭式滚筒筛，</w:t>
                  </w:r>
                  <w:r>
                    <w:rPr>
                      <w:rFonts w:hint="eastAsia"/>
                      <w:color w:val="auto"/>
                      <w:szCs w:val="21"/>
                    </w:rPr>
                    <w:t>圆筒初清筛底部排风口被布袋所密封，收集除尘灰</w:t>
                  </w:r>
                  <w:r>
                    <w:rPr>
                      <w:color w:val="auto"/>
                      <w:szCs w:val="21"/>
                    </w:rPr>
                    <w:t>，粉尘以无组织方式排放。</w:t>
                  </w:r>
                </w:p>
                <w:p w14:paraId="08770ED7">
                  <w:pPr>
                    <w:widowControl/>
                    <w:rPr>
                      <w:color w:val="auto"/>
                      <w:szCs w:val="21"/>
                    </w:rPr>
                  </w:pPr>
                  <w:r>
                    <w:rPr>
                      <w:rFonts w:hint="eastAsia"/>
                      <w:color w:val="auto"/>
                      <w:szCs w:val="21"/>
                    </w:rPr>
                    <w:t>4</w:t>
                  </w:r>
                  <w:r>
                    <w:rPr>
                      <w:color w:val="auto"/>
                      <w:szCs w:val="21"/>
                    </w:rPr>
                    <w:t>.烘干工段废气</w:t>
                  </w:r>
                </w:p>
                <w:p w14:paraId="586B2938">
                  <w:pPr>
                    <w:widowControl/>
                    <w:rPr>
                      <w:color w:val="auto"/>
                      <w:szCs w:val="21"/>
                    </w:rPr>
                  </w:pPr>
                  <w:r>
                    <w:rPr>
                      <w:color w:val="auto"/>
                      <w:szCs w:val="21"/>
                    </w:rPr>
                    <w:t>原粮烘干过程中会有粉尘产生，烘干塔塔体两侧排气孔设置折流挡板，塔顶排气孔设滤尘网，除尘效率可达</w:t>
                  </w:r>
                  <w:r>
                    <w:rPr>
                      <w:rFonts w:hint="eastAsia"/>
                      <w:color w:val="auto"/>
                      <w:szCs w:val="21"/>
                    </w:rPr>
                    <w:t>6</w:t>
                  </w:r>
                  <w:r>
                    <w:rPr>
                      <w:color w:val="auto"/>
                      <w:szCs w:val="21"/>
                    </w:rPr>
                    <w:t>0%，可有效阻止粉尘无组织排放。</w:t>
                  </w:r>
                </w:p>
                <w:p w14:paraId="079DED19">
                  <w:pPr>
                    <w:widowControl/>
                    <w:rPr>
                      <w:color w:val="auto"/>
                      <w:szCs w:val="21"/>
                    </w:rPr>
                  </w:pPr>
                  <w:r>
                    <w:rPr>
                      <w:rFonts w:hint="eastAsia"/>
                      <w:color w:val="auto"/>
                      <w:szCs w:val="21"/>
                    </w:rPr>
                    <w:t>5.燃料、灰渣转运废气</w:t>
                  </w:r>
                </w:p>
                <w:p w14:paraId="3D02591C">
                  <w:pPr>
                    <w:widowControl/>
                    <w:rPr>
                      <w:color w:val="auto"/>
                      <w:szCs w:val="21"/>
                    </w:rPr>
                  </w:pPr>
                  <w:r>
                    <w:rPr>
                      <w:color w:val="auto"/>
                      <w:szCs w:val="21"/>
                    </w:rPr>
                    <w:t>燃料生物质和灰渣分区储存在厂区库房，库房为封闭式库房。燃料厂内运输过程中加盖苫布，大风天气禁止转运。灰渣调湿后转运，转运时加盖苫布，大风天气禁止转运。</w:t>
                  </w:r>
                </w:p>
                <w:p w14:paraId="47A367FE">
                  <w:pPr>
                    <w:widowControl/>
                    <w:rPr>
                      <w:color w:val="auto"/>
                      <w:szCs w:val="21"/>
                    </w:rPr>
                  </w:pPr>
                  <w:r>
                    <w:rPr>
                      <w:rFonts w:hint="eastAsia"/>
                      <w:color w:val="auto"/>
                      <w:szCs w:val="21"/>
                    </w:rPr>
                    <w:t>6.热风炉房废气</w:t>
                  </w:r>
                </w:p>
                <w:p w14:paraId="345D7006">
                  <w:pPr>
                    <w:widowControl/>
                    <w:rPr>
                      <w:color w:val="auto"/>
                      <w:szCs w:val="21"/>
                    </w:rPr>
                  </w:pPr>
                  <w:r>
                    <w:rPr>
                      <w:rFonts w:hint="eastAsia"/>
                      <w:color w:val="auto"/>
                      <w:szCs w:val="21"/>
                    </w:rPr>
                    <w:t>热风炉房全密闭，热风炉产生的废气经低氮燃烧+布袋除尘器处理后部分有组织排放，剩余部分无组织排放</w:t>
                  </w:r>
                </w:p>
              </w:tc>
              <w:tc>
                <w:tcPr>
                  <w:tcW w:w="680" w:type="dxa"/>
                  <w:vAlign w:val="center"/>
                </w:tcPr>
                <w:p w14:paraId="5EA42B5D">
                  <w:pPr>
                    <w:pStyle w:val="71"/>
                    <w:spacing w:line="240" w:lineRule="auto"/>
                    <w:jc w:val="left"/>
                    <w:rPr>
                      <w:rFonts w:ascii="Times New Roman" w:eastAsia="宋体"/>
                      <w:color w:val="auto"/>
                      <w:szCs w:val="21"/>
                    </w:rPr>
                  </w:pPr>
                  <w:r>
                    <w:rPr>
                      <w:rFonts w:ascii="Times New Roman" w:eastAsia="宋体"/>
                      <w:color w:val="auto"/>
                      <w:kern w:val="2"/>
                      <w:sz w:val="21"/>
                      <w:szCs w:val="21"/>
                    </w:rPr>
                    <w:t>新建</w:t>
                  </w:r>
                </w:p>
              </w:tc>
            </w:tr>
            <w:tr w14:paraId="5AE9DB1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14" w:hRule="atLeast"/>
                <w:jc w:val="center"/>
              </w:trPr>
              <w:tc>
                <w:tcPr>
                  <w:tcW w:w="484" w:type="dxa"/>
                  <w:vMerge w:val="continue"/>
                  <w:vAlign w:val="center"/>
                </w:tcPr>
                <w:p w14:paraId="0C6F476D">
                  <w:pPr>
                    <w:jc w:val="center"/>
                    <w:rPr>
                      <w:color w:val="auto"/>
                      <w:szCs w:val="21"/>
                    </w:rPr>
                  </w:pPr>
                </w:p>
              </w:tc>
              <w:tc>
                <w:tcPr>
                  <w:tcW w:w="931" w:type="dxa"/>
                  <w:vMerge w:val="continue"/>
                  <w:vAlign w:val="center"/>
                </w:tcPr>
                <w:p w14:paraId="21A6C6C8">
                  <w:pPr>
                    <w:jc w:val="center"/>
                    <w:rPr>
                      <w:color w:val="auto"/>
                      <w:szCs w:val="21"/>
                    </w:rPr>
                  </w:pPr>
                </w:p>
              </w:tc>
              <w:tc>
                <w:tcPr>
                  <w:tcW w:w="5916" w:type="dxa"/>
                  <w:vAlign w:val="center"/>
                </w:tcPr>
                <w:p w14:paraId="7D8417E7">
                  <w:pPr>
                    <w:widowControl/>
                    <w:rPr>
                      <w:b/>
                      <w:bCs/>
                      <w:color w:val="auto"/>
                      <w:szCs w:val="21"/>
                    </w:rPr>
                  </w:pPr>
                  <w:r>
                    <w:rPr>
                      <w:rFonts w:hint="eastAsia"/>
                      <w:b/>
                      <w:bCs/>
                      <w:color w:val="auto"/>
                      <w:szCs w:val="21"/>
                    </w:rPr>
                    <w:t>有组织排放废气</w:t>
                  </w:r>
                </w:p>
                <w:p w14:paraId="6D6377C7">
                  <w:pPr>
                    <w:widowControl/>
                    <w:rPr>
                      <w:color w:val="auto"/>
                      <w:szCs w:val="21"/>
                    </w:rPr>
                  </w:pPr>
                  <w:r>
                    <w:rPr>
                      <w:rFonts w:hint="eastAsia"/>
                      <w:color w:val="auto"/>
                      <w:szCs w:val="21"/>
                    </w:rPr>
                    <w:t>1.</w:t>
                  </w:r>
                  <w:r>
                    <w:rPr>
                      <w:color w:val="auto"/>
                      <w:szCs w:val="21"/>
                    </w:rPr>
                    <w:t>热风炉废气</w:t>
                  </w:r>
                </w:p>
                <w:p w14:paraId="15653442">
                  <w:pPr>
                    <w:widowControl/>
                    <w:rPr>
                      <w:color w:val="auto"/>
                      <w:szCs w:val="21"/>
                    </w:rPr>
                  </w:pPr>
                  <w:r>
                    <w:rPr>
                      <w:color w:val="auto"/>
                      <w:szCs w:val="21"/>
                    </w:rPr>
                    <w:t>热风炉</w:t>
                  </w:r>
                  <w:r>
                    <w:rPr>
                      <w:rFonts w:hint="eastAsia"/>
                      <w:color w:val="auto"/>
                      <w:szCs w:val="21"/>
                    </w:rPr>
                    <w:t>1</w:t>
                  </w:r>
                  <w:r>
                    <w:rPr>
                      <w:color w:val="auto"/>
                      <w:szCs w:val="21"/>
                    </w:rPr>
                    <w:t>废气经</w:t>
                  </w:r>
                  <w:r>
                    <w:rPr>
                      <w:rFonts w:hint="eastAsia"/>
                      <w:color w:val="auto"/>
                      <w:szCs w:val="21"/>
                    </w:rPr>
                    <w:t>低氮燃烧+</w:t>
                  </w:r>
                  <w:r>
                    <w:rPr>
                      <w:color w:val="auto"/>
                      <w:szCs w:val="21"/>
                    </w:rPr>
                    <w:t>布袋除尘器（除尘效率</w:t>
                  </w:r>
                  <w:r>
                    <w:rPr>
                      <w:rFonts w:hint="eastAsia"/>
                      <w:color w:val="auto"/>
                      <w:szCs w:val="21"/>
                    </w:rPr>
                    <w:t>99.7%</w:t>
                  </w:r>
                  <w:r>
                    <w:rPr>
                      <w:color w:val="auto"/>
                      <w:szCs w:val="21"/>
                    </w:rPr>
                    <w:t>）除尘后，经</w:t>
                  </w:r>
                  <w:r>
                    <w:rPr>
                      <w:rFonts w:hint="eastAsia"/>
                      <w:color w:val="auto"/>
                      <w:szCs w:val="21"/>
                    </w:rPr>
                    <w:t>15m</w:t>
                  </w:r>
                  <w:r>
                    <w:rPr>
                      <w:color w:val="auto"/>
                      <w:szCs w:val="21"/>
                    </w:rPr>
                    <w:t>高烟囱</w:t>
                  </w:r>
                  <w:r>
                    <w:rPr>
                      <w:rFonts w:hint="eastAsia"/>
                      <w:color w:val="auto"/>
                      <w:szCs w:val="21"/>
                    </w:rPr>
                    <w:t>（DA001）</w:t>
                  </w:r>
                  <w:r>
                    <w:rPr>
                      <w:color w:val="auto"/>
                      <w:szCs w:val="21"/>
                    </w:rPr>
                    <w:t>高空排放</w:t>
                  </w:r>
                  <w:r>
                    <w:rPr>
                      <w:rFonts w:hint="eastAsia"/>
                      <w:color w:val="auto"/>
                      <w:szCs w:val="21"/>
                    </w:rPr>
                    <w:t>；</w:t>
                  </w:r>
                </w:p>
                <w:p w14:paraId="2C877D58">
                  <w:pPr>
                    <w:widowControl/>
                    <w:rPr>
                      <w:color w:val="auto"/>
                      <w:szCs w:val="21"/>
                    </w:rPr>
                  </w:pPr>
                  <w:r>
                    <w:rPr>
                      <w:color w:val="auto"/>
                      <w:szCs w:val="21"/>
                    </w:rPr>
                    <w:t>热风炉</w:t>
                  </w:r>
                  <w:r>
                    <w:rPr>
                      <w:rFonts w:hint="eastAsia"/>
                      <w:color w:val="auto"/>
                      <w:szCs w:val="21"/>
                    </w:rPr>
                    <w:t>2</w:t>
                  </w:r>
                  <w:r>
                    <w:rPr>
                      <w:color w:val="auto"/>
                      <w:szCs w:val="21"/>
                    </w:rPr>
                    <w:t>废气经</w:t>
                  </w:r>
                  <w:r>
                    <w:rPr>
                      <w:rFonts w:hint="eastAsia"/>
                      <w:color w:val="auto"/>
                      <w:szCs w:val="21"/>
                    </w:rPr>
                    <w:t>低氮燃烧+</w:t>
                  </w:r>
                  <w:r>
                    <w:rPr>
                      <w:color w:val="auto"/>
                      <w:szCs w:val="21"/>
                    </w:rPr>
                    <w:t>布袋除尘器（除尘效率</w:t>
                  </w:r>
                  <w:r>
                    <w:rPr>
                      <w:rFonts w:hint="eastAsia"/>
                      <w:color w:val="auto"/>
                      <w:szCs w:val="21"/>
                    </w:rPr>
                    <w:t>99.7%</w:t>
                  </w:r>
                  <w:r>
                    <w:rPr>
                      <w:color w:val="auto"/>
                      <w:szCs w:val="21"/>
                    </w:rPr>
                    <w:t>）除尘后，经</w:t>
                  </w:r>
                  <w:r>
                    <w:rPr>
                      <w:rFonts w:hint="eastAsia"/>
                      <w:color w:val="auto"/>
                      <w:szCs w:val="21"/>
                    </w:rPr>
                    <w:t>15m</w:t>
                  </w:r>
                  <w:r>
                    <w:rPr>
                      <w:color w:val="auto"/>
                      <w:szCs w:val="21"/>
                    </w:rPr>
                    <w:t>高烟囱</w:t>
                  </w:r>
                  <w:r>
                    <w:rPr>
                      <w:rFonts w:hint="eastAsia"/>
                      <w:color w:val="auto"/>
                      <w:szCs w:val="21"/>
                    </w:rPr>
                    <w:t>（DA002）</w:t>
                  </w:r>
                  <w:r>
                    <w:rPr>
                      <w:color w:val="auto"/>
                      <w:szCs w:val="21"/>
                    </w:rPr>
                    <w:t>高空排放</w:t>
                  </w:r>
                  <w:r>
                    <w:rPr>
                      <w:rFonts w:hint="eastAsia"/>
                      <w:color w:val="auto"/>
                      <w:szCs w:val="21"/>
                    </w:rPr>
                    <w:t>。</w:t>
                  </w:r>
                </w:p>
              </w:tc>
              <w:tc>
                <w:tcPr>
                  <w:tcW w:w="680" w:type="dxa"/>
                  <w:vAlign w:val="center"/>
                </w:tcPr>
                <w:p w14:paraId="094F0F02">
                  <w:pPr>
                    <w:pStyle w:val="71"/>
                    <w:spacing w:line="240" w:lineRule="auto"/>
                    <w:jc w:val="left"/>
                    <w:rPr>
                      <w:rFonts w:ascii="Times New Roman" w:eastAsia="宋体"/>
                      <w:color w:val="auto"/>
                      <w:kern w:val="2"/>
                      <w:sz w:val="21"/>
                      <w:szCs w:val="21"/>
                    </w:rPr>
                  </w:pPr>
                </w:p>
              </w:tc>
            </w:tr>
            <w:tr w14:paraId="47668A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98" w:hRule="atLeast"/>
                <w:jc w:val="center"/>
              </w:trPr>
              <w:tc>
                <w:tcPr>
                  <w:tcW w:w="484" w:type="dxa"/>
                  <w:vMerge w:val="continue"/>
                  <w:vAlign w:val="center"/>
                </w:tcPr>
                <w:p w14:paraId="796F7D78">
                  <w:pPr>
                    <w:jc w:val="center"/>
                    <w:rPr>
                      <w:color w:val="auto"/>
                      <w:szCs w:val="21"/>
                    </w:rPr>
                  </w:pPr>
                </w:p>
              </w:tc>
              <w:tc>
                <w:tcPr>
                  <w:tcW w:w="931" w:type="dxa"/>
                  <w:vAlign w:val="center"/>
                </w:tcPr>
                <w:p w14:paraId="2F71B1B5">
                  <w:pPr>
                    <w:jc w:val="center"/>
                    <w:rPr>
                      <w:color w:val="auto"/>
                      <w:szCs w:val="21"/>
                    </w:rPr>
                  </w:pPr>
                  <w:r>
                    <w:rPr>
                      <w:color w:val="auto"/>
                      <w:szCs w:val="21"/>
                    </w:rPr>
                    <w:t>噪声防治措施</w:t>
                  </w:r>
                </w:p>
              </w:tc>
              <w:tc>
                <w:tcPr>
                  <w:tcW w:w="5916" w:type="dxa"/>
                  <w:vAlign w:val="center"/>
                </w:tcPr>
                <w:p w14:paraId="27D6A9A5">
                  <w:pPr>
                    <w:rPr>
                      <w:color w:val="auto"/>
                      <w:szCs w:val="21"/>
                    </w:rPr>
                  </w:pPr>
                  <w:r>
                    <w:rPr>
                      <w:color w:val="auto"/>
                      <w:szCs w:val="21"/>
                    </w:rPr>
                    <w:t>选用低噪声设备，采取隔声、减振等措施，热风炉房</w:t>
                  </w:r>
                  <w:r>
                    <w:rPr>
                      <w:rFonts w:hint="eastAsia"/>
                      <w:color w:val="auto"/>
                      <w:szCs w:val="21"/>
                    </w:rPr>
                    <w:t>及生物质颗粒生产车间厂房</w:t>
                  </w:r>
                  <w:r>
                    <w:rPr>
                      <w:color w:val="auto"/>
                      <w:szCs w:val="21"/>
                    </w:rPr>
                    <w:t>密闭等措施，厂界满足</w:t>
                  </w:r>
                  <w:r>
                    <w:rPr>
                      <w:rFonts w:hint="eastAsia"/>
                      <w:color w:val="auto"/>
                      <w:szCs w:val="21"/>
                    </w:rPr>
                    <w:t>《工业企业厂界环境噪声排放标准》（GB12348-2008）中2类</w:t>
                  </w:r>
                  <w:r>
                    <w:rPr>
                      <w:color w:val="auto"/>
                      <w:szCs w:val="21"/>
                    </w:rPr>
                    <w:t>标准限值要求</w:t>
                  </w:r>
                </w:p>
              </w:tc>
              <w:tc>
                <w:tcPr>
                  <w:tcW w:w="680" w:type="dxa"/>
                  <w:vAlign w:val="center"/>
                </w:tcPr>
                <w:p w14:paraId="56DBD19B">
                  <w:pPr>
                    <w:jc w:val="center"/>
                    <w:rPr>
                      <w:color w:val="auto"/>
                      <w:szCs w:val="21"/>
                    </w:rPr>
                  </w:pPr>
                  <w:r>
                    <w:rPr>
                      <w:color w:val="auto"/>
                      <w:szCs w:val="21"/>
                    </w:rPr>
                    <w:t>新建</w:t>
                  </w:r>
                </w:p>
              </w:tc>
            </w:tr>
            <w:tr w14:paraId="5168977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01" w:hRule="atLeast"/>
                <w:jc w:val="center"/>
              </w:trPr>
              <w:tc>
                <w:tcPr>
                  <w:tcW w:w="484" w:type="dxa"/>
                  <w:vMerge w:val="continue"/>
                  <w:vAlign w:val="center"/>
                </w:tcPr>
                <w:p w14:paraId="06974BA1">
                  <w:pPr>
                    <w:jc w:val="center"/>
                    <w:rPr>
                      <w:color w:val="auto"/>
                      <w:szCs w:val="21"/>
                    </w:rPr>
                  </w:pPr>
                </w:p>
              </w:tc>
              <w:tc>
                <w:tcPr>
                  <w:tcW w:w="931" w:type="dxa"/>
                  <w:vAlign w:val="center"/>
                </w:tcPr>
                <w:p w14:paraId="64C58ED3">
                  <w:pPr>
                    <w:jc w:val="center"/>
                    <w:rPr>
                      <w:color w:val="auto"/>
                      <w:szCs w:val="21"/>
                    </w:rPr>
                  </w:pPr>
                  <w:r>
                    <w:rPr>
                      <w:color w:val="auto"/>
                      <w:szCs w:val="21"/>
                    </w:rPr>
                    <w:t>废水防治措施</w:t>
                  </w:r>
                </w:p>
              </w:tc>
              <w:tc>
                <w:tcPr>
                  <w:tcW w:w="5916" w:type="dxa"/>
                  <w:vAlign w:val="center"/>
                </w:tcPr>
                <w:p w14:paraId="11C1E725">
                  <w:pPr>
                    <w:rPr>
                      <w:color w:val="auto"/>
                      <w:szCs w:val="21"/>
                    </w:rPr>
                  </w:pPr>
                  <w:r>
                    <w:rPr>
                      <w:color w:val="auto"/>
                      <w:szCs w:val="21"/>
                    </w:rPr>
                    <w:t>无生产废水产生，生活污水</w:t>
                  </w:r>
                  <w:r>
                    <w:rPr>
                      <w:color w:val="auto"/>
                      <w:kern w:val="0"/>
                      <w:szCs w:val="21"/>
                    </w:rPr>
                    <w:t>排入防渗</w:t>
                  </w:r>
                  <w:r>
                    <w:rPr>
                      <w:rFonts w:hint="eastAsia"/>
                      <w:color w:val="auto"/>
                      <w:kern w:val="0"/>
                      <w:szCs w:val="21"/>
                    </w:rPr>
                    <w:t>厕所</w:t>
                  </w:r>
                  <w:r>
                    <w:rPr>
                      <w:color w:val="auto"/>
                      <w:kern w:val="0"/>
                      <w:szCs w:val="21"/>
                    </w:rPr>
                    <w:t>，定期清掏，外运堆肥</w:t>
                  </w:r>
                </w:p>
              </w:tc>
              <w:tc>
                <w:tcPr>
                  <w:tcW w:w="680" w:type="dxa"/>
                  <w:vAlign w:val="center"/>
                </w:tcPr>
                <w:p w14:paraId="1B1F0D9C">
                  <w:pPr>
                    <w:jc w:val="center"/>
                    <w:rPr>
                      <w:color w:val="auto"/>
                      <w:szCs w:val="21"/>
                    </w:rPr>
                  </w:pPr>
                  <w:r>
                    <w:rPr>
                      <w:bCs/>
                      <w:color w:val="auto"/>
                      <w:szCs w:val="21"/>
                    </w:rPr>
                    <w:t>/</w:t>
                  </w:r>
                </w:p>
              </w:tc>
            </w:tr>
            <w:tr w14:paraId="051F24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073" w:hRule="atLeast"/>
                <w:jc w:val="center"/>
              </w:trPr>
              <w:tc>
                <w:tcPr>
                  <w:tcW w:w="484" w:type="dxa"/>
                  <w:vMerge w:val="continue"/>
                  <w:vAlign w:val="center"/>
                </w:tcPr>
                <w:p w14:paraId="68FC9D3F">
                  <w:pPr>
                    <w:jc w:val="center"/>
                    <w:rPr>
                      <w:color w:val="auto"/>
                      <w:szCs w:val="21"/>
                    </w:rPr>
                  </w:pPr>
                </w:p>
              </w:tc>
              <w:tc>
                <w:tcPr>
                  <w:tcW w:w="931" w:type="dxa"/>
                  <w:vAlign w:val="center"/>
                </w:tcPr>
                <w:p w14:paraId="4708171D">
                  <w:pPr>
                    <w:jc w:val="center"/>
                    <w:rPr>
                      <w:color w:val="auto"/>
                      <w:szCs w:val="21"/>
                    </w:rPr>
                  </w:pPr>
                  <w:r>
                    <w:rPr>
                      <w:color w:val="auto"/>
                      <w:szCs w:val="21"/>
                    </w:rPr>
                    <w:t>固体废物防治措施</w:t>
                  </w:r>
                </w:p>
              </w:tc>
              <w:tc>
                <w:tcPr>
                  <w:tcW w:w="5916" w:type="dxa"/>
                  <w:vAlign w:val="center"/>
                </w:tcPr>
                <w:p w14:paraId="1B7B62F0">
                  <w:pPr>
                    <w:pStyle w:val="57"/>
                    <w:spacing w:line="240" w:lineRule="auto"/>
                    <w:ind w:firstLine="0" w:firstLineChars="0"/>
                    <w:rPr>
                      <w:color w:val="auto"/>
                      <w:sz w:val="21"/>
                      <w:szCs w:val="21"/>
                    </w:rPr>
                  </w:pPr>
                  <w:r>
                    <w:rPr>
                      <w:color w:val="auto"/>
                      <w:sz w:val="21"/>
                      <w:szCs w:val="21"/>
                    </w:rPr>
                    <w:t>热风炉除尘系统收尘、</w:t>
                  </w:r>
                  <w:r>
                    <w:rPr>
                      <w:rFonts w:hint="eastAsia"/>
                      <w:color w:val="auto"/>
                      <w:sz w:val="21"/>
                      <w:szCs w:val="21"/>
                    </w:rPr>
                    <w:t>热风炉炉渣、筛分收尘、烘干塔收尘集中收集后暂存于灰渣间，外售至肥料厂；</w:t>
                  </w:r>
                </w:p>
                <w:p w14:paraId="177B06AD">
                  <w:pPr>
                    <w:pStyle w:val="57"/>
                    <w:spacing w:line="240" w:lineRule="auto"/>
                    <w:ind w:firstLine="0" w:firstLineChars="0"/>
                    <w:rPr>
                      <w:rFonts w:hint="eastAsia" w:eastAsia="宋体"/>
                      <w:color w:val="auto"/>
                      <w:sz w:val="21"/>
                      <w:szCs w:val="21"/>
                      <w:lang w:val="en-US" w:eastAsia="zh-CN"/>
                    </w:rPr>
                  </w:pPr>
                  <w:r>
                    <w:rPr>
                      <w:color w:val="auto"/>
                      <w:sz w:val="21"/>
                      <w:szCs w:val="21"/>
                    </w:rPr>
                    <w:t>筛分清选工段杂质</w:t>
                  </w:r>
                  <w:r>
                    <w:rPr>
                      <w:rFonts w:hint="eastAsia"/>
                      <w:color w:val="auto"/>
                      <w:sz w:val="21"/>
                      <w:szCs w:val="21"/>
                    </w:rPr>
                    <w:t>外售至制砖厂</w:t>
                  </w:r>
                  <w:r>
                    <w:rPr>
                      <w:rFonts w:hint="eastAsia"/>
                      <w:color w:val="auto"/>
                      <w:sz w:val="21"/>
                      <w:szCs w:val="21"/>
                      <w:lang w:val="en-US" w:eastAsia="zh-CN"/>
                    </w:rPr>
                    <w:t>;</w:t>
                  </w:r>
                </w:p>
                <w:p w14:paraId="5B163C13">
                  <w:pPr>
                    <w:pStyle w:val="57"/>
                    <w:spacing w:line="240" w:lineRule="auto"/>
                    <w:ind w:firstLine="0" w:firstLineChars="0"/>
                    <w:rPr>
                      <w:color w:val="auto"/>
                      <w:sz w:val="21"/>
                      <w:szCs w:val="21"/>
                    </w:rPr>
                  </w:pPr>
                  <w:r>
                    <w:rPr>
                      <w:color w:val="auto"/>
                      <w:sz w:val="21"/>
                      <w:szCs w:val="21"/>
                    </w:rPr>
                    <w:t>废布袋</w:t>
                  </w:r>
                  <w:r>
                    <w:rPr>
                      <w:rFonts w:hint="eastAsia"/>
                      <w:color w:val="auto"/>
                      <w:sz w:val="21"/>
                      <w:szCs w:val="21"/>
                    </w:rPr>
                    <w:t>厂家更换时带走；</w:t>
                  </w:r>
                </w:p>
                <w:p w14:paraId="51B794CD">
                  <w:pPr>
                    <w:rPr>
                      <w:color w:val="auto"/>
                    </w:rPr>
                  </w:pPr>
                  <w:r>
                    <w:rPr>
                      <w:rFonts w:hint="eastAsia"/>
                      <w:color w:val="auto"/>
                    </w:rPr>
                    <w:t>生活垃圾由市政部门统一处理。</w:t>
                  </w:r>
                </w:p>
              </w:tc>
              <w:tc>
                <w:tcPr>
                  <w:tcW w:w="680" w:type="dxa"/>
                  <w:vAlign w:val="center"/>
                </w:tcPr>
                <w:p w14:paraId="3B377E5A">
                  <w:pPr>
                    <w:jc w:val="center"/>
                    <w:rPr>
                      <w:color w:val="auto"/>
                      <w:szCs w:val="21"/>
                    </w:rPr>
                  </w:pPr>
                  <w:r>
                    <w:rPr>
                      <w:bCs/>
                      <w:color w:val="auto"/>
                      <w:szCs w:val="21"/>
                    </w:rPr>
                    <w:t>新建</w:t>
                  </w:r>
                </w:p>
              </w:tc>
            </w:tr>
          </w:tbl>
          <w:p w14:paraId="56D4B4CA">
            <w:pPr>
              <w:tabs>
                <w:tab w:val="left" w:pos="6480"/>
              </w:tabs>
              <w:spacing w:line="360" w:lineRule="auto"/>
              <w:ind w:firstLine="482" w:firstLineChars="200"/>
              <w:rPr>
                <w:b/>
                <w:bCs/>
                <w:color w:val="auto"/>
                <w:sz w:val="24"/>
              </w:rPr>
            </w:pPr>
            <w:r>
              <w:rPr>
                <w:b/>
                <w:bCs/>
                <w:color w:val="auto"/>
                <w:sz w:val="24"/>
              </w:rPr>
              <w:t>2、主要设备</w:t>
            </w:r>
          </w:p>
          <w:p w14:paraId="13268DDD">
            <w:pPr>
              <w:autoSpaceDE w:val="0"/>
              <w:autoSpaceDN w:val="0"/>
              <w:adjustRightInd w:val="0"/>
              <w:spacing w:line="360" w:lineRule="auto"/>
              <w:ind w:firstLine="480" w:firstLineChars="200"/>
              <w:rPr>
                <w:color w:val="auto"/>
                <w:sz w:val="24"/>
              </w:rPr>
            </w:pPr>
            <w:r>
              <w:rPr>
                <w:color w:val="auto"/>
                <w:sz w:val="24"/>
              </w:rPr>
              <w:t>本项目主要设备见下表2-2。</w:t>
            </w:r>
          </w:p>
          <w:p w14:paraId="4C12C3CD">
            <w:pPr>
              <w:spacing w:line="360" w:lineRule="auto"/>
              <w:ind w:left="2823"/>
              <w:rPr>
                <w:b/>
                <w:bCs/>
                <w:color w:val="auto"/>
                <w:szCs w:val="21"/>
              </w:rPr>
            </w:pPr>
            <w:r>
              <w:rPr>
                <w:b/>
                <w:bCs/>
                <w:color w:val="auto"/>
                <w:szCs w:val="21"/>
              </w:rPr>
              <w:t>表2-2主要设备表</w:t>
            </w:r>
          </w:p>
          <w:tbl>
            <w:tblPr>
              <w:tblStyle w:val="90"/>
              <w:tblW w:w="7996"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550"/>
              <w:gridCol w:w="2362"/>
              <w:gridCol w:w="1375"/>
              <w:gridCol w:w="2127"/>
              <w:gridCol w:w="1582"/>
            </w:tblGrid>
            <w:tr w14:paraId="344BC08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199" w:hRule="atLeast"/>
                <w:jc w:val="center"/>
              </w:trPr>
              <w:tc>
                <w:tcPr>
                  <w:tcW w:w="550" w:type="dxa"/>
                  <w:tcBorders>
                    <w:tl2br w:val="nil"/>
                    <w:tr2bl w:val="nil"/>
                  </w:tcBorders>
                </w:tcPr>
                <w:p w14:paraId="7C0BDA3A">
                  <w:pPr>
                    <w:jc w:val="center"/>
                    <w:rPr>
                      <w:color w:val="auto"/>
                      <w:szCs w:val="21"/>
                    </w:rPr>
                  </w:pPr>
                  <w:r>
                    <w:rPr>
                      <w:color w:val="auto"/>
                      <w:szCs w:val="21"/>
                    </w:rPr>
                    <w:t>序号</w:t>
                  </w:r>
                </w:p>
              </w:tc>
              <w:tc>
                <w:tcPr>
                  <w:tcW w:w="2362" w:type="dxa"/>
                  <w:tcBorders>
                    <w:tl2br w:val="nil"/>
                    <w:tr2bl w:val="nil"/>
                  </w:tcBorders>
                </w:tcPr>
                <w:p w14:paraId="0CA070AE">
                  <w:pPr>
                    <w:jc w:val="center"/>
                    <w:rPr>
                      <w:color w:val="auto"/>
                      <w:szCs w:val="21"/>
                    </w:rPr>
                  </w:pPr>
                  <w:r>
                    <w:rPr>
                      <w:color w:val="auto"/>
                      <w:szCs w:val="21"/>
                    </w:rPr>
                    <w:t>设备名称</w:t>
                  </w:r>
                </w:p>
              </w:tc>
              <w:tc>
                <w:tcPr>
                  <w:tcW w:w="1375" w:type="dxa"/>
                  <w:tcBorders>
                    <w:tl2br w:val="nil"/>
                    <w:tr2bl w:val="nil"/>
                  </w:tcBorders>
                </w:tcPr>
                <w:p w14:paraId="3ADD4E5B">
                  <w:pPr>
                    <w:jc w:val="center"/>
                    <w:rPr>
                      <w:color w:val="auto"/>
                      <w:szCs w:val="21"/>
                    </w:rPr>
                  </w:pPr>
                  <w:r>
                    <w:rPr>
                      <w:color w:val="auto"/>
                      <w:szCs w:val="21"/>
                    </w:rPr>
                    <w:t>数量</w:t>
                  </w:r>
                </w:p>
              </w:tc>
              <w:tc>
                <w:tcPr>
                  <w:tcW w:w="2127" w:type="dxa"/>
                  <w:tcBorders>
                    <w:tl2br w:val="nil"/>
                    <w:tr2bl w:val="nil"/>
                  </w:tcBorders>
                </w:tcPr>
                <w:p w14:paraId="1D943488">
                  <w:pPr>
                    <w:jc w:val="center"/>
                    <w:rPr>
                      <w:color w:val="auto"/>
                      <w:szCs w:val="21"/>
                    </w:rPr>
                  </w:pPr>
                  <w:r>
                    <w:rPr>
                      <w:color w:val="auto"/>
                      <w:szCs w:val="21"/>
                    </w:rPr>
                    <w:t>单位</w:t>
                  </w:r>
                </w:p>
              </w:tc>
              <w:tc>
                <w:tcPr>
                  <w:tcW w:w="1582" w:type="dxa"/>
                  <w:tcBorders>
                    <w:tl2br w:val="nil"/>
                    <w:tr2bl w:val="nil"/>
                  </w:tcBorders>
                </w:tcPr>
                <w:p w14:paraId="16A1A009">
                  <w:pPr>
                    <w:jc w:val="center"/>
                    <w:rPr>
                      <w:color w:val="auto"/>
                      <w:szCs w:val="21"/>
                    </w:rPr>
                  </w:pPr>
                  <w:r>
                    <w:rPr>
                      <w:color w:val="auto"/>
                      <w:szCs w:val="21"/>
                    </w:rPr>
                    <w:t>备注</w:t>
                  </w:r>
                </w:p>
              </w:tc>
            </w:tr>
            <w:tr w14:paraId="496DAF4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550" w:type="dxa"/>
                  <w:tcBorders>
                    <w:tl2br w:val="nil"/>
                    <w:tr2bl w:val="nil"/>
                  </w:tcBorders>
                </w:tcPr>
                <w:p w14:paraId="02650E57">
                  <w:pPr>
                    <w:jc w:val="center"/>
                    <w:rPr>
                      <w:color w:val="auto"/>
                      <w:szCs w:val="21"/>
                    </w:rPr>
                  </w:pPr>
                  <w:r>
                    <w:rPr>
                      <w:color w:val="auto"/>
                      <w:szCs w:val="21"/>
                    </w:rPr>
                    <w:t>1</w:t>
                  </w:r>
                </w:p>
              </w:tc>
              <w:tc>
                <w:tcPr>
                  <w:tcW w:w="2362" w:type="dxa"/>
                  <w:tcBorders>
                    <w:tl2br w:val="nil"/>
                    <w:tr2bl w:val="nil"/>
                  </w:tcBorders>
                  <w:vAlign w:val="center"/>
                </w:tcPr>
                <w:p w14:paraId="2FE4230A">
                  <w:pPr>
                    <w:jc w:val="center"/>
                    <w:rPr>
                      <w:color w:val="auto"/>
                      <w:szCs w:val="21"/>
                    </w:rPr>
                  </w:pPr>
                  <w:r>
                    <w:rPr>
                      <w:color w:val="auto"/>
                      <w:szCs w:val="21"/>
                    </w:rPr>
                    <w:t>烘干塔</w:t>
                  </w:r>
                </w:p>
              </w:tc>
              <w:tc>
                <w:tcPr>
                  <w:tcW w:w="1375" w:type="dxa"/>
                  <w:tcBorders>
                    <w:tl2br w:val="nil"/>
                    <w:tr2bl w:val="nil"/>
                  </w:tcBorders>
                  <w:vAlign w:val="center"/>
                </w:tcPr>
                <w:p w14:paraId="527206BB">
                  <w:pPr>
                    <w:jc w:val="center"/>
                    <w:rPr>
                      <w:color w:val="auto"/>
                      <w:szCs w:val="21"/>
                    </w:rPr>
                  </w:pPr>
                  <w:r>
                    <w:rPr>
                      <w:rFonts w:hint="eastAsia"/>
                      <w:color w:val="auto"/>
                      <w:kern w:val="0"/>
                      <w:szCs w:val="21"/>
                      <w:lang w:bidi="ar"/>
                    </w:rPr>
                    <w:t>2</w:t>
                  </w:r>
                </w:p>
              </w:tc>
              <w:tc>
                <w:tcPr>
                  <w:tcW w:w="2127" w:type="dxa"/>
                  <w:tcBorders>
                    <w:tl2br w:val="nil"/>
                    <w:tr2bl w:val="nil"/>
                  </w:tcBorders>
                  <w:vAlign w:val="center"/>
                </w:tcPr>
                <w:p w14:paraId="30C65EF6">
                  <w:pPr>
                    <w:jc w:val="center"/>
                    <w:rPr>
                      <w:color w:val="auto"/>
                      <w:szCs w:val="21"/>
                    </w:rPr>
                  </w:pPr>
                  <w:r>
                    <w:rPr>
                      <w:color w:val="auto"/>
                      <w:szCs w:val="21"/>
                    </w:rPr>
                    <w:t>座</w:t>
                  </w:r>
                </w:p>
              </w:tc>
              <w:tc>
                <w:tcPr>
                  <w:tcW w:w="1582" w:type="dxa"/>
                  <w:tcBorders>
                    <w:tl2br w:val="nil"/>
                    <w:tr2bl w:val="nil"/>
                  </w:tcBorders>
                  <w:vAlign w:val="center"/>
                </w:tcPr>
                <w:p w14:paraId="31711A0F">
                  <w:pPr>
                    <w:jc w:val="center"/>
                    <w:rPr>
                      <w:color w:val="auto"/>
                      <w:szCs w:val="21"/>
                    </w:rPr>
                  </w:pPr>
                  <w:r>
                    <w:rPr>
                      <w:rFonts w:hint="eastAsia"/>
                      <w:color w:val="auto"/>
                      <w:szCs w:val="21"/>
                    </w:rPr>
                    <w:t>300t/座</w:t>
                  </w:r>
                </w:p>
              </w:tc>
            </w:tr>
            <w:tr w14:paraId="1030974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550" w:type="dxa"/>
                  <w:tcBorders>
                    <w:tl2br w:val="nil"/>
                    <w:tr2bl w:val="nil"/>
                  </w:tcBorders>
                </w:tcPr>
                <w:p w14:paraId="2A373F31">
                  <w:pPr>
                    <w:jc w:val="center"/>
                    <w:rPr>
                      <w:color w:val="auto"/>
                      <w:szCs w:val="21"/>
                    </w:rPr>
                  </w:pPr>
                  <w:r>
                    <w:rPr>
                      <w:color w:val="auto"/>
                      <w:szCs w:val="21"/>
                    </w:rPr>
                    <w:t>2</w:t>
                  </w:r>
                </w:p>
              </w:tc>
              <w:tc>
                <w:tcPr>
                  <w:tcW w:w="2362" w:type="dxa"/>
                  <w:tcBorders>
                    <w:tl2br w:val="nil"/>
                    <w:tr2bl w:val="nil"/>
                  </w:tcBorders>
                  <w:vAlign w:val="center"/>
                </w:tcPr>
                <w:p w14:paraId="439BE767">
                  <w:pPr>
                    <w:jc w:val="center"/>
                    <w:rPr>
                      <w:color w:val="auto"/>
                      <w:szCs w:val="21"/>
                    </w:rPr>
                  </w:pPr>
                  <w:r>
                    <w:rPr>
                      <w:color w:val="auto"/>
                      <w:szCs w:val="21"/>
                    </w:rPr>
                    <w:t>生物质热风炉</w:t>
                  </w:r>
                </w:p>
              </w:tc>
              <w:tc>
                <w:tcPr>
                  <w:tcW w:w="1375" w:type="dxa"/>
                  <w:tcBorders>
                    <w:tl2br w:val="nil"/>
                    <w:tr2bl w:val="nil"/>
                  </w:tcBorders>
                  <w:vAlign w:val="center"/>
                </w:tcPr>
                <w:p w14:paraId="236A31C0">
                  <w:pPr>
                    <w:jc w:val="center"/>
                    <w:rPr>
                      <w:color w:val="auto"/>
                      <w:szCs w:val="21"/>
                    </w:rPr>
                  </w:pPr>
                  <w:r>
                    <w:rPr>
                      <w:rFonts w:hint="eastAsia"/>
                      <w:color w:val="auto"/>
                      <w:kern w:val="0"/>
                      <w:szCs w:val="21"/>
                      <w:lang w:bidi="ar"/>
                    </w:rPr>
                    <w:t>2</w:t>
                  </w:r>
                </w:p>
              </w:tc>
              <w:tc>
                <w:tcPr>
                  <w:tcW w:w="2127" w:type="dxa"/>
                  <w:tcBorders>
                    <w:tl2br w:val="nil"/>
                    <w:tr2bl w:val="nil"/>
                  </w:tcBorders>
                  <w:vAlign w:val="center"/>
                </w:tcPr>
                <w:p w14:paraId="79FE50EC">
                  <w:pPr>
                    <w:jc w:val="center"/>
                    <w:rPr>
                      <w:color w:val="auto"/>
                      <w:szCs w:val="21"/>
                    </w:rPr>
                  </w:pPr>
                  <w:r>
                    <w:rPr>
                      <w:color w:val="auto"/>
                      <w:szCs w:val="21"/>
                    </w:rPr>
                    <w:t>台</w:t>
                  </w:r>
                </w:p>
              </w:tc>
              <w:tc>
                <w:tcPr>
                  <w:tcW w:w="1582" w:type="dxa"/>
                  <w:tcBorders>
                    <w:tl2br w:val="nil"/>
                    <w:tr2bl w:val="nil"/>
                  </w:tcBorders>
                  <w:vAlign w:val="center"/>
                </w:tcPr>
                <w:p w14:paraId="3F966709">
                  <w:pPr>
                    <w:jc w:val="center"/>
                    <w:rPr>
                      <w:color w:val="auto"/>
                      <w:szCs w:val="21"/>
                    </w:rPr>
                  </w:pPr>
                  <w:r>
                    <w:rPr>
                      <w:rFonts w:hint="eastAsia"/>
                      <w:color w:val="auto"/>
                      <w:szCs w:val="21"/>
                    </w:rPr>
                    <w:t>每台360万kcal/h</w:t>
                  </w:r>
                </w:p>
              </w:tc>
            </w:tr>
            <w:tr w14:paraId="7E3A850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550" w:type="dxa"/>
                  <w:tcBorders>
                    <w:tl2br w:val="nil"/>
                    <w:tr2bl w:val="nil"/>
                  </w:tcBorders>
                </w:tcPr>
                <w:p w14:paraId="05708B01">
                  <w:pPr>
                    <w:jc w:val="center"/>
                    <w:rPr>
                      <w:color w:val="auto"/>
                      <w:szCs w:val="21"/>
                    </w:rPr>
                  </w:pPr>
                  <w:r>
                    <w:rPr>
                      <w:color w:val="auto"/>
                      <w:szCs w:val="21"/>
                    </w:rPr>
                    <w:t>3</w:t>
                  </w:r>
                </w:p>
              </w:tc>
              <w:tc>
                <w:tcPr>
                  <w:tcW w:w="2362" w:type="dxa"/>
                  <w:tcBorders>
                    <w:tl2br w:val="nil"/>
                    <w:tr2bl w:val="nil"/>
                  </w:tcBorders>
                  <w:vAlign w:val="center"/>
                </w:tcPr>
                <w:p w14:paraId="253627B3">
                  <w:pPr>
                    <w:jc w:val="center"/>
                    <w:rPr>
                      <w:color w:val="auto"/>
                      <w:szCs w:val="21"/>
                    </w:rPr>
                  </w:pPr>
                  <w:r>
                    <w:rPr>
                      <w:color w:val="auto"/>
                      <w:szCs w:val="21"/>
                    </w:rPr>
                    <w:t>滚筒筛</w:t>
                  </w:r>
                </w:p>
              </w:tc>
              <w:tc>
                <w:tcPr>
                  <w:tcW w:w="1375" w:type="dxa"/>
                  <w:tcBorders>
                    <w:tl2br w:val="nil"/>
                    <w:tr2bl w:val="nil"/>
                  </w:tcBorders>
                  <w:vAlign w:val="center"/>
                </w:tcPr>
                <w:p w14:paraId="23C1A2F7">
                  <w:pPr>
                    <w:jc w:val="center"/>
                    <w:rPr>
                      <w:color w:val="auto"/>
                      <w:szCs w:val="21"/>
                    </w:rPr>
                  </w:pPr>
                  <w:r>
                    <w:rPr>
                      <w:rFonts w:hint="eastAsia"/>
                      <w:color w:val="auto"/>
                      <w:kern w:val="0"/>
                      <w:szCs w:val="21"/>
                      <w:lang w:bidi="ar"/>
                    </w:rPr>
                    <w:t>2</w:t>
                  </w:r>
                </w:p>
              </w:tc>
              <w:tc>
                <w:tcPr>
                  <w:tcW w:w="2127" w:type="dxa"/>
                  <w:tcBorders>
                    <w:tl2br w:val="nil"/>
                    <w:tr2bl w:val="nil"/>
                  </w:tcBorders>
                  <w:vAlign w:val="center"/>
                </w:tcPr>
                <w:p w14:paraId="3FDBECF3">
                  <w:pPr>
                    <w:jc w:val="center"/>
                    <w:rPr>
                      <w:color w:val="auto"/>
                      <w:szCs w:val="21"/>
                    </w:rPr>
                  </w:pPr>
                  <w:r>
                    <w:rPr>
                      <w:color w:val="auto"/>
                      <w:szCs w:val="21"/>
                    </w:rPr>
                    <w:t>台</w:t>
                  </w:r>
                </w:p>
              </w:tc>
              <w:tc>
                <w:tcPr>
                  <w:tcW w:w="1582" w:type="dxa"/>
                  <w:tcBorders>
                    <w:tl2br w:val="nil"/>
                    <w:tr2bl w:val="nil"/>
                  </w:tcBorders>
                  <w:vAlign w:val="center"/>
                </w:tcPr>
                <w:p w14:paraId="26D495E7">
                  <w:pPr>
                    <w:jc w:val="center"/>
                    <w:rPr>
                      <w:color w:val="auto"/>
                      <w:szCs w:val="21"/>
                    </w:rPr>
                  </w:pPr>
                  <w:r>
                    <w:rPr>
                      <w:color w:val="auto"/>
                      <w:szCs w:val="21"/>
                    </w:rPr>
                    <w:t>密闭式滚筒筛</w:t>
                  </w:r>
                </w:p>
              </w:tc>
            </w:tr>
            <w:tr w14:paraId="784FE51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550" w:type="dxa"/>
                  <w:tcBorders>
                    <w:tl2br w:val="nil"/>
                    <w:tr2bl w:val="nil"/>
                  </w:tcBorders>
                </w:tcPr>
                <w:p w14:paraId="763F2DC9">
                  <w:pPr>
                    <w:jc w:val="center"/>
                    <w:rPr>
                      <w:color w:val="auto"/>
                      <w:szCs w:val="21"/>
                    </w:rPr>
                  </w:pPr>
                  <w:r>
                    <w:rPr>
                      <w:color w:val="auto"/>
                      <w:szCs w:val="21"/>
                    </w:rPr>
                    <w:t>4</w:t>
                  </w:r>
                </w:p>
              </w:tc>
              <w:tc>
                <w:tcPr>
                  <w:tcW w:w="2362" w:type="dxa"/>
                  <w:tcBorders>
                    <w:tl2br w:val="nil"/>
                    <w:tr2bl w:val="nil"/>
                  </w:tcBorders>
                  <w:vAlign w:val="center"/>
                </w:tcPr>
                <w:p w14:paraId="063E05D0">
                  <w:pPr>
                    <w:jc w:val="center"/>
                    <w:rPr>
                      <w:color w:val="auto"/>
                      <w:szCs w:val="21"/>
                    </w:rPr>
                  </w:pPr>
                  <w:r>
                    <w:rPr>
                      <w:color w:val="auto"/>
                      <w:szCs w:val="21"/>
                    </w:rPr>
                    <w:t>皮带输送机</w:t>
                  </w:r>
                </w:p>
              </w:tc>
              <w:tc>
                <w:tcPr>
                  <w:tcW w:w="1375" w:type="dxa"/>
                  <w:tcBorders>
                    <w:tl2br w:val="nil"/>
                    <w:tr2bl w:val="nil"/>
                  </w:tcBorders>
                  <w:vAlign w:val="center"/>
                </w:tcPr>
                <w:p w14:paraId="6273FB36">
                  <w:pPr>
                    <w:jc w:val="center"/>
                    <w:rPr>
                      <w:color w:val="auto"/>
                      <w:szCs w:val="21"/>
                    </w:rPr>
                  </w:pPr>
                  <w:r>
                    <w:rPr>
                      <w:rFonts w:hint="eastAsia"/>
                      <w:color w:val="auto"/>
                      <w:kern w:val="0"/>
                      <w:szCs w:val="21"/>
                      <w:lang w:bidi="ar"/>
                    </w:rPr>
                    <w:t>10</w:t>
                  </w:r>
                </w:p>
              </w:tc>
              <w:tc>
                <w:tcPr>
                  <w:tcW w:w="2127" w:type="dxa"/>
                  <w:tcBorders>
                    <w:tl2br w:val="nil"/>
                    <w:tr2bl w:val="nil"/>
                  </w:tcBorders>
                  <w:vAlign w:val="center"/>
                </w:tcPr>
                <w:p w14:paraId="1251CBD5">
                  <w:pPr>
                    <w:jc w:val="center"/>
                    <w:rPr>
                      <w:color w:val="auto"/>
                      <w:szCs w:val="21"/>
                    </w:rPr>
                  </w:pPr>
                  <w:r>
                    <w:rPr>
                      <w:rFonts w:hint="eastAsia"/>
                      <w:color w:val="auto"/>
                      <w:szCs w:val="21"/>
                    </w:rPr>
                    <w:t>套</w:t>
                  </w:r>
                </w:p>
              </w:tc>
              <w:tc>
                <w:tcPr>
                  <w:tcW w:w="1582" w:type="dxa"/>
                  <w:tcBorders>
                    <w:tl2br w:val="nil"/>
                    <w:tr2bl w:val="nil"/>
                  </w:tcBorders>
                  <w:vAlign w:val="center"/>
                </w:tcPr>
                <w:p w14:paraId="2F670E5B">
                  <w:pPr>
                    <w:jc w:val="center"/>
                    <w:rPr>
                      <w:color w:val="auto"/>
                      <w:szCs w:val="21"/>
                    </w:rPr>
                  </w:pPr>
                  <w:r>
                    <w:rPr>
                      <w:color w:val="auto"/>
                      <w:szCs w:val="21"/>
                    </w:rPr>
                    <w:t>密闭式输送机</w:t>
                  </w:r>
                </w:p>
              </w:tc>
            </w:tr>
            <w:tr w14:paraId="706DB42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550" w:type="dxa"/>
                  <w:tcBorders>
                    <w:tl2br w:val="nil"/>
                    <w:tr2bl w:val="nil"/>
                  </w:tcBorders>
                </w:tcPr>
                <w:p w14:paraId="5BE28E13">
                  <w:pPr>
                    <w:jc w:val="center"/>
                    <w:rPr>
                      <w:color w:val="auto"/>
                      <w:szCs w:val="21"/>
                    </w:rPr>
                  </w:pPr>
                  <w:r>
                    <w:rPr>
                      <w:color w:val="auto"/>
                      <w:szCs w:val="21"/>
                    </w:rPr>
                    <w:t>5</w:t>
                  </w:r>
                </w:p>
              </w:tc>
              <w:tc>
                <w:tcPr>
                  <w:tcW w:w="2362" w:type="dxa"/>
                  <w:tcBorders>
                    <w:tl2br w:val="nil"/>
                    <w:tr2bl w:val="nil"/>
                  </w:tcBorders>
                  <w:vAlign w:val="center"/>
                </w:tcPr>
                <w:p w14:paraId="5100FD05">
                  <w:pPr>
                    <w:jc w:val="center"/>
                    <w:rPr>
                      <w:color w:val="auto"/>
                      <w:szCs w:val="21"/>
                    </w:rPr>
                  </w:pPr>
                  <w:r>
                    <w:rPr>
                      <w:color w:val="auto"/>
                      <w:szCs w:val="21"/>
                    </w:rPr>
                    <w:t>除尘系统</w:t>
                  </w:r>
                </w:p>
              </w:tc>
              <w:tc>
                <w:tcPr>
                  <w:tcW w:w="1375" w:type="dxa"/>
                  <w:tcBorders>
                    <w:tl2br w:val="nil"/>
                    <w:tr2bl w:val="nil"/>
                  </w:tcBorders>
                  <w:vAlign w:val="center"/>
                </w:tcPr>
                <w:p w14:paraId="6D795FA1">
                  <w:pPr>
                    <w:jc w:val="center"/>
                    <w:rPr>
                      <w:color w:val="auto"/>
                      <w:szCs w:val="21"/>
                    </w:rPr>
                  </w:pPr>
                  <w:r>
                    <w:rPr>
                      <w:rFonts w:hint="eastAsia"/>
                      <w:color w:val="auto"/>
                      <w:szCs w:val="21"/>
                    </w:rPr>
                    <w:t>2</w:t>
                  </w:r>
                </w:p>
              </w:tc>
              <w:tc>
                <w:tcPr>
                  <w:tcW w:w="2127" w:type="dxa"/>
                  <w:tcBorders>
                    <w:tl2br w:val="nil"/>
                    <w:tr2bl w:val="nil"/>
                  </w:tcBorders>
                  <w:vAlign w:val="center"/>
                </w:tcPr>
                <w:p w14:paraId="328C8844">
                  <w:pPr>
                    <w:jc w:val="center"/>
                    <w:rPr>
                      <w:color w:val="auto"/>
                      <w:szCs w:val="21"/>
                    </w:rPr>
                  </w:pPr>
                  <w:r>
                    <w:rPr>
                      <w:color w:val="auto"/>
                      <w:szCs w:val="21"/>
                    </w:rPr>
                    <w:t>套</w:t>
                  </w:r>
                </w:p>
              </w:tc>
              <w:tc>
                <w:tcPr>
                  <w:tcW w:w="1582" w:type="dxa"/>
                  <w:tcBorders>
                    <w:tl2br w:val="nil"/>
                    <w:tr2bl w:val="nil"/>
                  </w:tcBorders>
                </w:tcPr>
                <w:p w14:paraId="0C250CB7">
                  <w:pPr>
                    <w:jc w:val="center"/>
                    <w:rPr>
                      <w:color w:val="auto"/>
                      <w:szCs w:val="21"/>
                    </w:rPr>
                  </w:pPr>
                  <w:r>
                    <w:rPr>
                      <w:color w:val="auto"/>
                      <w:szCs w:val="21"/>
                    </w:rPr>
                    <w:t>布袋除尘</w:t>
                  </w:r>
                </w:p>
              </w:tc>
            </w:tr>
            <w:tr w14:paraId="33D56D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67" w:hRule="atLeast"/>
                <w:jc w:val="center"/>
              </w:trPr>
              <w:tc>
                <w:tcPr>
                  <w:tcW w:w="550" w:type="dxa"/>
                  <w:tcBorders>
                    <w:tl2br w:val="nil"/>
                    <w:tr2bl w:val="nil"/>
                  </w:tcBorders>
                </w:tcPr>
                <w:p w14:paraId="72FA7C9F">
                  <w:pPr>
                    <w:jc w:val="center"/>
                    <w:rPr>
                      <w:color w:val="auto"/>
                      <w:szCs w:val="21"/>
                    </w:rPr>
                  </w:pPr>
                  <w:r>
                    <w:rPr>
                      <w:color w:val="auto"/>
                      <w:szCs w:val="21"/>
                    </w:rPr>
                    <w:t>6</w:t>
                  </w:r>
                </w:p>
              </w:tc>
              <w:tc>
                <w:tcPr>
                  <w:tcW w:w="2362" w:type="dxa"/>
                  <w:tcBorders>
                    <w:tl2br w:val="nil"/>
                    <w:tr2bl w:val="nil"/>
                  </w:tcBorders>
                  <w:vAlign w:val="center"/>
                </w:tcPr>
                <w:p w14:paraId="41E3974E">
                  <w:pPr>
                    <w:jc w:val="center"/>
                    <w:rPr>
                      <w:color w:val="auto"/>
                      <w:szCs w:val="21"/>
                    </w:rPr>
                  </w:pPr>
                  <w:r>
                    <w:rPr>
                      <w:rFonts w:hint="eastAsia"/>
                      <w:color w:val="auto"/>
                      <w:szCs w:val="21"/>
                    </w:rPr>
                    <w:t>地秤</w:t>
                  </w:r>
                </w:p>
              </w:tc>
              <w:tc>
                <w:tcPr>
                  <w:tcW w:w="1375" w:type="dxa"/>
                  <w:tcBorders>
                    <w:tl2br w:val="nil"/>
                    <w:tr2bl w:val="nil"/>
                  </w:tcBorders>
                  <w:vAlign w:val="center"/>
                </w:tcPr>
                <w:p w14:paraId="644F6A73">
                  <w:pPr>
                    <w:jc w:val="center"/>
                    <w:rPr>
                      <w:color w:val="auto"/>
                      <w:szCs w:val="21"/>
                    </w:rPr>
                  </w:pPr>
                  <w:r>
                    <w:rPr>
                      <w:rFonts w:hint="eastAsia"/>
                      <w:color w:val="auto"/>
                      <w:szCs w:val="21"/>
                    </w:rPr>
                    <w:t>1</w:t>
                  </w:r>
                </w:p>
              </w:tc>
              <w:tc>
                <w:tcPr>
                  <w:tcW w:w="2127" w:type="dxa"/>
                  <w:tcBorders>
                    <w:tl2br w:val="nil"/>
                    <w:tr2bl w:val="nil"/>
                  </w:tcBorders>
                  <w:vAlign w:val="center"/>
                </w:tcPr>
                <w:p w14:paraId="7AE72B40">
                  <w:pPr>
                    <w:jc w:val="center"/>
                    <w:rPr>
                      <w:color w:val="auto"/>
                      <w:szCs w:val="21"/>
                    </w:rPr>
                  </w:pPr>
                  <w:r>
                    <w:rPr>
                      <w:color w:val="auto"/>
                      <w:szCs w:val="21"/>
                    </w:rPr>
                    <w:t>台</w:t>
                  </w:r>
                </w:p>
              </w:tc>
              <w:tc>
                <w:tcPr>
                  <w:tcW w:w="1582" w:type="dxa"/>
                  <w:tcBorders>
                    <w:tl2br w:val="nil"/>
                    <w:tr2bl w:val="nil"/>
                  </w:tcBorders>
                </w:tcPr>
                <w:p w14:paraId="419BABFF">
                  <w:pPr>
                    <w:jc w:val="center"/>
                    <w:rPr>
                      <w:color w:val="auto"/>
                      <w:szCs w:val="21"/>
                    </w:rPr>
                  </w:pPr>
                  <w:r>
                    <w:rPr>
                      <w:color w:val="auto"/>
                      <w:szCs w:val="21"/>
                    </w:rPr>
                    <w:t>/</w:t>
                  </w:r>
                </w:p>
              </w:tc>
            </w:tr>
            <w:tr w14:paraId="0ABDF34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67" w:hRule="atLeast"/>
                <w:jc w:val="center"/>
              </w:trPr>
              <w:tc>
                <w:tcPr>
                  <w:tcW w:w="550" w:type="dxa"/>
                  <w:tcBorders>
                    <w:tl2br w:val="nil"/>
                    <w:tr2bl w:val="nil"/>
                  </w:tcBorders>
                  <w:vAlign w:val="center"/>
                </w:tcPr>
                <w:p w14:paraId="34395664">
                  <w:pPr>
                    <w:jc w:val="center"/>
                    <w:rPr>
                      <w:color w:val="auto"/>
                      <w:szCs w:val="21"/>
                    </w:rPr>
                  </w:pPr>
                  <w:r>
                    <w:rPr>
                      <w:rFonts w:hint="eastAsia"/>
                      <w:color w:val="auto"/>
                      <w:szCs w:val="21"/>
                    </w:rPr>
                    <w:t>7</w:t>
                  </w:r>
                </w:p>
              </w:tc>
              <w:tc>
                <w:tcPr>
                  <w:tcW w:w="2362" w:type="dxa"/>
                  <w:tcBorders>
                    <w:tl2br w:val="nil"/>
                    <w:tr2bl w:val="nil"/>
                  </w:tcBorders>
                  <w:vAlign w:val="center"/>
                </w:tcPr>
                <w:p w14:paraId="7D9C3A79">
                  <w:pPr>
                    <w:jc w:val="center"/>
                    <w:rPr>
                      <w:color w:val="auto"/>
                      <w:szCs w:val="21"/>
                    </w:rPr>
                  </w:pPr>
                  <w:r>
                    <w:rPr>
                      <w:rFonts w:hint="eastAsia"/>
                      <w:color w:val="auto"/>
                      <w:szCs w:val="21"/>
                    </w:rPr>
                    <w:t>风机</w:t>
                  </w:r>
                </w:p>
              </w:tc>
              <w:tc>
                <w:tcPr>
                  <w:tcW w:w="1375" w:type="dxa"/>
                  <w:tcBorders>
                    <w:tl2br w:val="nil"/>
                    <w:tr2bl w:val="nil"/>
                  </w:tcBorders>
                  <w:vAlign w:val="center"/>
                </w:tcPr>
                <w:p w14:paraId="28903EBE">
                  <w:pPr>
                    <w:jc w:val="center"/>
                    <w:rPr>
                      <w:color w:val="auto"/>
                      <w:szCs w:val="21"/>
                    </w:rPr>
                  </w:pPr>
                  <w:r>
                    <w:rPr>
                      <w:rFonts w:hint="eastAsia"/>
                      <w:color w:val="auto"/>
                      <w:szCs w:val="21"/>
                    </w:rPr>
                    <w:t>6</w:t>
                  </w:r>
                </w:p>
              </w:tc>
              <w:tc>
                <w:tcPr>
                  <w:tcW w:w="2127" w:type="dxa"/>
                  <w:tcBorders>
                    <w:tl2br w:val="nil"/>
                    <w:tr2bl w:val="nil"/>
                  </w:tcBorders>
                  <w:vAlign w:val="center"/>
                </w:tcPr>
                <w:p w14:paraId="4A33768B">
                  <w:pPr>
                    <w:jc w:val="center"/>
                    <w:rPr>
                      <w:color w:val="auto"/>
                      <w:szCs w:val="21"/>
                    </w:rPr>
                  </w:pPr>
                  <w:r>
                    <w:rPr>
                      <w:rFonts w:hint="eastAsia"/>
                      <w:color w:val="auto"/>
                      <w:szCs w:val="21"/>
                    </w:rPr>
                    <w:t>台</w:t>
                  </w:r>
                </w:p>
              </w:tc>
              <w:tc>
                <w:tcPr>
                  <w:tcW w:w="1582" w:type="dxa"/>
                  <w:tcBorders>
                    <w:tl2br w:val="nil"/>
                    <w:tr2bl w:val="nil"/>
                  </w:tcBorders>
                  <w:vAlign w:val="center"/>
                </w:tcPr>
                <w:p w14:paraId="47CD9CCB">
                  <w:pPr>
                    <w:jc w:val="center"/>
                    <w:rPr>
                      <w:color w:val="auto"/>
                      <w:szCs w:val="21"/>
                    </w:rPr>
                  </w:pPr>
                  <w:r>
                    <w:rPr>
                      <w:rFonts w:hint="eastAsia"/>
                      <w:color w:val="auto"/>
                      <w:szCs w:val="21"/>
                    </w:rPr>
                    <w:t>4台热风机，2台冷风机</w:t>
                  </w:r>
                </w:p>
              </w:tc>
            </w:tr>
          </w:tbl>
          <w:p w14:paraId="460F0F60">
            <w:pPr>
              <w:spacing w:line="82" w:lineRule="auto"/>
              <w:rPr>
                <w:color w:val="auto"/>
                <w:sz w:val="2"/>
              </w:rPr>
            </w:pPr>
          </w:p>
          <w:p w14:paraId="16276089">
            <w:pPr>
              <w:tabs>
                <w:tab w:val="left" w:pos="6480"/>
              </w:tabs>
              <w:spacing w:line="360" w:lineRule="auto"/>
              <w:ind w:firstLine="482" w:firstLineChars="200"/>
              <w:rPr>
                <w:b/>
                <w:bCs/>
                <w:color w:val="auto"/>
                <w:sz w:val="24"/>
              </w:rPr>
            </w:pPr>
            <w:r>
              <w:rPr>
                <w:b/>
                <w:bCs/>
                <w:color w:val="auto"/>
                <w:sz w:val="24"/>
              </w:rPr>
              <w:t>3、主要原辅材料及能耗情况</w:t>
            </w:r>
          </w:p>
          <w:p w14:paraId="0AD1F0C6">
            <w:pPr>
              <w:spacing w:line="360" w:lineRule="auto"/>
              <w:ind w:left="2823"/>
              <w:rPr>
                <w:b/>
                <w:bCs/>
                <w:color w:val="auto"/>
                <w:szCs w:val="21"/>
              </w:rPr>
            </w:pPr>
            <w:r>
              <w:rPr>
                <w:b/>
                <w:bCs/>
                <w:color w:val="auto"/>
                <w:szCs w:val="21"/>
              </w:rPr>
              <w:t>表2-3原辅材料一览表</w:t>
            </w:r>
          </w:p>
          <w:tbl>
            <w:tblPr>
              <w:tblStyle w:val="35"/>
              <w:tblW w:w="8039"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79"/>
              <w:gridCol w:w="2205"/>
              <w:gridCol w:w="1626"/>
              <w:gridCol w:w="3329"/>
            </w:tblGrid>
            <w:tr w14:paraId="05D9BC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879" w:type="dxa"/>
                  <w:vAlign w:val="center"/>
                </w:tcPr>
                <w:p w14:paraId="5E7AA868">
                  <w:pPr>
                    <w:pStyle w:val="57"/>
                    <w:spacing w:line="240" w:lineRule="auto"/>
                    <w:ind w:firstLine="0" w:firstLineChars="0"/>
                    <w:jc w:val="center"/>
                    <w:rPr>
                      <w:color w:val="auto"/>
                      <w:sz w:val="21"/>
                      <w:szCs w:val="21"/>
                    </w:rPr>
                  </w:pPr>
                  <w:r>
                    <w:rPr>
                      <w:color w:val="auto"/>
                      <w:sz w:val="21"/>
                      <w:szCs w:val="21"/>
                    </w:rPr>
                    <w:t>序号</w:t>
                  </w:r>
                </w:p>
              </w:tc>
              <w:tc>
                <w:tcPr>
                  <w:tcW w:w="2205" w:type="dxa"/>
                  <w:vAlign w:val="center"/>
                </w:tcPr>
                <w:p w14:paraId="5E5B83D3">
                  <w:pPr>
                    <w:pStyle w:val="57"/>
                    <w:spacing w:line="240" w:lineRule="auto"/>
                    <w:ind w:firstLine="0" w:firstLineChars="0"/>
                    <w:jc w:val="center"/>
                    <w:rPr>
                      <w:color w:val="auto"/>
                      <w:sz w:val="21"/>
                      <w:szCs w:val="21"/>
                    </w:rPr>
                  </w:pPr>
                  <w:r>
                    <w:rPr>
                      <w:color w:val="auto"/>
                      <w:sz w:val="21"/>
                      <w:szCs w:val="21"/>
                    </w:rPr>
                    <w:t>名称</w:t>
                  </w:r>
                </w:p>
              </w:tc>
              <w:tc>
                <w:tcPr>
                  <w:tcW w:w="1626" w:type="dxa"/>
                  <w:vAlign w:val="center"/>
                </w:tcPr>
                <w:p w14:paraId="422CD4CF">
                  <w:pPr>
                    <w:pStyle w:val="57"/>
                    <w:spacing w:line="240" w:lineRule="auto"/>
                    <w:ind w:firstLine="0" w:firstLineChars="0"/>
                    <w:jc w:val="center"/>
                    <w:rPr>
                      <w:color w:val="auto"/>
                      <w:sz w:val="21"/>
                      <w:szCs w:val="21"/>
                    </w:rPr>
                  </w:pPr>
                  <w:r>
                    <w:rPr>
                      <w:color w:val="auto"/>
                      <w:sz w:val="21"/>
                      <w:szCs w:val="21"/>
                    </w:rPr>
                    <w:t>用量</w:t>
                  </w:r>
                </w:p>
              </w:tc>
              <w:tc>
                <w:tcPr>
                  <w:tcW w:w="3329" w:type="dxa"/>
                  <w:vAlign w:val="center"/>
                </w:tcPr>
                <w:p w14:paraId="0663C75B">
                  <w:pPr>
                    <w:pStyle w:val="57"/>
                    <w:spacing w:line="240" w:lineRule="auto"/>
                    <w:ind w:firstLine="0" w:firstLineChars="0"/>
                    <w:jc w:val="center"/>
                    <w:rPr>
                      <w:color w:val="auto"/>
                      <w:sz w:val="21"/>
                      <w:szCs w:val="21"/>
                    </w:rPr>
                  </w:pPr>
                  <w:r>
                    <w:rPr>
                      <w:color w:val="auto"/>
                      <w:sz w:val="21"/>
                      <w:szCs w:val="21"/>
                    </w:rPr>
                    <w:t>备注</w:t>
                  </w:r>
                </w:p>
              </w:tc>
            </w:tr>
            <w:tr w14:paraId="2168BC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879" w:type="dxa"/>
                  <w:vAlign w:val="center"/>
                </w:tcPr>
                <w:p w14:paraId="2A4B55AE">
                  <w:pPr>
                    <w:pStyle w:val="57"/>
                    <w:spacing w:line="240" w:lineRule="auto"/>
                    <w:ind w:firstLine="0" w:firstLineChars="0"/>
                    <w:jc w:val="center"/>
                    <w:rPr>
                      <w:color w:val="auto"/>
                      <w:sz w:val="21"/>
                      <w:szCs w:val="21"/>
                    </w:rPr>
                  </w:pPr>
                  <w:r>
                    <w:rPr>
                      <w:color w:val="auto"/>
                      <w:sz w:val="21"/>
                      <w:szCs w:val="21"/>
                    </w:rPr>
                    <w:t>1</w:t>
                  </w:r>
                </w:p>
              </w:tc>
              <w:tc>
                <w:tcPr>
                  <w:tcW w:w="2205" w:type="dxa"/>
                  <w:vAlign w:val="center"/>
                </w:tcPr>
                <w:p w14:paraId="358D1C53">
                  <w:pPr>
                    <w:jc w:val="center"/>
                    <w:rPr>
                      <w:color w:val="auto"/>
                      <w:szCs w:val="21"/>
                    </w:rPr>
                  </w:pPr>
                  <w:r>
                    <w:rPr>
                      <w:color w:val="auto"/>
                      <w:szCs w:val="21"/>
                    </w:rPr>
                    <w:t>玉米原粮</w:t>
                  </w:r>
                </w:p>
              </w:tc>
              <w:tc>
                <w:tcPr>
                  <w:tcW w:w="1626" w:type="dxa"/>
                  <w:vAlign w:val="center"/>
                </w:tcPr>
                <w:p w14:paraId="4C76E904">
                  <w:pPr>
                    <w:jc w:val="center"/>
                    <w:rPr>
                      <w:color w:val="auto"/>
                      <w:szCs w:val="21"/>
                    </w:rPr>
                  </w:pPr>
                  <w:r>
                    <w:rPr>
                      <w:rFonts w:hint="eastAsia"/>
                      <w:color w:val="auto"/>
                      <w:szCs w:val="21"/>
                    </w:rPr>
                    <w:t>15000</w:t>
                  </w:r>
                  <w:r>
                    <w:rPr>
                      <w:color w:val="auto"/>
                      <w:szCs w:val="21"/>
                    </w:rPr>
                    <w:t>t/a</w:t>
                  </w:r>
                </w:p>
              </w:tc>
              <w:tc>
                <w:tcPr>
                  <w:tcW w:w="3329" w:type="dxa"/>
                </w:tcPr>
                <w:p w14:paraId="4D4DCCB4">
                  <w:pPr>
                    <w:jc w:val="center"/>
                    <w:rPr>
                      <w:color w:val="auto"/>
                      <w:szCs w:val="21"/>
                    </w:rPr>
                  </w:pPr>
                  <w:r>
                    <w:rPr>
                      <w:color w:val="auto"/>
                      <w:szCs w:val="21"/>
                    </w:rPr>
                    <w:t>外购，含水率约30%</w:t>
                  </w:r>
                </w:p>
              </w:tc>
            </w:tr>
            <w:tr w14:paraId="257A58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879" w:type="dxa"/>
                  <w:vAlign w:val="center"/>
                </w:tcPr>
                <w:p w14:paraId="41165174">
                  <w:pPr>
                    <w:pStyle w:val="57"/>
                    <w:spacing w:line="240" w:lineRule="auto"/>
                    <w:ind w:firstLine="0" w:firstLineChars="0"/>
                    <w:jc w:val="center"/>
                    <w:rPr>
                      <w:color w:val="auto"/>
                      <w:sz w:val="21"/>
                      <w:szCs w:val="21"/>
                    </w:rPr>
                  </w:pPr>
                  <w:r>
                    <w:rPr>
                      <w:rFonts w:hint="eastAsia"/>
                      <w:color w:val="auto"/>
                      <w:sz w:val="21"/>
                      <w:szCs w:val="21"/>
                    </w:rPr>
                    <w:t>2</w:t>
                  </w:r>
                </w:p>
              </w:tc>
              <w:tc>
                <w:tcPr>
                  <w:tcW w:w="2205" w:type="dxa"/>
                  <w:vAlign w:val="center"/>
                </w:tcPr>
                <w:p w14:paraId="03175F67">
                  <w:pPr>
                    <w:jc w:val="center"/>
                    <w:rPr>
                      <w:color w:val="auto"/>
                      <w:szCs w:val="21"/>
                    </w:rPr>
                  </w:pPr>
                  <w:r>
                    <w:rPr>
                      <w:rFonts w:hint="eastAsia"/>
                      <w:color w:val="auto"/>
                      <w:szCs w:val="21"/>
                    </w:rPr>
                    <w:t>水稻原粮</w:t>
                  </w:r>
                </w:p>
              </w:tc>
              <w:tc>
                <w:tcPr>
                  <w:tcW w:w="1626" w:type="dxa"/>
                  <w:vAlign w:val="center"/>
                </w:tcPr>
                <w:p w14:paraId="2DDD11FC">
                  <w:pPr>
                    <w:jc w:val="center"/>
                    <w:rPr>
                      <w:color w:val="auto"/>
                      <w:szCs w:val="21"/>
                    </w:rPr>
                  </w:pPr>
                  <w:r>
                    <w:rPr>
                      <w:rFonts w:hint="eastAsia"/>
                      <w:color w:val="auto"/>
                      <w:szCs w:val="21"/>
                    </w:rPr>
                    <w:t>5000t/a</w:t>
                  </w:r>
                </w:p>
              </w:tc>
              <w:tc>
                <w:tcPr>
                  <w:tcW w:w="3329" w:type="dxa"/>
                </w:tcPr>
                <w:p w14:paraId="25FA26C6">
                  <w:pPr>
                    <w:jc w:val="center"/>
                    <w:rPr>
                      <w:color w:val="auto"/>
                      <w:szCs w:val="21"/>
                    </w:rPr>
                  </w:pPr>
                  <w:r>
                    <w:rPr>
                      <w:color w:val="auto"/>
                      <w:szCs w:val="21"/>
                    </w:rPr>
                    <w:t>外购，含水率约</w:t>
                  </w:r>
                  <w:r>
                    <w:rPr>
                      <w:rFonts w:hint="eastAsia"/>
                      <w:color w:val="auto"/>
                      <w:szCs w:val="21"/>
                    </w:rPr>
                    <w:t>18</w:t>
                  </w:r>
                  <w:r>
                    <w:rPr>
                      <w:color w:val="auto"/>
                      <w:szCs w:val="21"/>
                    </w:rPr>
                    <w:t>%</w:t>
                  </w:r>
                </w:p>
              </w:tc>
            </w:tr>
            <w:tr w14:paraId="25F39E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92" w:hRule="atLeast"/>
                <w:jc w:val="center"/>
              </w:trPr>
              <w:tc>
                <w:tcPr>
                  <w:tcW w:w="879" w:type="dxa"/>
                  <w:vAlign w:val="center"/>
                </w:tcPr>
                <w:p w14:paraId="18071552">
                  <w:pPr>
                    <w:pStyle w:val="57"/>
                    <w:spacing w:line="240" w:lineRule="auto"/>
                    <w:ind w:firstLine="0" w:firstLineChars="0"/>
                    <w:jc w:val="center"/>
                    <w:rPr>
                      <w:color w:val="auto"/>
                      <w:sz w:val="21"/>
                      <w:szCs w:val="21"/>
                    </w:rPr>
                  </w:pPr>
                  <w:r>
                    <w:rPr>
                      <w:rFonts w:hint="eastAsia"/>
                      <w:color w:val="auto"/>
                      <w:sz w:val="21"/>
                      <w:szCs w:val="21"/>
                    </w:rPr>
                    <w:t>3</w:t>
                  </w:r>
                </w:p>
              </w:tc>
              <w:tc>
                <w:tcPr>
                  <w:tcW w:w="2205" w:type="dxa"/>
                  <w:vAlign w:val="center"/>
                </w:tcPr>
                <w:p w14:paraId="3CE0BB19">
                  <w:pPr>
                    <w:jc w:val="center"/>
                    <w:rPr>
                      <w:color w:val="auto"/>
                      <w:szCs w:val="21"/>
                    </w:rPr>
                  </w:pPr>
                  <w:r>
                    <w:rPr>
                      <w:color w:val="auto"/>
                      <w:szCs w:val="21"/>
                    </w:rPr>
                    <w:t>生物质成型燃料</w:t>
                  </w:r>
                </w:p>
              </w:tc>
              <w:tc>
                <w:tcPr>
                  <w:tcW w:w="1626" w:type="dxa"/>
                  <w:vAlign w:val="center"/>
                </w:tcPr>
                <w:p w14:paraId="5E35784A">
                  <w:pPr>
                    <w:jc w:val="center"/>
                    <w:rPr>
                      <w:color w:val="auto"/>
                      <w:szCs w:val="21"/>
                    </w:rPr>
                  </w:pPr>
                  <w:r>
                    <w:rPr>
                      <w:rFonts w:hint="eastAsia"/>
                      <w:color w:val="auto"/>
                      <w:szCs w:val="21"/>
                      <w:lang w:eastAsia="zh-CN"/>
                    </w:rPr>
                    <w:t>2181</w:t>
                  </w:r>
                  <w:r>
                    <w:rPr>
                      <w:color w:val="auto"/>
                      <w:szCs w:val="21"/>
                    </w:rPr>
                    <w:t>t/a</w:t>
                  </w:r>
                </w:p>
              </w:tc>
              <w:tc>
                <w:tcPr>
                  <w:tcW w:w="3329" w:type="dxa"/>
                  <w:vAlign w:val="center"/>
                </w:tcPr>
                <w:p w14:paraId="49AADDA9">
                  <w:pPr>
                    <w:jc w:val="center"/>
                    <w:rPr>
                      <w:color w:val="auto"/>
                      <w:szCs w:val="21"/>
                    </w:rPr>
                  </w:pPr>
                  <w:r>
                    <w:rPr>
                      <w:rFonts w:hint="eastAsia"/>
                      <w:color w:val="auto"/>
                    </w:rPr>
                    <w:t>/</w:t>
                  </w:r>
                </w:p>
              </w:tc>
            </w:tr>
          </w:tbl>
          <w:p w14:paraId="42C02E35">
            <w:pPr>
              <w:spacing w:line="360" w:lineRule="auto"/>
              <w:rPr>
                <w:b/>
                <w:bCs/>
                <w:color w:val="auto"/>
                <w:sz w:val="18"/>
                <w:szCs w:val="18"/>
              </w:rPr>
            </w:pPr>
            <w:r>
              <w:rPr>
                <w:rFonts w:hint="eastAsia"/>
                <w:b/>
                <w:bCs/>
                <w:color w:val="auto"/>
                <w:sz w:val="18"/>
                <w:szCs w:val="18"/>
              </w:rPr>
              <w:t>备注：根据《玉米》(GB 1353-2018)，水分含量</w:t>
            </w:r>
            <w:r>
              <w:rPr>
                <w:rFonts w:ascii="Arial" w:hAnsi="Arial" w:cs="Arial"/>
                <w:b/>
                <w:bCs/>
                <w:color w:val="auto"/>
                <w:sz w:val="18"/>
                <w:szCs w:val="18"/>
              </w:rPr>
              <w:t>≤</w:t>
            </w:r>
            <w:r>
              <w:rPr>
                <w:rFonts w:hint="eastAsia"/>
                <w:b/>
                <w:bCs/>
                <w:color w:val="auto"/>
                <w:sz w:val="18"/>
                <w:szCs w:val="18"/>
              </w:rPr>
              <w:t>14%，本项目玉米烘干后含水率为14%，满足要求，14%为安全水。</w:t>
            </w:r>
          </w:p>
          <w:p w14:paraId="09892FD5">
            <w:pPr>
              <w:jc w:val="center"/>
              <w:rPr>
                <w:b/>
                <w:bCs/>
                <w:color w:val="auto"/>
                <w:kern w:val="0"/>
                <w:szCs w:val="21"/>
              </w:rPr>
            </w:pPr>
            <w:r>
              <w:rPr>
                <w:b/>
                <w:bCs/>
                <w:color w:val="auto"/>
                <w:kern w:val="0"/>
                <w:szCs w:val="21"/>
              </w:rPr>
              <w:t>表2-4燃料生物质成分分析一览表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28"/>
              <w:gridCol w:w="1306"/>
              <w:gridCol w:w="1529"/>
              <w:gridCol w:w="2182"/>
            </w:tblGrid>
            <w:tr w14:paraId="157B06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843" w:type="pct"/>
                  <w:vAlign w:val="center"/>
                </w:tcPr>
                <w:p w14:paraId="0E5A5C85">
                  <w:pPr>
                    <w:jc w:val="center"/>
                    <w:rPr>
                      <w:color w:val="auto"/>
                      <w:szCs w:val="21"/>
                    </w:rPr>
                  </w:pPr>
                  <w:r>
                    <w:rPr>
                      <w:color w:val="auto"/>
                      <w:szCs w:val="21"/>
                    </w:rPr>
                    <w:t>名称</w:t>
                  </w:r>
                </w:p>
              </w:tc>
              <w:tc>
                <w:tcPr>
                  <w:tcW w:w="822" w:type="pct"/>
                  <w:vAlign w:val="center"/>
                </w:tcPr>
                <w:p w14:paraId="6A00F7E6">
                  <w:pPr>
                    <w:jc w:val="center"/>
                    <w:rPr>
                      <w:color w:val="auto"/>
                      <w:szCs w:val="21"/>
                    </w:rPr>
                  </w:pPr>
                  <w:r>
                    <w:rPr>
                      <w:color w:val="auto"/>
                      <w:szCs w:val="21"/>
                    </w:rPr>
                    <w:t>符号</w:t>
                  </w:r>
                </w:p>
              </w:tc>
              <w:tc>
                <w:tcPr>
                  <w:tcW w:w="962" w:type="pct"/>
                  <w:vAlign w:val="center"/>
                </w:tcPr>
                <w:p w14:paraId="7278F9F4">
                  <w:pPr>
                    <w:jc w:val="center"/>
                    <w:rPr>
                      <w:color w:val="auto"/>
                      <w:szCs w:val="21"/>
                    </w:rPr>
                  </w:pPr>
                  <w:r>
                    <w:rPr>
                      <w:color w:val="auto"/>
                      <w:szCs w:val="21"/>
                    </w:rPr>
                    <w:t>单位</w:t>
                  </w:r>
                </w:p>
              </w:tc>
              <w:tc>
                <w:tcPr>
                  <w:tcW w:w="1373" w:type="pct"/>
                  <w:vAlign w:val="center"/>
                </w:tcPr>
                <w:p w14:paraId="012E4E04">
                  <w:pPr>
                    <w:jc w:val="center"/>
                    <w:rPr>
                      <w:color w:val="auto"/>
                      <w:szCs w:val="21"/>
                    </w:rPr>
                  </w:pPr>
                  <w:r>
                    <w:rPr>
                      <w:color w:val="auto"/>
                      <w:szCs w:val="21"/>
                    </w:rPr>
                    <w:t>数值</w:t>
                  </w:r>
                </w:p>
              </w:tc>
            </w:tr>
            <w:tr w14:paraId="071266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vAlign w:val="center"/>
                </w:tcPr>
                <w:p w14:paraId="624CCB7E">
                  <w:pPr>
                    <w:jc w:val="center"/>
                    <w:rPr>
                      <w:color w:val="auto"/>
                      <w:szCs w:val="21"/>
                    </w:rPr>
                  </w:pPr>
                  <w:r>
                    <w:rPr>
                      <w:color w:val="auto"/>
                      <w:szCs w:val="21"/>
                    </w:rPr>
                    <w:t>全水分</w:t>
                  </w:r>
                </w:p>
              </w:tc>
              <w:tc>
                <w:tcPr>
                  <w:tcW w:w="822" w:type="pct"/>
                  <w:vAlign w:val="center"/>
                </w:tcPr>
                <w:p w14:paraId="1959B51D">
                  <w:pPr>
                    <w:jc w:val="center"/>
                    <w:rPr>
                      <w:color w:val="auto"/>
                      <w:szCs w:val="21"/>
                    </w:rPr>
                  </w:pPr>
                  <w:r>
                    <w:rPr>
                      <w:color w:val="auto"/>
                      <w:szCs w:val="21"/>
                    </w:rPr>
                    <w:t>Mt</w:t>
                  </w:r>
                </w:p>
              </w:tc>
              <w:tc>
                <w:tcPr>
                  <w:tcW w:w="962" w:type="pct"/>
                  <w:vAlign w:val="center"/>
                </w:tcPr>
                <w:p w14:paraId="23EA525E">
                  <w:pPr>
                    <w:jc w:val="center"/>
                    <w:rPr>
                      <w:color w:val="auto"/>
                      <w:szCs w:val="21"/>
                    </w:rPr>
                  </w:pPr>
                  <w:r>
                    <w:rPr>
                      <w:color w:val="auto"/>
                      <w:szCs w:val="21"/>
                    </w:rPr>
                    <w:t>%</w:t>
                  </w:r>
                </w:p>
              </w:tc>
              <w:tc>
                <w:tcPr>
                  <w:tcW w:w="1373" w:type="pct"/>
                  <w:vAlign w:val="center"/>
                </w:tcPr>
                <w:p w14:paraId="69D7E05D">
                  <w:pPr>
                    <w:jc w:val="center"/>
                    <w:rPr>
                      <w:color w:val="auto"/>
                      <w:szCs w:val="21"/>
                    </w:rPr>
                  </w:pPr>
                  <w:r>
                    <w:rPr>
                      <w:color w:val="auto"/>
                      <w:szCs w:val="21"/>
                    </w:rPr>
                    <w:t>11.0</w:t>
                  </w:r>
                </w:p>
              </w:tc>
            </w:tr>
            <w:tr w14:paraId="1A14C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vAlign w:val="center"/>
                </w:tcPr>
                <w:p w14:paraId="0EBAF2FC">
                  <w:pPr>
                    <w:jc w:val="center"/>
                    <w:rPr>
                      <w:color w:val="auto"/>
                      <w:szCs w:val="21"/>
                    </w:rPr>
                  </w:pPr>
                  <w:r>
                    <w:rPr>
                      <w:color w:val="auto"/>
                      <w:szCs w:val="21"/>
                    </w:rPr>
                    <w:t>收到基灰分</w:t>
                  </w:r>
                </w:p>
              </w:tc>
              <w:tc>
                <w:tcPr>
                  <w:tcW w:w="822" w:type="pct"/>
                  <w:vAlign w:val="center"/>
                </w:tcPr>
                <w:p w14:paraId="6CF1A7D4">
                  <w:pPr>
                    <w:jc w:val="center"/>
                    <w:rPr>
                      <w:color w:val="auto"/>
                      <w:szCs w:val="21"/>
                    </w:rPr>
                  </w:pPr>
                  <w:r>
                    <w:rPr>
                      <w:color w:val="auto"/>
                      <w:szCs w:val="21"/>
                    </w:rPr>
                    <w:t>Aar</w:t>
                  </w:r>
                </w:p>
              </w:tc>
              <w:tc>
                <w:tcPr>
                  <w:tcW w:w="962" w:type="pct"/>
                  <w:vAlign w:val="center"/>
                </w:tcPr>
                <w:p w14:paraId="008B4787">
                  <w:pPr>
                    <w:jc w:val="center"/>
                    <w:rPr>
                      <w:color w:val="auto"/>
                      <w:szCs w:val="21"/>
                    </w:rPr>
                  </w:pPr>
                  <w:r>
                    <w:rPr>
                      <w:color w:val="auto"/>
                      <w:szCs w:val="21"/>
                    </w:rPr>
                    <w:t>%</w:t>
                  </w:r>
                </w:p>
              </w:tc>
              <w:tc>
                <w:tcPr>
                  <w:tcW w:w="1373" w:type="pct"/>
                  <w:vAlign w:val="center"/>
                </w:tcPr>
                <w:p w14:paraId="315E8E31">
                  <w:pPr>
                    <w:jc w:val="center"/>
                    <w:rPr>
                      <w:color w:val="auto"/>
                      <w:szCs w:val="21"/>
                    </w:rPr>
                  </w:pPr>
                  <w:r>
                    <w:rPr>
                      <w:color w:val="auto"/>
                      <w:szCs w:val="21"/>
                    </w:rPr>
                    <w:t>8.83</w:t>
                  </w:r>
                </w:p>
              </w:tc>
            </w:tr>
            <w:tr w14:paraId="0FD6D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tcPr>
                <w:p w14:paraId="000662CA">
                  <w:pPr>
                    <w:jc w:val="center"/>
                    <w:rPr>
                      <w:color w:val="auto"/>
                      <w:szCs w:val="21"/>
                    </w:rPr>
                  </w:pPr>
                  <w:r>
                    <w:rPr>
                      <w:color w:val="auto"/>
                      <w:szCs w:val="21"/>
                    </w:rPr>
                    <w:t>收到基碳</w:t>
                  </w:r>
                </w:p>
              </w:tc>
              <w:tc>
                <w:tcPr>
                  <w:tcW w:w="822" w:type="pct"/>
                </w:tcPr>
                <w:p w14:paraId="7C734FCB">
                  <w:pPr>
                    <w:jc w:val="center"/>
                    <w:rPr>
                      <w:color w:val="auto"/>
                      <w:szCs w:val="21"/>
                    </w:rPr>
                  </w:pPr>
                  <w:r>
                    <w:rPr>
                      <w:color w:val="auto"/>
                      <w:szCs w:val="21"/>
                    </w:rPr>
                    <w:t>Car</w:t>
                  </w:r>
                </w:p>
              </w:tc>
              <w:tc>
                <w:tcPr>
                  <w:tcW w:w="962" w:type="pct"/>
                  <w:vAlign w:val="center"/>
                </w:tcPr>
                <w:p w14:paraId="1713D0A6">
                  <w:pPr>
                    <w:jc w:val="center"/>
                    <w:rPr>
                      <w:color w:val="auto"/>
                      <w:szCs w:val="21"/>
                    </w:rPr>
                  </w:pPr>
                  <w:r>
                    <w:rPr>
                      <w:color w:val="auto"/>
                      <w:szCs w:val="21"/>
                    </w:rPr>
                    <w:t>%</w:t>
                  </w:r>
                </w:p>
              </w:tc>
              <w:tc>
                <w:tcPr>
                  <w:tcW w:w="1373" w:type="pct"/>
                  <w:vAlign w:val="center"/>
                </w:tcPr>
                <w:p w14:paraId="37706548">
                  <w:pPr>
                    <w:jc w:val="center"/>
                    <w:rPr>
                      <w:color w:val="auto"/>
                      <w:szCs w:val="21"/>
                    </w:rPr>
                  </w:pPr>
                  <w:r>
                    <w:rPr>
                      <w:color w:val="auto"/>
                      <w:szCs w:val="21"/>
                    </w:rPr>
                    <w:t>39.79</w:t>
                  </w:r>
                </w:p>
              </w:tc>
            </w:tr>
            <w:tr w14:paraId="2A417D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tcPr>
                <w:p w14:paraId="30950CBD">
                  <w:pPr>
                    <w:jc w:val="center"/>
                    <w:rPr>
                      <w:color w:val="auto"/>
                      <w:szCs w:val="21"/>
                    </w:rPr>
                  </w:pPr>
                  <w:r>
                    <w:rPr>
                      <w:color w:val="auto"/>
                      <w:szCs w:val="21"/>
                    </w:rPr>
                    <w:t>收到基氢</w:t>
                  </w:r>
                </w:p>
              </w:tc>
              <w:tc>
                <w:tcPr>
                  <w:tcW w:w="822" w:type="pct"/>
                </w:tcPr>
                <w:p w14:paraId="5B05AA8B">
                  <w:pPr>
                    <w:jc w:val="center"/>
                    <w:rPr>
                      <w:color w:val="auto"/>
                      <w:szCs w:val="21"/>
                    </w:rPr>
                  </w:pPr>
                  <w:r>
                    <w:rPr>
                      <w:color w:val="auto"/>
                      <w:szCs w:val="21"/>
                    </w:rPr>
                    <w:t>Har</w:t>
                  </w:r>
                </w:p>
              </w:tc>
              <w:tc>
                <w:tcPr>
                  <w:tcW w:w="962" w:type="pct"/>
                  <w:vAlign w:val="center"/>
                </w:tcPr>
                <w:p w14:paraId="3F84F400">
                  <w:pPr>
                    <w:jc w:val="center"/>
                    <w:rPr>
                      <w:color w:val="auto"/>
                      <w:szCs w:val="21"/>
                    </w:rPr>
                  </w:pPr>
                  <w:r>
                    <w:rPr>
                      <w:color w:val="auto"/>
                      <w:szCs w:val="21"/>
                    </w:rPr>
                    <w:t>%</w:t>
                  </w:r>
                </w:p>
              </w:tc>
              <w:tc>
                <w:tcPr>
                  <w:tcW w:w="1373" w:type="pct"/>
                  <w:vAlign w:val="center"/>
                </w:tcPr>
                <w:p w14:paraId="632DE557">
                  <w:pPr>
                    <w:jc w:val="center"/>
                    <w:rPr>
                      <w:color w:val="auto"/>
                      <w:szCs w:val="21"/>
                    </w:rPr>
                  </w:pPr>
                  <w:r>
                    <w:rPr>
                      <w:color w:val="auto"/>
                      <w:szCs w:val="21"/>
                    </w:rPr>
                    <w:t>4.42</w:t>
                  </w:r>
                </w:p>
              </w:tc>
            </w:tr>
            <w:tr w14:paraId="7DFD0F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tcPr>
                <w:p w14:paraId="3859311C">
                  <w:pPr>
                    <w:jc w:val="center"/>
                    <w:rPr>
                      <w:color w:val="auto"/>
                      <w:szCs w:val="21"/>
                    </w:rPr>
                  </w:pPr>
                  <w:r>
                    <w:rPr>
                      <w:color w:val="auto"/>
                      <w:szCs w:val="21"/>
                    </w:rPr>
                    <w:t>收到基氮</w:t>
                  </w:r>
                </w:p>
              </w:tc>
              <w:tc>
                <w:tcPr>
                  <w:tcW w:w="822" w:type="pct"/>
                </w:tcPr>
                <w:p w14:paraId="7BAC2288">
                  <w:pPr>
                    <w:jc w:val="center"/>
                    <w:rPr>
                      <w:color w:val="auto"/>
                      <w:szCs w:val="21"/>
                    </w:rPr>
                  </w:pPr>
                  <w:r>
                    <w:rPr>
                      <w:color w:val="auto"/>
                      <w:szCs w:val="21"/>
                    </w:rPr>
                    <w:t>Nar</w:t>
                  </w:r>
                </w:p>
              </w:tc>
              <w:tc>
                <w:tcPr>
                  <w:tcW w:w="962" w:type="pct"/>
                  <w:vAlign w:val="center"/>
                </w:tcPr>
                <w:p w14:paraId="76F39236">
                  <w:pPr>
                    <w:jc w:val="center"/>
                    <w:rPr>
                      <w:color w:val="auto"/>
                      <w:szCs w:val="21"/>
                    </w:rPr>
                  </w:pPr>
                  <w:r>
                    <w:rPr>
                      <w:color w:val="auto"/>
                      <w:szCs w:val="21"/>
                    </w:rPr>
                    <w:t>%</w:t>
                  </w:r>
                </w:p>
              </w:tc>
              <w:tc>
                <w:tcPr>
                  <w:tcW w:w="1373" w:type="pct"/>
                  <w:vAlign w:val="center"/>
                </w:tcPr>
                <w:p w14:paraId="33A66BAF">
                  <w:pPr>
                    <w:jc w:val="center"/>
                    <w:rPr>
                      <w:color w:val="auto"/>
                      <w:szCs w:val="21"/>
                    </w:rPr>
                  </w:pPr>
                  <w:r>
                    <w:rPr>
                      <w:color w:val="auto"/>
                      <w:szCs w:val="21"/>
                    </w:rPr>
                    <w:t>0.35</w:t>
                  </w:r>
                </w:p>
              </w:tc>
            </w:tr>
            <w:tr w14:paraId="2AAF8A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tcPr>
                <w:p w14:paraId="6514BCDB">
                  <w:pPr>
                    <w:jc w:val="center"/>
                    <w:rPr>
                      <w:color w:val="auto"/>
                      <w:szCs w:val="21"/>
                    </w:rPr>
                  </w:pPr>
                  <w:r>
                    <w:rPr>
                      <w:color w:val="auto"/>
                      <w:szCs w:val="21"/>
                    </w:rPr>
                    <w:t>收到基氧</w:t>
                  </w:r>
                </w:p>
              </w:tc>
              <w:tc>
                <w:tcPr>
                  <w:tcW w:w="822" w:type="pct"/>
                </w:tcPr>
                <w:p w14:paraId="230D1D12">
                  <w:pPr>
                    <w:jc w:val="center"/>
                    <w:rPr>
                      <w:color w:val="auto"/>
                      <w:szCs w:val="21"/>
                    </w:rPr>
                  </w:pPr>
                  <w:r>
                    <w:rPr>
                      <w:color w:val="auto"/>
                      <w:szCs w:val="21"/>
                    </w:rPr>
                    <w:t>O,ar</w:t>
                  </w:r>
                </w:p>
              </w:tc>
              <w:tc>
                <w:tcPr>
                  <w:tcW w:w="962" w:type="pct"/>
                  <w:vAlign w:val="center"/>
                </w:tcPr>
                <w:p w14:paraId="16FA19C9">
                  <w:pPr>
                    <w:jc w:val="center"/>
                    <w:rPr>
                      <w:color w:val="auto"/>
                      <w:szCs w:val="21"/>
                    </w:rPr>
                  </w:pPr>
                  <w:r>
                    <w:rPr>
                      <w:color w:val="auto"/>
                      <w:szCs w:val="21"/>
                    </w:rPr>
                    <w:t>%</w:t>
                  </w:r>
                </w:p>
              </w:tc>
              <w:tc>
                <w:tcPr>
                  <w:tcW w:w="1373" w:type="pct"/>
                  <w:vAlign w:val="center"/>
                </w:tcPr>
                <w:p w14:paraId="2891A230">
                  <w:pPr>
                    <w:jc w:val="center"/>
                    <w:rPr>
                      <w:color w:val="auto"/>
                      <w:szCs w:val="21"/>
                    </w:rPr>
                  </w:pPr>
                  <w:r>
                    <w:rPr>
                      <w:color w:val="auto"/>
                      <w:szCs w:val="21"/>
                    </w:rPr>
                    <w:t>35.54</w:t>
                  </w:r>
                </w:p>
              </w:tc>
            </w:tr>
            <w:tr w14:paraId="463542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843" w:type="pct"/>
                  <w:vAlign w:val="center"/>
                </w:tcPr>
                <w:p w14:paraId="174B6B47">
                  <w:pPr>
                    <w:jc w:val="center"/>
                    <w:rPr>
                      <w:color w:val="auto"/>
                      <w:szCs w:val="21"/>
                    </w:rPr>
                  </w:pPr>
                  <w:r>
                    <w:rPr>
                      <w:color w:val="auto"/>
                      <w:szCs w:val="21"/>
                    </w:rPr>
                    <w:t>收到基全硫</w:t>
                  </w:r>
                </w:p>
              </w:tc>
              <w:tc>
                <w:tcPr>
                  <w:tcW w:w="822" w:type="pct"/>
                  <w:vAlign w:val="center"/>
                </w:tcPr>
                <w:p w14:paraId="78147E90">
                  <w:pPr>
                    <w:jc w:val="center"/>
                    <w:rPr>
                      <w:color w:val="auto"/>
                      <w:szCs w:val="21"/>
                    </w:rPr>
                  </w:pPr>
                  <w:r>
                    <w:rPr>
                      <w:color w:val="auto"/>
                      <w:szCs w:val="21"/>
                    </w:rPr>
                    <w:t>St,ar</w:t>
                  </w:r>
                </w:p>
              </w:tc>
              <w:tc>
                <w:tcPr>
                  <w:tcW w:w="962" w:type="pct"/>
                  <w:vAlign w:val="center"/>
                </w:tcPr>
                <w:p w14:paraId="557A7121">
                  <w:pPr>
                    <w:jc w:val="center"/>
                    <w:rPr>
                      <w:color w:val="auto"/>
                      <w:szCs w:val="21"/>
                    </w:rPr>
                  </w:pPr>
                  <w:r>
                    <w:rPr>
                      <w:color w:val="auto"/>
                      <w:szCs w:val="21"/>
                    </w:rPr>
                    <w:t>%</w:t>
                  </w:r>
                </w:p>
              </w:tc>
              <w:tc>
                <w:tcPr>
                  <w:tcW w:w="1373" w:type="pct"/>
                  <w:vAlign w:val="center"/>
                </w:tcPr>
                <w:p w14:paraId="094BC12E">
                  <w:pPr>
                    <w:jc w:val="center"/>
                    <w:rPr>
                      <w:color w:val="auto"/>
                      <w:szCs w:val="21"/>
                    </w:rPr>
                  </w:pPr>
                  <w:r>
                    <w:rPr>
                      <w:color w:val="auto"/>
                      <w:szCs w:val="21"/>
                    </w:rPr>
                    <w:t>0.07</w:t>
                  </w:r>
                </w:p>
              </w:tc>
            </w:tr>
            <w:tr w14:paraId="74D0AC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vMerge w:val="restart"/>
                  <w:vAlign w:val="center"/>
                </w:tcPr>
                <w:p w14:paraId="48888D96">
                  <w:pPr>
                    <w:jc w:val="center"/>
                    <w:rPr>
                      <w:color w:val="auto"/>
                      <w:szCs w:val="21"/>
                    </w:rPr>
                  </w:pPr>
                  <w:r>
                    <w:rPr>
                      <w:color w:val="auto"/>
                      <w:szCs w:val="21"/>
                    </w:rPr>
                    <w:t>收到基低位发热量</w:t>
                  </w:r>
                </w:p>
              </w:tc>
              <w:tc>
                <w:tcPr>
                  <w:tcW w:w="822" w:type="pct"/>
                  <w:vMerge w:val="restart"/>
                  <w:vAlign w:val="center"/>
                </w:tcPr>
                <w:p w14:paraId="55D15195">
                  <w:pPr>
                    <w:jc w:val="center"/>
                    <w:rPr>
                      <w:color w:val="auto"/>
                      <w:szCs w:val="21"/>
                    </w:rPr>
                  </w:pPr>
                  <w:r>
                    <w:rPr>
                      <w:color w:val="auto"/>
                      <w:szCs w:val="21"/>
                    </w:rPr>
                    <w:t>Qnet,ar</w:t>
                  </w:r>
                </w:p>
              </w:tc>
              <w:tc>
                <w:tcPr>
                  <w:tcW w:w="962" w:type="pct"/>
                  <w:vAlign w:val="center"/>
                </w:tcPr>
                <w:p w14:paraId="6C08CB6E">
                  <w:pPr>
                    <w:jc w:val="center"/>
                    <w:rPr>
                      <w:color w:val="auto"/>
                      <w:szCs w:val="21"/>
                    </w:rPr>
                  </w:pPr>
                  <w:r>
                    <w:rPr>
                      <w:color w:val="auto"/>
                      <w:szCs w:val="21"/>
                    </w:rPr>
                    <w:t>MJ/kg</w:t>
                  </w:r>
                </w:p>
              </w:tc>
              <w:tc>
                <w:tcPr>
                  <w:tcW w:w="1373" w:type="pct"/>
                  <w:vAlign w:val="center"/>
                </w:tcPr>
                <w:p w14:paraId="044F6BF5">
                  <w:pPr>
                    <w:jc w:val="center"/>
                    <w:rPr>
                      <w:color w:val="auto"/>
                      <w:szCs w:val="21"/>
                    </w:rPr>
                  </w:pPr>
                  <w:r>
                    <w:rPr>
                      <w:color w:val="auto"/>
                      <w:szCs w:val="21"/>
                    </w:rPr>
                    <w:t>14.083</w:t>
                  </w:r>
                </w:p>
              </w:tc>
            </w:tr>
            <w:tr w14:paraId="3C31C5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vMerge w:val="continue"/>
                  <w:vAlign w:val="center"/>
                </w:tcPr>
                <w:p w14:paraId="392EF574">
                  <w:pPr>
                    <w:jc w:val="center"/>
                    <w:rPr>
                      <w:color w:val="auto"/>
                      <w:szCs w:val="21"/>
                    </w:rPr>
                  </w:pPr>
                </w:p>
              </w:tc>
              <w:tc>
                <w:tcPr>
                  <w:tcW w:w="822" w:type="pct"/>
                  <w:vMerge w:val="continue"/>
                  <w:vAlign w:val="center"/>
                </w:tcPr>
                <w:p w14:paraId="67CFDAC3">
                  <w:pPr>
                    <w:jc w:val="center"/>
                    <w:rPr>
                      <w:color w:val="auto"/>
                      <w:szCs w:val="21"/>
                    </w:rPr>
                  </w:pPr>
                </w:p>
              </w:tc>
              <w:tc>
                <w:tcPr>
                  <w:tcW w:w="962" w:type="pct"/>
                  <w:vAlign w:val="center"/>
                </w:tcPr>
                <w:p w14:paraId="2B7474BA">
                  <w:pPr>
                    <w:jc w:val="center"/>
                    <w:rPr>
                      <w:color w:val="auto"/>
                      <w:szCs w:val="21"/>
                    </w:rPr>
                  </w:pPr>
                  <w:r>
                    <w:rPr>
                      <w:color w:val="auto"/>
                      <w:szCs w:val="21"/>
                    </w:rPr>
                    <w:t>Kcal/kg</w:t>
                  </w:r>
                </w:p>
              </w:tc>
              <w:tc>
                <w:tcPr>
                  <w:tcW w:w="1373" w:type="pct"/>
                  <w:vAlign w:val="center"/>
                </w:tcPr>
                <w:p w14:paraId="3042152F">
                  <w:pPr>
                    <w:jc w:val="center"/>
                    <w:rPr>
                      <w:color w:val="auto"/>
                      <w:szCs w:val="21"/>
                    </w:rPr>
                  </w:pPr>
                  <w:r>
                    <w:rPr>
                      <w:color w:val="auto"/>
                      <w:szCs w:val="21"/>
                    </w:rPr>
                    <w:t>3368</w:t>
                  </w:r>
                </w:p>
              </w:tc>
            </w:tr>
          </w:tbl>
          <w:p w14:paraId="44E93915">
            <w:pPr>
              <w:jc w:val="center"/>
              <w:rPr>
                <w:b/>
                <w:bCs/>
                <w:color w:val="auto"/>
                <w:kern w:val="0"/>
                <w:szCs w:val="21"/>
              </w:rPr>
            </w:pPr>
            <w:bookmarkStart w:id="4" w:name="_Hlk113020236"/>
            <w:r>
              <w:rPr>
                <w:b/>
                <w:bCs/>
                <w:color w:val="auto"/>
                <w:kern w:val="0"/>
                <w:szCs w:val="21"/>
              </w:rPr>
              <w:t>表2-</w:t>
            </w:r>
            <w:r>
              <w:rPr>
                <w:rFonts w:hint="eastAsia"/>
                <w:b/>
                <w:bCs/>
                <w:color w:val="auto"/>
                <w:kern w:val="0"/>
                <w:szCs w:val="21"/>
              </w:rPr>
              <w:t>5</w:t>
            </w:r>
            <w:r>
              <w:rPr>
                <w:b/>
                <w:bCs/>
                <w:color w:val="auto"/>
                <w:kern w:val="0"/>
                <w:szCs w:val="21"/>
              </w:rPr>
              <w:t xml:space="preserve">   物料平衡表</w:t>
            </w:r>
          </w:p>
          <w:bookmarkEnd w:id="4"/>
          <w:tbl>
            <w:tblPr>
              <w:tblStyle w:val="3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765"/>
              <w:gridCol w:w="1167"/>
              <w:gridCol w:w="798"/>
              <w:gridCol w:w="1840"/>
              <w:gridCol w:w="1392"/>
            </w:tblGrid>
            <w:tr w14:paraId="77C048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tcBorders>
                    <w:tl2br w:val="nil"/>
                    <w:tr2bl w:val="nil"/>
                  </w:tcBorders>
                  <w:vAlign w:val="center"/>
                </w:tcPr>
                <w:p w14:paraId="7E7F0B7B">
                  <w:pPr>
                    <w:pStyle w:val="130"/>
                    <w:rPr>
                      <w:color w:val="auto"/>
                    </w:rPr>
                  </w:pPr>
                  <w:r>
                    <w:rPr>
                      <w:color w:val="auto"/>
                    </w:rPr>
                    <w:t>生产线</w:t>
                  </w:r>
                </w:p>
              </w:tc>
              <w:tc>
                <w:tcPr>
                  <w:tcW w:w="1845" w:type="pct"/>
                  <w:gridSpan w:val="2"/>
                  <w:tcBorders>
                    <w:tl2br w:val="nil"/>
                    <w:tr2bl w:val="nil"/>
                  </w:tcBorders>
                  <w:vAlign w:val="center"/>
                </w:tcPr>
                <w:p w14:paraId="07585BB9">
                  <w:pPr>
                    <w:pStyle w:val="130"/>
                    <w:rPr>
                      <w:color w:val="auto"/>
                    </w:rPr>
                  </w:pPr>
                  <w:r>
                    <w:rPr>
                      <w:color w:val="auto"/>
                    </w:rPr>
                    <w:t>投入</w:t>
                  </w:r>
                </w:p>
              </w:tc>
              <w:tc>
                <w:tcPr>
                  <w:tcW w:w="2536" w:type="pct"/>
                  <w:gridSpan w:val="3"/>
                  <w:tcBorders>
                    <w:tl2br w:val="nil"/>
                    <w:tr2bl w:val="nil"/>
                  </w:tcBorders>
                  <w:vAlign w:val="center"/>
                </w:tcPr>
                <w:p w14:paraId="6ED8C8F4">
                  <w:pPr>
                    <w:pStyle w:val="130"/>
                    <w:rPr>
                      <w:color w:val="auto"/>
                    </w:rPr>
                  </w:pPr>
                  <w:r>
                    <w:rPr>
                      <w:color w:val="auto"/>
                    </w:rPr>
                    <w:t>产出</w:t>
                  </w:r>
                </w:p>
              </w:tc>
            </w:tr>
            <w:tr w14:paraId="56BA0C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restart"/>
                  <w:tcBorders>
                    <w:tl2br w:val="nil"/>
                    <w:tr2bl w:val="nil"/>
                  </w:tcBorders>
                  <w:vAlign w:val="center"/>
                </w:tcPr>
                <w:p w14:paraId="378C7FC9">
                  <w:pPr>
                    <w:pStyle w:val="130"/>
                    <w:rPr>
                      <w:color w:val="auto"/>
                    </w:rPr>
                  </w:pPr>
                  <w:r>
                    <w:rPr>
                      <w:color w:val="auto"/>
                    </w:rPr>
                    <w:t>烘干生产线</w:t>
                  </w:r>
                </w:p>
              </w:tc>
              <w:tc>
                <w:tcPr>
                  <w:tcW w:w="1110" w:type="pct"/>
                  <w:tcBorders>
                    <w:tl2br w:val="nil"/>
                    <w:tr2bl w:val="nil"/>
                  </w:tcBorders>
                  <w:vAlign w:val="center"/>
                </w:tcPr>
                <w:p w14:paraId="13815279">
                  <w:pPr>
                    <w:pStyle w:val="130"/>
                    <w:rPr>
                      <w:color w:val="auto"/>
                    </w:rPr>
                  </w:pPr>
                  <w:r>
                    <w:rPr>
                      <w:color w:val="auto"/>
                    </w:rPr>
                    <w:t>物料名称</w:t>
                  </w:r>
                </w:p>
              </w:tc>
              <w:tc>
                <w:tcPr>
                  <w:tcW w:w="734" w:type="pct"/>
                  <w:tcBorders>
                    <w:tl2br w:val="nil"/>
                    <w:tr2bl w:val="nil"/>
                  </w:tcBorders>
                  <w:vAlign w:val="center"/>
                </w:tcPr>
                <w:p w14:paraId="60C22C77">
                  <w:pPr>
                    <w:pStyle w:val="130"/>
                    <w:rPr>
                      <w:color w:val="auto"/>
                    </w:rPr>
                  </w:pPr>
                  <w:r>
                    <w:rPr>
                      <w:color w:val="auto"/>
                    </w:rPr>
                    <w:t>用量（t/a）</w:t>
                  </w:r>
                </w:p>
              </w:tc>
              <w:tc>
                <w:tcPr>
                  <w:tcW w:w="502" w:type="pct"/>
                  <w:tcBorders>
                    <w:tl2br w:val="nil"/>
                    <w:tr2bl w:val="nil"/>
                  </w:tcBorders>
                  <w:vAlign w:val="center"/>
                </w:tcPr>
                <w:p w14:paraId="40EA2406">
                  <w:pPr>
                    <w:pStyle w:val="130"/>
                    <w:rPr>
                      <w:color w:val="auto"/>
                    </w:rPr>
                  </w:pPr>
                  <w:r>
                    <w:rPr>
                      <w:color w:val="auto"/>
                    </w:rPr>
                    <w:t>类别</w:t>
                  </w:r>
                </w:p>
              </w:tc>
              <w:tc>
                <w:tcPr>
                  <w:tcW w:w="1157" w:type="pct"/>
                  <w:tcBorders>
                    <w:tl2br w:val="nil"/>
                    <w:tr2bl w:val="nil"/>
                  </w:tcBorders>
                  <w:vAlign w:val="center"/>
                </w:tcPr>
                <w:p w14:paraId="6EC27122">
                  <w:pPr>
                    <w:pStyle w:val="130"/>
                    <w:rPr>
                      <w:color w:val="auto"/>
                    </w:rPr>
                  </w:pPr>
                  <w:r>
                    <w:rPr>
                      <w:color w:val="auto"/>
                    </w:rPr>
                    <w:t>产品名称</w:t>
                  </w:r>
                </w:p>
              </w:tc>
              <w:tc>
                <w:tcPr>
                  <w:tcW w:w="876" w:type="pct"/>
                  <w:tcBorders>
                    <w:tl2br w:val="nil"/>
                    <w:tr2bl w:val="nil"/>
                  </w:tcBorders>
                  <w:shd w:val="clear" w:color="auto" w:fill="auto"/>
                  <w:vAlign w:val="center"/>
                </w:tcPr>
                <w:p w14:paraId="579CF590">
                  <w:pPr>
                    <w:pStyle w:val="130"/>
                    <w:rPr>
                      <w:color w:val="auto"/>
                    </w:rPr>
                  </w:pPr>
                  <w:r>
                    <w:rPr>
                      <w:color w:val="auto"/>
                    </w:rPr>
                    <w:t>产量（t/a）</w:t>
                  </w:r>
                </w:p>
              </w:tc>
            </w:tr>
            <w:tr w14:paraId="695C5B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2DF75725">
                  <w:pPr>
                    <w:pStyle w:val="130"/>
                    <w:rPr>
                      <w:color w:val="auto"/>
                    </w:rPr>
                  </w:pPr>
                </w:p>
              </w:tc>
              <w:tc>
                <w:tcPr>
                  <w:tcW w:w="1110" w:type="pct"/>
                  <w:tcBorders>
                    <w:tl2br w:val="nil"/>
                    <w:tr2bl w:val="nil"/>
                  </w:tcBorders>
                  <w:vAlign w:val="center"/>
                </w:tcPr>
                <w:p w14:paraId="382DB75E">
                  <w:pPr>
                    <w:pStyle w:val="130"/>
                    <w:rPr>
                      <w:color w:val="auto"/>
                    </w:rPr>
                  </w:pPr>
                  <w:r>
                    <w:rPr>
                      <w:color w:val="auto"/>
                    </w:rPr>
                    <w:t>玉米原粮（平均含水率</w:t>
                  </w:r>
                  <w:r>
                    <w:rPr>
                      <w:rFonts w:hint="eastAsia"/>
                      <w:color w:val="auto"/>
                    </w:rPr>
                    <w:t>30</w:t>
                  </w:r>
                  <w:r>
                    <w:rPr>
                      <w:color w:val="auto"/>
                    </w:rPr>
                    <w:t>%）</w:t>
                  </w:r>
                </w:p>
              </w:tc>
              <w:tc>
                <w:tcPr>
                  <w:tcW w:w="734" w:type="pct"/>
                  <w:tcBorders>
                    <w:tl2br w:val="nil"/>
                    <w:tr2bl w:val="nil"/>
                  </w:tcBorders>
                  <w:vAlign w:val="center"/>
                </w:tcPr>
                <w:p w14:paraId="2529DFD3">
                  <w:pPr>
                    <w:pStyle w:val="130"/>
                    <w:rPr>
                      <w:color w:val="auto"/>
                    </w:rPr>
                  </w:pPr>
                  <w:r>
                    <w:rPr>
                      <w:rFonts w:hint="eastAsia"/>
                      <w:color w:val="auto"/>
                    </w:rPr>
                    <w:t>15000</w:t>
                  </w:r>
                </w:p>
              </w:tc>
              <w:tc>
                <w:tcPr>
                  <w:tcW w:w="502" w:type="pct"/>
                  <w:vMerge w:val="restart"/>
                  <w:tcBorders>
                    <w:tl2br w:val="nil"/>
                    <w:tr2bl w:val="nil"/>
                  </w:tcBorders>
                  <w:vAlign w:val="center"/>
                </w:tcPr>
                <w:p w14:paraId="67D23A69">
                  <w:pPr>
                    <w:pStyle w:val="130"/>
                    <w:rPr>
                      <w:color w:val="auto"/>
                    </w:rPr>
                  </w:pPr>
                  <w:r>
                    <w:rPr>
                      <w:color w:val="auto"/>
                    </w:rPr>
                    <w:t>产品</w:t>
                  </w:r>
                </w:p>
              </w:tc>
              <w:tc>
                <w:tcPr>
                  <w:tcW w:w="1157" w:type="pct"/>
                  <w:tcBorders>
                    <w:tl2br w:val="nil"/>
                    <w:tr2bl w:val="nil"/>
                  </w:tcBorders>
                  <w:vAlign w:val="center"/>
                </w:tcPr>
                <w:p w14:paraId="31B8FD32">
                  <w:pPr>
                    <w:pStyle w:val="130"/>
                    <w:rPr>
                      <w:color w:val="auto"/>
                    </w:rPr>
                  </w:pPr>
                  <w:r>
                    <w:rPr>
                      <w:color w:val="auto"/>
                    </w:rPr>
                    <w:t>干玉米（平均含水率1</w:t>
                  </w:r>
                  <w:r>
                    <w:rPr>
                      <w:rFonts w:hint="eastAsia"/>
                      <w:color w:val="auto"/>
                    </w:rPr>
                    <w:t>4</w:t>
                  </w:r>
                  <w:r>
                    <w:rPr>
                      <w:color w:val="auto"/>
                    </w:rPr>
                    <w:t>%）</w:t>
                  </w:r>
                </w:p>
              </w:tc>
              <w:tc>
                <w:tcPr>
                  <w:tcW w:w="876" w:type="pct"/>
                  <w:tcBorders>
                    <w:tl2br w:val="nil"/>
                    <w:tr2bl w:val="nil"/>
                  </w:tcBorders>
                  <w:shd w:val="clear" w:color="auto" w:fill="auto"/>
                  <w:vAlign w:val="center"/>
                </w:tcPr>
                <w:p w14:paraId="3579DEF2">
                  <w:pPr>
                    <w:pStyle w:val="131"/>
                    <w:rPr>
                      <w:color w:val="auto"/>
                    </w:rPr>
                  </w:pPr>
                  <w:r>
                    <w:rPr>
                      <w:rFonts w:hint="eastAsia"/>
                      <w:color w:val="auto"/>
                      <w:lang w:eastAsia="zh-CN"/>
                    </w:rPr>
                    <w:t>12190.96</w:t>
                  </w:r>
                  <w:r>
                    <w:rPr>
                      <w:rFonts w:hint="eastAsia"/>
                      <w:color w:val="auto"/>
                    </w:rPr>
                    <w:t>‬</w:t>
                  </w:r>
                </w:p>
              </w:tc>
            </w:tr>
            <w:tr w14:paraId="6961EF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3D056863">
                  <w:pPr>
                    <w:pStyle w:val="130"/>
                    <w:rPr>
                      <w:color w:val="auto"/>
                    </w:rPr>
                  </w:pPr>
                </w:p>
              </w:tc>
              <w:tc>
                <w:tcPr>
                  <w:tcW w:w="1110" w:type="pct"/>
                  <w:tcBorders>
                    <w:tl2br w:val="nil"/>
                    <w:tr2bl w:val="nil"/>
                  </w:tcBorders>
                  <w:vAlign w:val="center"/>
                </w:tcPr>
                <w:p w14:paraId="5A30600C">
                  <w:pPr>
                    <w:pStyle w:val="130"/>
                    <w:rPr>
                      <w:color w:val="auto"/>
                    </w:rPr>
                  </w:pPr>
                  <w:r>
                    <w:rPr>
                      <w:rFonts w:hint="eastAsia"/>
                      <w:color w:val="auto"/>
                    </w:rPr>
                    <w:t>水稻原粮（平均含水率18%）</w:t>
                  </w:r>
                </w:p>
              </w:tc>
              <w:tc>
                <w:tcPr>
                  <w:tcW w:w="734" w:type="pct"/>
                  <w:tcBorders>
                    <w:tl2br w:val="nil"/>
                    <w:tr2bl w:val="nil"/>
                  </w:tcBorders>
                  <w:vAlign w:val="center"/>
                </w:tcPr>
                <w:p w14:paraId="51A0F8D0">
                  <w:pPr>
                    <w:pStyle w:val="130"/>
                    <w:rPr>
                      <w:color w:val="auto"/>
                    </w:rPr>
                  </w:pPr>
                  <w:r>
                    <w:rPr>
                      <w:rFonts w:hint="eastAsia"/>
                      <w:color w:val="auto"/>
                    </w:rPr>
                    <w:t>5000</w:t>
                  </w:r>
                </w:p>
              </w:tc>
              <w:tc>
                <w:tcPr>
                  <w:tcW w:w="502" w:type="pct"/>
                  <w:vMerge w:val="continue"/>
                  <w:tcBorders>
                    <w:tl2br w:val="nil"/>
                    <w:tr2bl w:val="nil"/>
                  </w:tcBorders>
                  <w:vAlign w:val="center"/>
                </w:tcPr>
                <w:p w14:paraId="715723D8">
                  <w:pPr>
                    <w:pStyle w:val="130"/>
                    <w:rPr>
                      <w:color w:val="auto"/>
                    </w:rPr>
                  </w:pPr>
                </w:p>
              </w:tc>
              <w:tc>
                <w:tcPr>
                  <w:tcW w:w="1157" w:type="pct"/>
                  <w:tcBorders>
                    <w:tl2br w:val="nil"/>
                    <w:tr2bl w:val="nil"/>
                  </w:tcBorders>
                  <w:vAlign w:val="center"/>
                </w:tcPr>
                <w:p w14:paraId="12EBFCE6">
                  <w:pPr>
                    <w:pStyle w:val="130"/>
                    <w:rPr>
                      <w:color w:val="auto"/>
                    </w:rPr>
                  </w:pPr>
                  <w:r>
                    <w:rPr>
                      <w:color w:val="auto"/>
                    </w:rPr>
                    <w:t>干</w:t>
                  </w:r>
                  <w:r>
                    <w:rPr>
                      <w:rFonts w:hint="eastAsia"/>
                      <w:color w:val="auto"/>
                    </w:rPr>
                    <w:t>水稻</w:t>
                  </w:r>
                  <w:r>
                    <w:rPr>
                      <w:color w:val="auto"/>
                    </w:rPr>
                    <w:t>（平均含水率</w:t>
                  </w:r>
                  <w:r>
                    <w:rPr>
                      <w:rFonts w:hint="eastAsia"/>
                      <w:color w:val="auto"/>
                    </w:rPr>
                    <w:t>14</w:t>
                  </w:r>
                  <w:r>
                    <w:rPr>
                      <w:color w:val="auto"/>
                    </w:rPr>
                    <w:t>%）</w:t>
                  </w:r>
                </w:p>
              </w:tc>
              <w:tc>
                <w:tcPr>
                  <w:tcW w:w="876" w:type="pct"/>
                  <w:tcBorders>
                    <w:tl2br w:val="nil"/>
                    <w:tr2bl w:val="nil"/>
                  </w:tcBorders>
                  <w:shd w:val="clear" w:color="auto" w:fill="auto"/>
                  <w:vAlign w:val="center"/>
                </w:tcPr>
                <w:p w14:paraId="7B36A88A">
                  <w:pPr>
                    <w:pStyle w:val="131"/>
                    <w:rPr>
                      <w:rFonts w:hint="eastAsia" w:eastAsia="宋体"/>
                      <w:color w:val="auto"/>
                      <w:lang w:eastAsia="zh-CN"/>
                    </w:rPr>
                  </w:pPr>
                  <w:r>
                    <w:rPr>
                      <w:rFonts w:hint="eastAsia"/>
                      <w:color w:val="auto"/>
                      <w:lang w:eastAsia="zh-CN"/>
                    </w:rPr>
                    <w:t>4759.24‬</w:t>
                  </w:r>
                </w:p>
              </w:tc>
            </w:tr>
            <w:tr w14:paraId="3C05C2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607D665D">
                  <w:pPr>
                    <w:pStyle w:val="130"/>
                    <w:rPr>
                      <w:color w:val="auto"/>
                    </w:rPr>
                  </w:pPr>
                </w:p>
              </w:tc>
              <w:tc>
                <w:tcPr>
                  <w:tcW w:w="1845" w:type="pct"/>
                  <w:gridSpan w:val="2"/>
                  <w:vMerge w:val="restart"/>
                  <w:tcBorders>
                    <w:tl2br w:val="nil"/>
                    <w:tr2bl w:val="nil"/>
                  </w:tcBorders>
                  <w:vAlign w:val="center"/>
                </w:tcPr>
                <w:p w14:paraId="7D193B14">
                  <w:pPr>
                    <w:pStyle w:val="130"/>
                    <w:rPr>
                      <w:color w:val="auto"/>
                    </w:rPr>
                  </w:pPr>
                  <w:r>
                    <w:rPr>
                      <w:color w:val="auto"/>
                    </w:rPr>
                    <w:t>/</w:t>
                  </w:r>
                </w:p>
              </w:tc>
              <w:tc>
                <w:tcPr>
                  <w:tcW w:w="502" w:type="pct"/>
                  <w:vMerge w:val="restart"/>
                  <w:tcBorders>
                    <w:tl2br w:val="nil"/>
                    <w:tr2bl w:val="nil"/>
                  </w:tcBorders>
                  <w:vAlign w:val="center"/>
                </w:tcPr>
                <w:p w14:paraId="034DA144">
                  <w:pPr>
                    <w:pStyle w:val="130"/>
                    <w:rPr>
                      <w:color w:val="auto"/>
                    </w:rPr>
                  </w:pPr>
                  <w:r>
                    <w:rPr>
                      <w:color w:val="auto"/>
                    </w:rPr>
                    <w:t>损耗</w:t>
                  </w:r>
                </w:p>
              </w:tc>
              <w:tc>
                <w:tcPr>
                  <w:tcW w:w="1157" w:type="pct"/>
                  <w:tcBorders>
                    <w:tl2br w:val="nil"/>
                    <w:tr2bl w:val="nil"/>
                  </w:tcBorders>
                  <w:vAlign w:val="center"/>
                </w:tcPr>
                <w:p w14:paraId="3DFE7AC1">
                  <w:pPr>
                    <w:pStyle w:val="130"/>
                    <w:rPr>
                      <w:color w:val="auto"/>
                    </w:rPr>
                  </w:pPr>
                  <w:r>
                    <w:rPr>
                      <w:rFonts w:hint="eastAsia"/>
                      <w:color w:val="auto"/>
                    </w:rPr>
                    <w:t>玉米</w:t>
                  </w:r>
                  <w:r>
                    <w:rPr>
                      <w:color w:val="auto"/>
                    </w:rPr>
                    <w:t>蒸发水分</w:t>
                  </w:r>
                </w:p>
              </w:tc>
              <w:tc>
                <w:tcPr>
                  <w:tcW w:w="876" w:type="pct"/>
                  <w:tcBorders>
                    <w:tl2br w:val="nil"/>
                    <w:tr2bl w:val="nil"/>
                  </w:tcBorders>
                  <w:vAlign w:val="center"/>
                </w:tcPr>
                <w:p w14:paraId="5621408B">
                  <w:pPr>
                    <w:pStyle w:val="130"/>
                    <w:rPr>
                      <w:color w:val="auto"/>
                    </w:rPr>
                  </w:pPr>
                  <w:r>
                    <w:rPr>
                      <w:rFonts w:hint="eastAsia"/>
                      <w:color w:val="auto"/>
                    </w:rPr>
                    <w:t>2790.70</w:t>
                  </w:r>
                </w:p>
              </w:tc>
            </w:tr>
            <w:tr w14:paraId="7883F1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384B9E65">
                  <w:pPr>
                    <w:pStyle w:val="130"/>
                    <w:rPr>
                      <w:color w:val="auto"/>
                    </w:rPr>
                  </w:pPr>
                </w:p>
              </w:tc>
              <w:tc>
                <w:tcPr>
                  <w:tcW w:w="1845" w:type="pct"/>
                  <w:gridSpan w:val="2"/>
                  <w:vMerge w:val="continue"/>
                  <w:tcBorders>
                    <w:tl2br w:val="nil"/>
                    <w:tr2bl w:val="nil"/>
                  </w:tcBorders>
                  <w:vAlign w:val="center"/>
                </w:tcPr>
                <w:p w14:paraId="49676842">
                  <w:pPr>
                    <w:pStyle w:val="130"/>
                    <w:rPr>
                      <w:color w:val="auto"/>
                    </w:rPr>
                  </w:pPr>
                </w:p>
              </w:tc>
              <w:tc>
                <w:tcPr>
                  <w:tcW w:w="502" w:type="pct"/>
                  <w:vMerge w:val="continue"/>
                  <w:tcBorders>
                    <w:tl2br w:val="nil"/>
                    <w:tr2bl w:val="nil"/>
                  </w:tcBorders>
                  <w:vAlign w:val="center"/>
                </w:tcPr>
                <w:p w14:paraId="497D599D">
                  <w:pPr>
                    <w:pStyle w:val="130"/>
                    <w:rPr>
                      <w:color w:val="auto"/>
                    </w:rPr>
                  </w:pPr>
                </w:p>
              </w:tc>
              <w:tc>
                <w:tcPr>
                  <w:tcW w:w="1157" w:type="pct"/>
                  <w:tcBorders>
                    <w:tl2br w:val="nil"/>
                    <w:tr2bl w:val="nil"/>
                  </w:tcBorders>
                  <w:vAlign w:val="center"/>
                </w:tcPr>
                <w:p w14:paraId="28394E11">
                  <w:pPr>
                    <w:pStyle w:val="130"/>
                    <w:rPr>
                      <w:color w:val="auto"/>
                    </w:rPr>
                  </w:pPr>
                  <w:r>
                    <w:rPr>
                      <w:rFonts w:hint="eastAsia"/>
                      <w:color w:val="auto"/>
                    </w:rPr>
                    <w:t>水稻蒸发水分</w:t>
                  </w:r>
                </w:p>
              </w:tc>
              <w:tc>
                <w:tcPr>
                  <w:tcW w:w="876" w:type="pct"/>
                  <w:tcBorders>
                    <w:tl2br w:val="nil"/>
                    <w:tr2bl w:val="nil"/>
                  </w:tcBorders>
                  <w:vAlign w:val="center"/>
                </w:tcPr>
                <w:p w14:paraId="7DABB0C3">
                  <w:pPr>
                    <w:pStyle w:val="130"/>
                    <w:rPr>
                      <w:color w:val="auto"/>
                    </w:rPr>
                  </w:pPr>
                  <w:r>
                    <w:rPr>
                      <w:rFonts w:hint="eastAsia"/>
                      <w:color w:val="auto"/>
                    </w:rPr>
                    <w:t>232.56</w:t>
                  </w:r>
                </w:p>
              </w:tc>
            </w:tr>
            <w:tr w14:paraId="67C2BE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6B9A462F">
                  <w:pPr>
                    <w:pStyle w:val="130"/>
                    <w:rPr>
                      <w:color w:val="auto"/>
                    </w:rPr>
                  </w:pPr>
                </w:p>
              </w:tc>
              <w:tc>
                <w:tcPr>
                  <w:tcW w:w="1845" w:type="pct"/>
                  <w:gridSpan w:val="2"/>
                  <w:vMerge w:val="continue"/>
                  <w:tcBorders>
                    <w:tl2br w:val="nil"/>
                    <w:tr2bl w:val="nil"/>
                  </w:tcBorders>
                  <w:vAlign w:val="center"/>
                </w:tcPr>
                <w:p w14:paraId="03293B4C">
                  <w:pPr>
                    <w:pStyle w:val="130"/>
                    <w:rPr>
                      <w:color w:val="auto"/>
                    </w:rPr>
                  </w:pPr>
                </w:p>
              </w:tc>
              <w:tc>
                <w:tcPr>
                  <w:tcW w:w="502" w:type="pct"/>
                  <w:vMerge w:val="continue"/>
                  <w:tcBorders>
                    <w:tl2br w:val="nil"/>
                    <w:tr2bl w:val="nil"/>
                  </w:tcBorders>
                  <w:vAlign w:val="center"/>
                </w:tcPr>
                <w:p w14:paraId="344EFCD2">
                  <w:pPr>
                    <w:pStyle w:val="130"/>
                    <w:rPr>
                      <w:color w:val="auto"/>
                    </w:rPr>
                  </w:pPr>
                </w:p>
              </w:tc>
              <w:tc>
                <w:tcPr>
                  <w:tcW w:w="1157" w:type="pct"/>
                  <w:tcBorders>
                    <w:tl2br w:val="nil"/>
                    <w:tr2bl w:val="nil"/>
                  </w:tcBorders>
                  <w:vAlign w:val="center"/>
                </w:tcPr>
                <w:p w14:paraId="240C8E5B">
                  <w:pPr>
                    <w:pStyle w:val="130"/>
                    <w:rPr>
                      <w:rFonts w:hint="default" w:eastAsia="宋体"/>
                      <w:color w:val="auto"/>
                      <w:lang w:val="en-US" w:eastAsia="zh-CN"/>
                    </w:rPr>
                  </w:pPr>
                  <w:r>
                    <w:rPr>
                      <w:rFonts w:hint="eastAsia"/>
                      <w:color w:val="auto"/>
                      <w:lang w:val="en-US" w:eastAsia="zh-CN"/>
                    </w:rPr>
                    <w:t>玉米产生粉尘</w:t>
                  </w:r>
                </w:p>
              </w:tc>
              <w:tc>
                <w:tcPr>
                  <w:tcW w:w="876" w:type="pct"/>
                  <w:tcBorders>
                    <w:tl2br w:val="nil"/>
                    <w:tr2bl w:val="nil"/>
                  </w:tcBorders>
                  <w:vAlign w:val="center"/>
                </w:tcPr>
                <w:p w14:paraId="1E8B2977">
                  <w:pPr>
                    <w:pStyle w:val="130"/>
                    <w:rPr>
                      <w:rFonts w:hint="default" w:eastAsia="宋体"/>
                      <w:color w:val="auto"/>
                      <w:lang w:val="en-US" w:eastAsia="zh-CN"/>
                    </w:rPr>
                  </w:pPr>
                  <w:r>
                    <w:rPr>
                      <w:rFonts w:hint="eastAsia"/>
                      <w:color w:val="auto"/>
                      <w:lang w:val="en-US" w:eastAsia="zh-CN"/>
                    </w:rPr>
                    <w:t>3.34</w:t>
                  </w:r>
                </w:p>
              </w:tc>
            </w:tr>
            <w:tr w14:paraId="53B2B4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78D1756B">
                  <w:pPr>
                    <w:pStyle w:val="130"/>
                    <w:rPr>
                      <w:color w:val="auto"/>
                    </w:rPr>
                  </w:pPr>
                </w:p>
              </w:tc>
              <w:tc>
                <w:tcPr>
                  <w:tcW w:w="1845" w:type="pct"/>
                  <w:gridSpan w:val="2"/>
                  <w:vMerge w:val="continue"/>
                  <w:tcBorders>
                    <w:tl2br w:val="nil"/>
                    <w:tr2bl w:val="nil"/>
                  </w:tcBorders>
                  <w:vAlign w:val="center"/>
                </w:tcPr>
                <w:p w14:paraId="4A76155C">
                  <w:pPr>
                    <w:pStyle w:val="130"/>
                    <w:rPr>
                      <w:color w:val="auto"/>
                    </w:rPr>
                  </w:pPr>
                </w:p>
              </w:tc>
              <w:tc>
                <w:tcPr>
                  <w:tcW w:w="502" w:type="pct"/>
                  <w:vMerge w:val="continue"/>
                  <w:tcBorders>
                    <w:tl2br w:val="nil"/>
                    <w:tr2bl w:val="nil"/>
                  </w:tcBorders>
                  <w:vAlign w:val="center"/>
                </w:tcPr>
                <w:p w14:paraId="02BF48DE">
                  <w:pPr>
                    <w:pStyle w:val="130"/>
                    <w:rPr>
                      <w:color w:val="auto"/>
                    </w:rPr>
                  </w:pPr>
                </w:p>
              </w:tc>
              <w:tc>
                <w:tcPr>
                  <w:tcW w:w="1157" w:type="pct"/>
                  <w:tcBorders>
                    <w:tl2br w:val="nil"/>
                    <w:tr2bl w:val="nil"/>
                  </w:tcBorders>
                  <w:vAlign w:val="center"/>
                </w:tcPr>
                <w:p w14:paraId="1C2DBC44">
                  <w:pPr>
                    <w:pStyle w:val="130"/>
                    <w:rPr>
                      <w:rFonts w:hint="default" w:eastAsia="宋体"/>
                      <w:color w:val="auto"/>
                      <w:lang w:val="en-US" w:eastAsia="zh-CN"/>
                    </w:rPr>
                  </w:pPr>
                  <w:r>
                    <w:rPr>
                      <w:rFonts w:hint="eastAsia"/>
                      <w:color w:val="auto"/>
                      <w:lang w:val="en-US" w:eastAsia="zh-CN"/>
                    </w:rPr>
                    <w:t>水稻产生粉尘</w:t>
                  </w:r>
                </w:p>
              </w:tc>
              <w:tc>
                <w:tcPr>
                  <w:tcW w:w="876" w:type="pct"/>
                  <w:tcBorders>
                    <w:tl2br w:val="nil"/>
                    <w:tr2bl w:val="nil"/>
                  </w:tcBorders>
                  <w:vAlign w:val="center"/>
                </w:tcPr>
                <w:p w14:paraId="48AF63DC">
                  <w:pPr>
                    <w:pStyle w:val="130"/>
                    <w:rPr>
                      <w:rFonts w:hint="default" w:eastAsia="宋体"/>
                      <w:color w:val="auto"/>
                      <w:lang w:val="en-US" w:eastAsia="zh-CN"/>
                    </w:rPr>
                  </w:pPr>
                  <w:r>
                    <w:rPr>
                      <w:rFonts w:hint="eastAsia"/>
                      <w:color w:val="auto"/>
                      <w:lang w:val="en-US" w:eastAsia="zh-CN"/>
                    </w:rPr>
                    <w:t>3.20</w:t>
                  </w:r>
                </w:p>
              </w:tc>
            </w:tr>
            <w:tr w14:paraId="21D57D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6E477BFE">
                  <w:pPr>
                    <w:pStyle w:val="130"/>
                    <w:rPr>
                      <w:color w:val="auto"/>
                    </w:rPr>
                  </w:pPr>
                </w:p>
              </w:tc>
              <w:tc>
                <w:tcPr>
                  <w:tcW w:w="1845" w:type="pct"/>
                  <w:gridSpan w:val="2"/>
                  <w:vMerge w:val="continue"/>
                  <w:tcBorders>
                    <w:tl2br w:val="nil"/>
                    <w:tr2bl w:val="nil"/>
                  </w:tcBorders>
                  <w:vAlign w:val="center"/>
                </w:tcPr>
                <w:p w14:paraId="39B0694F">
                  <w:pPr>
                    <w:pStyle w:val="130"/>
                    <w:rPr>
                      <w:color w:val="auto"/>
                    </w:rPr>
                  </w:pPr>
                </w:p>
              </w:tc>
              <w:tc>
                <w:tcPr>
                  <w:tcW w:w="502" w:type="pct"/>
                  <w:vMerge w:val="continue"/>
                  <w:tcBorders>
                    <w:tl2br w:val="nil"/>
                    <w:tr2bl w:val="nil"/>
                  </w:tcBorders>
                  <w:vAlign w:val="center"/>
                </w:tcPr>
                <w:p w14:paraId="368D9B40">
                  <w:pPr>
                    <w:pStyle w:val="130"/>
                    <w:rPr>
                      <w:color w:val="auto"/>
                    </w:rPr>
                  </w:pPr>
                </w:p>
              </w:tc>
              <w:tc>
                <w:tcPr>
                  <w:tcW w:w="1157" w:type="pct"/>
                  <w:tcBorders>
                    <w:tl2br w:val="nil"/>
                    <w:tr2bl w:val="nil"/>
                  </w:tcBorders>
                  <w:vAlign w:val="center"/>
                </w:tcPr>
                <w:p w14:paraId="2179E497">
                  <w:pPr>
                    <w:pStyle w:val="130"/>
                    <w:rPr>
                      <w:color w:val="auto"/>
                    </w:rPr>
                  </w:pPr>
                  <w:r>
                    <w:rPr>
                      <w:rFonts w:hint="eastAsia"/>
                      <w:color w:val="auto"/>
                      <w:lang w:val="en-US" w:eastAsia="zh-CN"/>
                    </w:rPr>
                    <w:t>玉米</w:t>
                  </w:r>
                  <w:r>
                    <w:rPr>
                      <w:color w:val="auto"/>
                    </w:rPr>
                    <w:t>筛分杂质</w:t>
                  </w:r>
                </w:p>
              </w:tc>
              <w:tc>
                <w:tcPr>
                  <w:tcW w:w="876" w:type="pct"/>
                  <w:tcBorders>
                    <w:tl2br w:val="nil"/>
                    <w:tr2bl w:val="nil"/>
                  </w:tcBorders>
                  <w:vAlign w:val="center"/>
                </w:tcPr>
                <w:p w14:paraId="4F122225">
                  <w:pPr>
                    <w:pStyle w:val="130"/>
                    <w:rPr>
                      <w:rFonts w:hint="default" w:eastAsia="宋体"/>
                      <w:color w:val="auto"/>
                      <w:lang w:val="en-US" w:eastAsia="zh-CN"/>
                    </w:rPr>
                  </w:pPr>
                  <w:r>
                    <w:rPr>
                      <w:rFonts w:hint="eastAsia"/>
                      <w:color w:val="auto"/>
                      <w:lang w:val="en-US" w:eastAsia="zh-CN"/>
                    </w:rPr>
                    <w:t>15</w:t>
                  </w:r>
                </w:p>
              </w:tc>
            </w:tr>
            <w:tr w14:paraId="2CCD7D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vMerge w:val="continue"/>
                  <w:tcBorders>
                    <w:tl2br w:val="nil"/>
                    <w:tr2bl w:val="nil"/>
                  </w:tcBorders>
                  <w:vAlign w:val="center"/>
                </w:tcPr>
                <w:p w14:paraId="0D6212D0">
                  <w:pPr>
                    <w:pStyle w:val="130"/>
                    <w:rPr>
                      <w:color w:val="auto"/>
                    </w:rPr>
                  </w:pPr>
                </w:p>
              </w:tc>
              <w:tc>
                <w:tcPr>
                  <w:tcW w:w="1845" w:type="pct"/>
                  <w:gridSpan w:val="2"/>
                  <w:vMerge w:val="continue"/>
                  <w:tcBorders>
                    <w:tl2br w:val="nil"/>
                    <w:tr2bl w:val="nil"/>
                  </w:tcBorders>
                  <w:vAlign w:val="center"/>
                </w:tcPr>
                <w:p w14:paraId="16C5B95B">
                  <w:pPr>
                    <w:pStyle w:val="130"/>
                    <w:rPr>
                      <w:color w:val="auto"/>
                    </w:rPr>
                  </w:pPr>
                </w:p>
              </w:tc>
              <w:tc>
                <w:tcPr>
                  <w:tcW w:w="502" w:type="pct"/>
                  <w:vMerge w:val="continue"/>
                  <w:tcBorders>
                    <w:tl2br w:val="nil"/>
                    <w:tr2bl w:val="nil"/>
                  </w:tcBorders>
                  <w:vAlign w:val="center"/>
                </w:tcPr>
                <w:p w14:paraId="192590D1">
                  <w:pPr>
                    <w:pStyle w:val="130"/>
                    <w:rPr>
                      <w:color w:val="auto"/>
                    </w:rPr>
                  </w:pPr>
                </w:p>
              </w:tc>
              <w:tc>
                <w:tcPr>
                  <w:tcW w:w="1157" w:type="pct"/>
                  <w:tcBorders>
                    <w:tl2br w:val="nil"/>
                    <w:tr2bl w:val="nil"/>
                  </w:tcBorders>
                  <w:vAlign w:val="center"/>
                </w:tcPr>
                <w:p w14:paraId="163E0815">
                  <w:pPr>
                    <w:pStyle w:val="130"/>
                    <w:rPr>
                      <w:color w:val="auto"/>
                    </w:rPr>
                  </w:pPr>
                  <w:r>
                    <w:rPr>
                      <w:rFonts w:hint="eastAsia"/>
                      <w:color w:val="auto"/>
                      <w:lang w:val="en-US" w:eastAsia="zh-CN"/>
                    </w:rPr>
                    <w:t>水稻</w:t>
                  </w:r>
                  <w:r>
                    <w:rPr>
                      <w:color w:val="auto"/>
                    </w:rPr>
                    <w:t>筛分杂质</w:t>
                  </w:r>
                </w:p>
              </w:tc>
              <w:tc>
                <w:tcPr>
                  <w:tcW w:w="876" w:type="pct"/>
                  <w:tcBorders>
                    <w:tl2br w:val="nil"/>
                    <w:tr2bl w:val="nil"/>
                  </w:tcBorders>
                  <w:vAlign w:val="center"/>
                </w:tcPr>
                <w:p w14:paraId="1D3B6035">
                  <w:pPr>
                    <w:pStyle w:val="130"/>
                    <w:rPr>
                      <w:rFonts w:hint="eastAsia" w:eastAsia="宋体"/>
                      <w:color w:val="auto"/>
                      <w:lang w:val="en-US" w:eastAsia="zh-CN"/>
                    </w:rPr>
                  </w:pPr>
                  <w:r>
                    <w:rPr>
                      <w:rFonts w:hint="eastAsia"/>
                      <w:color w:val="auto"/>
                      <w:lang w:val="en-US" w:eastAsia="zh-CN"/>
                    </w:rPr>
                    <w:t>5</w:t>
                  </w:r>
                </w:p>
              </w:tc>
            </w:tr>
            <w:tr w14:paraId="726E21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8" w:type="pct"/>
                  <w:tcBorders>
                    <w:tl2br w:val="nil"/>
                    <w:tr2bl w:val="nil"/>
                  </w:tcBorders>
                  <w:vAlign w:val="center"/>
                </w:tcPr>
                <w:p w14:paraId="6666842C">
                  <w:pPr>
                    <w:pStyle w:val="130"/>
                    <w:rPr>
                      <w:color w:val="auto"/>
                    </w:rPr>
                  </w:pPr>
                  <w:r>
                    <w:rPr>
                      <w:color w:val="auto"/>
                    </w:rPr>
                    <w:t>合计</w:t>
                  </w:r>
                </w:p>
              </w:tc>
              <w:tc>
                <w:tcPr>
                  <w:tcW w:w="1845" w:type="pct"/>
                  <w:gridSpan w:val="2"/>
                  <w:tcBorders>
                    <w:tl2br w:val="nil"/>
                    <w:tr2bl w:val="nil"/>
                  </w:tcBorders>
                  <w:vAlign w:val="center"/>
                </w:tcPr>
                <w:p w14:paraId="69CB0139">
                  <w:pPr>
                    <w:pStyle w:val="130"/>
                    <w:rPr>
                      <w:color w:val="auto"/>
                    </w:rPr>
                  </w:pPr>
                  <w:r>
                    <w:rPr>
                      <w:rFonts w:hint="eastAsia"/>
                      <w:color w:val="auto"/>
                    </w:rPr>
                    <w:t>20000</w:t>
                  </w:r>
                </w:p>
              </w:tc>
              <w:tc>
                <w:tcPr>
                  <w:tcW w:w="502" w:type="pct"/>
                  <w:tcBorders>
                    <w:tl2br w:val="nil"/>
                    <w:tr2bl w:val="nil"/>
                  </w:tcBorders>
                  <w:vAlign w:val="center"/>
                </w:tcPr>
                <w:p w14:paraId="720427FD">
                  <w:pPr>
                    <w:pStyle w:val="130"/>
                    <w:rPr>
                      <w:color w:val="auto"/>
                    </w:rPr>
                  </w:pPr>
                  <w:r>
                    <w:rPr>
                      <w:color w:val="auto"/>
                    </w:rPr>
                    <w:t>/</w:t>
                  </w:r>
                </w:p>
              </w:tc>
              <w:tc>
                <w:tcPr>
                  <w:tcW w:w="1157" w:type="pct"/>
                  <w:tcBorders>
                    <w:tl2br w:val="nil"/>
                    <w:tr2bl w:val="nil"/>
                  </w:tcBorders>
                  <w:vAlign w:val="center"/>
                </w:tcPr>
                <w:p w14:paraId="52DC17AA">
                  <w:pPr>
                    <w:pStyle w:val="130"/>
                    <w:rPr>
                      <w:color w:val="auto"/>
                    </w:rPr>
                  </w:pPr>
                  <w:r>
                    <w:rPr>
                      <w:color w:val="auto"/>
                    </w:rPr>
                    <w:t>/</w:t>
                  </w:r>
                </w:p>
              </w:tc>
              <w:tc>
                <w:tcPr>
                  <w:tcW w:w="876" w:type="pct"/>
                  <w:tcBorders>
                    <w:tl2br w:val="nil"/>
                    <w:tr2bl w:val="nil"/>
                  </w:tcBorders>
                  <w:vAlign w:val="center"/>
                </w:tcPr>
                <w:p w14:paraId="75EF5A9E">
                  <w:pPr>
                    <w:pStyle w:val="130"/>
                    <w:rPr>
                      <w:color w:val="auto"/>
                      <w:highlight w:val="yellow"/>
                    </w:rPr>
                  </w:pPr>
                  <w:r>
                    <w:rPr>
                      <w:rFonts w:hint="eastAsia"/>
                      <w:color w:val="auto"/>
                    </w:rPr>
                    <w:t>20000</w:t>
                  </w:r>
                </w:p>
              </w:tc>
            </w:tr>
          </w:tbl>
          <w:p w14:paraId="63C5140D">
            <w:pPr>
              <w:widowControl/>
              <w:adjustRightInd w:val="0"/>
              <w:snapToGrid w:val="0"/>
              <w:ind w:firstLine="480" w:firstLineChars="200"/>
              <w:jc w:val="left"/>
              <w:rPr>
                <w:color w:val="auto"/>
              </w:rPr>
            </w:pPr>
            <w:r>
              <w:rPr>
                <w:color w:val="auto"/>
                <w:kern w:val="0"/>
                <w:sz w:val="24"/>
                <w:lang w:bidi="ar"/>
              </w:rPr>
              <w:t>锅炉运行期间为满负荷运行</w:t>
            </w:r>
          </w:p>
          <w:p w14:paraId="5F1632BF">
            <w:pPr>
              <w:widowControl/>
              <w:spacing w:line="360" w:lineRule="auto"/>
              <w:ind w:firstLine="480" w:firstLineChars="200"/>
              <w:jc w:val="left"/>
              <w:rPr>
                <w:rFonts w:hint="default" w:ascii="Times New Roman" w:hAnsi="Times New Roman" w:cs="Times New Roman"/>
                <w:color w:val="auto"/>
                <w:kern w:val="0"/>
                <w:sz w:val="24"/>
                <w:highlight w:val="none"/>
                <w:lang w:val="en-US" w:eastAsia="zh-CN" w:bidi="ar"/>
              </w:rPr>
            </w:pPr>
            <w:r>
              <w:rPr>
                <w:rFonts w:hint="eastAsia" w:ascii="Times New Roman" w:hAnsi="Times New Roman" w:cs="Times New Roman"/>
                <w:color w:val="auto"/>
                <w:kern w:val="0"/>
                <w:sz w:val="24"/>
                <w:highlight w:val="none"/>
                <w:lang w:val="en-US" w:eastAsia="zh-CN" w:bidi="ar"/>
              </w:rPr>
              <w:t>①</w:t>
            </w:r>
            <w:r>
              <w:rPr>
                <w:rFonts w:hint="default" w:ascii="Times New Roman" w:hAnsi="Times New Roman" w:cs="Times New Roman"/>
                <w:color w:val="auto"/>
                <w:kern w:val="0"/>
                <w:sz w:val="24"/>
                <w:highlight w:val="none"/>
                <w:lang w:val="en-US" w:eastAsia="zh-CN" w:bidi="ar"/>
              </w:rPr>
              <w:t>生物质使用量按额定负荷(设备最大出力)计算，本项目新建</w:t>
            </w:r>
            <w:r>
              <w:rPr>
                <w:rFonts w:hint="eastAsia" w:cs="Times New Roman"/>
                <w:color w:val="auto"/>
                <w:kern w:val="0"/>
                <w:sz w:val="24"/>
                <w:highlight w:val="none"/>
                <w:lang w:val="en-US" w:eastAsia="zh-CN" w:bidi="ar"/>
              </w:rPr>
              <w:t>2</w:t>
            </w:r>
            <w:r>
              <w:rPr>
                <w:rFonts w:hint="default" w:ascii="Times New Roman" w:hAnsi="Times New Roman" w:cs="Times New Roman"/>
                <w:color w:val="auto"/>
                <w:kern w:val="0"/>
                <w:sz w:val="24"/>
                <w:highlight w:val="none"/>
                <w:lang w:val="en-US" w:eastAsia="zh-CN" w:bidi="ar"/>
              </w:rPr>
              <w:t>台</w:t>
            </w:r>
            <w:r>
              <w:rPr>
                <w:rFonts w:hint="eastAsia" w:cs="Times New Roman"/>
                <w:color w:val="auto"/>
                <w:kern w:val="0"/>
                <w:sz w:val="24"/>
                <w:highlight w:val="none"/>
                <w:lang w:val="en-US" w:eastAsia="zh-CN" w:bidi="ar"/>
              </w:rPr>
              <w:t>360</w:t>
            </w:r>
            <w:r>
              <w:rPr>
                <w:rFonts w:hint="default" w:ascii="Times New Roman" w:hAnsi="Times New Roman" w:cs="Times New Roman"/>
                <w:color w:val="auto"/>
                <w:kern w:val="0"/>
                <w:sz w:val="24"/>
                <w:highlight w:val="none"/>
                <w:lang w:val="en-US" w:eastAsia="zh-CN" w:bidi="ar"/>
              </w:rPr>
              <w:t>万Kcal</w:t>
            </w:r>
            <w:r>
              <w:rPr>
                <w:rFonts w:hint="eastAsia" w:cs="Times New Roman"/>
                <w:color w:val="auto"/>
                <w:kern w:val="0"/>
                <w:sz w:val="24"/>
                <w:highlight w:val="none"/>
                <w:lang w:val="en-US" w:eastAsia="zh-CN" w:bidi="ar"/>
              </w:rPr>
              <w:t>/</w:t>
            </w:r>
            <w:r>
              <w:rPr>
                <w:rFonts w:hint="default" w:ascii="Times New Roman" w:hAnsi="Times New Roman" w:cs="Times New Roman"/>
                <w:color w:val="auto"/>
                <w:kern w:val="0"/>
                <w:sz w:val="24"/>
                <w:highlight w:val="none"/>
                <w:lang w:val="en-US" w:eastAsia="zh-CN" w:bidi="ar"/>
              </w:rPr>
              <w:t>h</w:t>
            </w:r>
            <w:r>
              <w:rPr>
                <w:rFonts w:hint="eastAsia" w:cs="Times New Roman"/>
                <w:color w:val="auto"/>
                <w:kern w:val="0"/>
                <w:sz w:val="24"/>
                <w:highlight w:val="none"/>
                <w:lang w:val="en-US" w:eastAsia="zh-CN" w:bidi="ar"/>
              </w:rPr>
              <w:t>的</w:t>
            </w:r>
            <w:r>
              <w:rPr>
                <w:rFonts w:hint="default" w:ascii="Times New Roman" w:hAnsi="Times New Roman" w:cs="Times New Roman"/>
                <w:color w:val="auto"/>
                <w:kern w:val="0"/>
                <w:sz w:val="24"/>
                <w:highlight w:val="none"/>
                <w:lang w:val="en-US" w:eastAsia="zh-CN" w:bidi="ar"/>
              </w:rPr>
              <w:t>生物质热风炉用于原粮烘干。根据生物质锅炉消耗量计算公式:每小时消耗量-热风炉吨位*每小时额定发热量/燃料热值/锅炉热效率。</w:t>
            </w:r>
          </w:p>
          <w:p w14:paraId="125356D5">
            <w:pPr>
              <w:widowControl/>
              <w:spacing w:line="360" w:lineRule="auto"/>
              <w:ind w:firstLine="480" w:firstLineChars="200"/>
              <w:jc w:val="left"/>
              <w:rPr>
                <w:rFonts w:hint="default" w:ascii="Times New Roman" w:hAnsi="Times New Roman" w:cs="Times New Roman"/>
                <w:color w:val="auto"/>
                <w:kern w:val="0"/>
                <w:sz w:val="24"/>
                <w:highlight w:val="none"/>
                <w:lang w:val="en-US" w:eastAsia="zh-CN" w:bidi="ar"/>
              </w:rPr>
            </w:pPr>
            <w:r>
              <w:rPr>
                <w:rFonts w:hint="default" w:ascii="Times New Roman" w:hAnsi="Times New Roman" w:cs="Times New Roman"/>
                <w:color w:val="auto"/>
                <w:kern w:val="0"/>
                <w:sz w:val="24"/>
                <w:highlight w:val="none"/>
                <w:lang w:val="en-US" w:eastAsia="zh-CN" w:bidi="ar"/>
              </w:rPr>
              <w:t>式中</w:t>
            </w:r>
            <w:r>
              <w:rPr>
                <w:rFonts w:hint="eastAsia" w:cs="Times New Roman"/>
                <w:color w:val="auto"/>
                <w:kern w:val="0"/>
                <w:sz w:val="24"/>
                <w:highlight w:val="none"/>
                <w:lang w:val="en-US" w:eastAsia="zh-CN" w:bidi="ar"/>
              </w:rPr>
              <w:t>：</w:t>
            </w:r>
            <w:r>
              <w:rPr>
                <w:rFonts w:hint="default" w:ascii="Times New Roman" w:hAnsi="Times New Roman" w:cs="Times New Roman"/>
                <w:color w:val="auto"/>
                <w:kern w:val="0"/>
                <w:sz w:val="24"/>
                <w:highlight w:val="none"/>
                <w:lang w:val="en-US" w:eastAsia="zh-CN" w:bidi="ar"/>
              </w:rPr>
              <w:t>热风炉的额定发热量为</w:t>
            </w:r>
            <w:r>
              <w:rPr>
                <w:rFonts w:hint="eastAsia" w:cs="Times New Roman"/>
                <w:color w:val="auto"/>
                <w:kern w:val="0"/>
                <w:sz w:val="24"/>
                <w:highlight w:val="none"/>
                <w:lang w:val="en-US" w:eastAsia="zh-CN" w:bidi="ar"/>
              </w:rPr>
              <w:t>2*36</w:t>
            </w:r>
            <w:r>
              <w:rPr>
                <w:rFonts w:hint="default" w:ascii="Times New Roman" w:hAnsi="Times New Roman" w:cs="Times New Roman"/>
                <w:color w:val="auto"/>
                <w:kern w:val="0"/>
                <w:sz w:val="24"/>
                <w:highlight w:val="none"/>
                <w:lang w:val="en-US" w:eastAsia="zh-CN" w:bidi="ar"/>
              </w:rPr>
              <w:t>00000kcalh</w:t>
            </w:r>
            <w:r>
              <w:rPr>
                <w:rFonts w:hint="eastAsia" w:cs="Times New Roman"/>
                <w:color w:val="auto"/>
                <w:kern w:val="0"/>
                <w:sz w:val="24"/>
                <w:highlight w:val="none"/>
                <w:lang w:val="en-US" w:eastAsia="zh-CN" w:bidi="ar"/>
              </w:rPr>
              <w:t>，</w:t>
            </w:r>
            <w:r>
              <w:rPr>
                <w:rFonts w:hint="default" w:ascii="Times New Roman" w:hAnsi="Times New Roman" w:cs="Times New Roman"/>
                <w:color w:val="auto"/>
                <w:kern w:val="0"/>
                <w:sz w:val="24"/>
                <w:highlight w:val="none"/>
                <w:lang w:val="en-US" w:eastAsia="zh-CN" w:bidi="ar"/>
              </w:rPr>
              <w:t>燃料热值为3368kckg</w:t>
            </w:r>
            <w:r>
              <w:rPr>
                <w:rFonts w:hint="eastAsia" w:cs="Times New Roman"/>
                <w:color w:val="auto"/>
                <w:kern w:val="0"/>
                <w:sz w:val="24"/>
                <w:highlight w:val="none"/>
                <w:lang w:val="en-US" w:eastAsia="zh-CN" w:bidi="ar"/>
              </w:rPr>
              <w:t>。</w:t>
            </w:r>
            <w:r>
              <w:rPr>
                <w:rFonts w:hint="default" w:ascii="Times New Roman" w:hAnsi="Times New Roman" w:cs="Times New Roman"/>
                <w:color w:val="auto"/>
                <w:kern w:val="0"/>
                <w:sz w:val="24"/>
                <w:highlight w:val="none"/>
                <w:lang w:val="en-US" w:eastAsia="zh-CN" w:bidi="ar"/>
              </w:rPr>
              <w:t>热风炉的热效率取80%。</w:t>
            </w:r>
          </w:p>
          <w:p w14:paraId="757CD4CD">
            <w:pPr>
              <w:widowControl/>
              <w:spacing w:line="360" w:lineRule="auto"/>
              <w:ind w:left="479" w:leftChars="228" w:firstLine="0" w:firstLineChars="0"/>
              <w:jc w:val="left"/>
              <w:rPr>
                <w:rFonts w:hint="default" w:ascii="Times New Roman" w:hAnsi="Times New Roman" w:cs="Times New Roman"/>
                <w:color w:val="auto"/>
                <w:kern w:val="0"/>
                <w:sz w:val="24"/>
                <w:highlight w:val="none"/>
                <w:lang w:val="en-US" w:eastAsia="zh-CN" w:bidi="ar"/>
              </w:rPr>
            </w:pPr>
            <w:r>
              <w:rPr>
                <w:rFonts w:hint="default" w:ascii="Times New Roman" w:hAnsi="Times New Roman" w:cs="Times New Roman"/>
                <w:color w:val="auto"/>
                <w:kern w:val="0"/>
                <w:sz w:val="24"/>
                <w:highlight w:val="none"/>
                <w:lang w:val="en-US" w:eastAsia="zh-CN" w:bidi="ar"/>
              </w:rPr>
              <w:t>本项目小时最大负荷燃烧生物质成型燃料量计算如下</w:t>
            </w:r>
            <w:r>
              <w:rPr>
                <w:rFonts w:hint="eastAsia" w:cs="Times New Roman"/>
                <w:color w:val="auto"/>
                <w:kern w:val="0"/>
                <w:sz w:val="24"/>
                <w:highlight w:val="none"/>
                <w:lang w:val="en-US" w:eastAsia="zh-CN" w:bidi="ar"/>
              </w:rPr>
              <w:t>：2*36</w:t>
            </w:r>
            <w:r>
              <w:rPr>
                <w:rFonts w:hint="default" w:ascii="Times New Roman" w:hAnsi="Times New Roman" w:cs="Times New Roman"/>
                <w:color w:val="auto"/>
                <w:kern w:val="0"/>
                <w:sz w:val="24"/>
                <w:highlight w:val="none"/>
                <w:lang w:val="en-US" w:eastAsia="zh-CN" w:bidi="ar"/>
              </w:rPr>
              <w:t>00000kca/lh/3368kc/kg/80%x10</w:t>
            </w:r>
            <w:r>
              <w:rPr>
                <w:rFonts w:hint="default" w:ascii="Times New Roman" w:hAnsi="Times New Roman" w:cs="Times New Roman"/>
                <w:color w:val="auto"/>
                <w:kern w:val="0"/>
                <w:sz w:val="24"/>
                <w:highlight w:val="none"/>
                <w:vertAlign w:val="superscript"/>
                <w:lang w:val="en-US" w:eastAsia="zh-CN" w:bidi="ar"/>
              </w:rPr>
              <w:t>-3</w:t>
            </w:r>
            <w:r>
              <w:rPr>
                <w:rFonts w:hint="default" w:ascii="Times New Roman" w:hAnsi="Times New Roman" w:cs="Times New Roman"/>
                <w:color w:val="auto"/>
                <w:kern w:val="0"/>
                <w:sz w:val="24"/>
                <w:highlight w:val="none"/>
                <w:lang w:val="en-US" w:eastAsia="zh-CN" w:bidi="ar"/>
              </w:rPr>
              <w:t>x1h=</w:t>
            </w:r>
            <w:r>
              <w:rPr>
                <w:rFonts w:hint="eastAsia" w:cs="Times New Roman"/>
                <w:color w:val="auto"/>
                <w:kern w:val="0"/>
                <w:sz w:val="24"/>
                <w:highlight w:val="none"/>
                <w:lang w:val="en-US" w:eastAsia="zh-CN" w:bidi="ar"/>
              </w:rPr>
              <w:t>2.67</w:t>
            </w:r>
            <w:r>
              <w:rPr>
                <w:rFonts w:hint="default" w:ascii="Times New Roman" w:hAnsi="Times New Roman" w:cs="Times New Roman"/>
                <w:color w:val="auto"/>
                <w:kern w:val="0"/>
                <w:sz w:val="24"/>
                <w:highlight w:val="none"/>
                <w:lang w:val="en-US" w:eastAsia="zh-CN" w:bidi="ar"/>
              </w:rPr>
              <w:t>t/h</w:t>
            </w:r>
          </w:p>
          <w:p w14:paraId="2E73430F">
            <w:pPr>
              <w:widowControl/>
              <w:spacing w:line="360" w:lineRule="auto"/>
              <w:ind w:firstLine="480" w:firstLineChars="200"/>
              <w:jc w:val="left"/>
              <w:rPr>
                <w:rFonts w:hint="default" w:ascii="Times New Roman" w:hAnsi="Times New Roman" w:cs="Times New Roman"/>
                <w:color w:val="auto"/>
                <w:kern w:val="0"/>
                <w:sz w:val="24"/>
                <w:highlight w:val="none"/>
                <w:lang w:val="en-US" w:eastAsia="zh-CN" w:bidi="ar"/>
              </w:rPr>
            </w:pPr>
            <w:r>
              <w:rPr>
                <w:rFonts w:hint="default" w:ascii="Times New Roman" w:hAnsi="Times New Roman" w:cs="Times New Roman"/>
                <w:color w:val="auto"/>
                <w:kern w:val="0"/>
                <w:sz w:val="24"/>
                <w:highlight w:val="none"/>
                <w:lang w:val="en-US" w:eastAsia="zh-CN" w:bidi="ar"/>
              </w:rPr>
              <w:t>本项目年最大负荷燃烧生物质成型燃料量为</w:t>
            </w:r>
            <w:r>
              <w:rPr>
                <w:rFonts w:hint="eastAsia" w:cs="Times New Roman"/>
                <w:color w:val="auto"/>
                <w:kern w:val="0"/>
                <w:sz w:val="24"/>
                <w:highlight w:val="none"/>
                <w:lang w:val="en-US" w:eastAsia="zh-CN" w:bidi="ar"/>
              </w:rPr>
              <w:t>2181</w:t>
            </w:r>
            <w:r>
              <w:rPr>
                <w:rFonts w:hint="default" w:ascii="Times New Roman" w:hAnsi="Times New Roman" w:cs="Times New Roman"/>
                <w:color w:val="auto"/>
                <w:kern w:val="0"/>
                <w:sz w:val="24"/>
                <w:highlight w:val="none"/>
                <w:lang w:val="en-US" w:eastAsia="zh-CN" w:bidi="ar"/>
              </w:rPr>
              <w:t>t/a</w:t>
            </w:r>
            <w:r>
              <w:rPr>
                <w:rFonts w:hint="eastAsia" w:cs="Times New Roman"/>
                <w:color w:val="auto"/>
                <w:kern w:val="0"/>
                <w:sz w:val="24"/>
                <w:highlight w:val="none"/>
                <w:lang w:val="en-US" w:eastAsia="zh-CN" w:bidi="ar"/>
              </w:rPr>
              <w:t>。</w:t>
            </w:r>
          </w:p>
          <w:p w14:paraId="535D7E07">
            <w:pPr>
              <w:pStyle w:val="132"/>
              <w:spacing w:before="120"/>
              <w:ind w:firstLine="480"/>
              <w:rPr>
                <w:rFonts w:hint="default"/>
                <w:color w:val="auto"/>
              </w:rPr>
            </w:pPr>
            <w:r>
              <w:rPr>
                <w:rFonts w:hint="eastAsia"/>
                <w:color w:val="auto"/>
                <w:lang w:val="en-US" w:eastAsia="zh-CN"/>
              </w:rPr>
              <w:t>②</w:t>
            </w:r>
            <w:r>
              <w:rPr>
                <w:rFonts w:hint="default"/>
                <w:color w:val="auto"/>
              </w:rPr>
              <w:t>玉米原粮烘干过程水分蒸发量按照下列公式计算：</w:t>
            </w:r>
          </w:p>
          <w:p w14:paraId="39018FB5">
            <w:pPr>
              <w:pStyle w:val="133"/>
              <w:rPr>
                <w:rFonts w:hint="default" w:cs="Times New Roman"/>
                <w:color w:val="auto"/>
                <w:kern w:val="0"/>
              </w:rPr>
            </w:pPr>
            <w:r>
              <w:rPr>
                <w:rFonts w:hint="default" w:cs="Times New Roman"/>
                <w:color w:val="auto"/>
                <w:kern w:val="0"/>
                <w:position w:val="-30"/>
              </w:rPr>
              <w:object>
                <v:shape id="_x0000_i1025" o:spt="75" type="#_x0000_t75" style="height:34pt;width:88pt;" o:ole="t" filled="f" o:preferrelative="t" stroked="f" coordsize="21600,21600">
                  <v:path/>
                  <v:fill on="f" focussize="0,0"/>
                  <v:stroke on="f" joinstyle="miter"/>
                  <v:imagedata r:id="rId16" o:title=""/>
                  <o:lock v:ext="edit" aspectratio="t"/>
                  <w10:wrap type="none"/>
                  <w10:anchorlock/>
                </v:shape>
                <o:OLEObject Type="Embed" ProgID="Equation.3" ShapeID="_x0000_i1025" DrawAspect="Content" ObjectID="_1468075725" r:id="rId15">
                  <o:LockedField>false</o:LockedField>
                </o:OLEObject>
              </w:object>
            </w:r>
          </w:p>
          <w:p w14:paraId="06E550E9">
            <w:pPr>
              <w:pStyle w:val="127"/>
              <w:ind w:firstLine="480"/>
              <w:jc w:val="both"/>
              <w:rPr>
                <w:color w:val="auto"/>
              </w:rPr>
            </w:pPr>
            <w:r>
              <w:rPr>
                <w:color w:val="auto"/>
              </w:rPr>
              <w:t>式中：</w:t>
            </w:r>
          </w:p>
          <w:p w14:paraId="04FFD47F">
            <w:pPr>
              <w:pStyle w:val="127"/>
              <w:ind w:firstLine="480"/>
              <w:jc w:val="both"/>
              <w:rPr>
                <w:color w:val="auto"/>
              </w:rPr>
            </w:pPr>
            <w:r>
              <w:rPr>
                <w:color w:val="auto"/>
                <w:kern w:val="0"/>
                <w:position w:val="-6"/>
              </w:rPr>
              <w:object>
                <v:shape id="_x0000_i1026" o:spt="75" type="#_x0000_t75" style="height:13.95pt;width:13.95pt;" o:ole="t" filled="f" o:preferrelative="t" stroked="f" coordsize="21600,21600">
                  <v:path/>
                  <v:fill on="f" focussize="0,0"/>
                  <v:stroke on="f" joinstyle="miter"/>
                  <v:imagedata r:id="rId18" o:title=""/>
                  <o:lock v:ext="edit" aspectratio="t"/>
                  <w10:wrap type="none"/>
                  <w10:anchorlock/>
                </v:shape>
                <o:OLEObject Type="Embed" ProgID="Equation.3" ShapeID="_x0000_i1026" DrawAspect="Content" ObjectID="_1468075726" r:id="rId17">
                  <o:LockedField>false</o:LockedField>
                </o:OLEObject>
              </w:object>
            </w:r>
            <w:r>
              <w:rPr>
                <w:color w:val="auto"/>
              </w:rPr>
              <w:t>：水分蒸发量，t/a；</w:t>
            </w:r>
          </w:p>
          <w:p w14:paraId="7114DCBD">
            <w:pPr>
              <w:pStyle w:val="127"/>
              <w:ind w:firstLine="480"/>
              <w:jc w:val="both"/>
              <w:rPr>
                <w:color w:val="auto"/>
              </w:rPr>
            </w:pPr>
            <w:r>
              <w:rPr>
                <w:color w:val="auto"/>
                <w:kern w:val="0"/>
                <w:position w:val="-6"/>
              </w:rPr>
              <w:object>
                <v:shape id="_x0000_i1027" o:spt="75" type="#_x0000_t75" style="height:13.95pt;width:13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27" r:id="rId19">
                  <o:LockedField>false</o:LockedField>
                </o:OLEObject>
              </w:object>
            </w:r>
            <w:r>
              <w:rPr>
                <w:color w:val="auto"/>
              </w:rPr>
              <w:t>：处理量，（进入烘干塔的湿粮玉米量）取15000t；</w:t>
            </w:r>
          </w:p>
          <w:p w14:paraId="48B49DD9">
            <w:pPr>
              <w:pStyle w:val="127"/>
              <w:ind w:firstLine="480"/>
              <w:jc w:val="both"/>
              <w:rPr>
                <w:color w:val="auto"/>
              </w:rPr>
            </w:pPr>
            <w:r>
              <w:rPr>
                <w:color w:val="auto"/>
                <w:kern w:val="0"/>
                <w:position w:val="-10"/>
              </w:rPr>
              <w:object>
                <v:shape id="_x0000_i1028" o:spt="75" type="#_x0000_t75" style="height:17pt;width:13.95pt;" o:ole="t" filled="f" o:preferrelative="t" stroked="f" coordsize="21600,21600">
                  <v:path/>
                  <v:fill on="f" focussize="0,0"/>
                  <v:stroke on="f" joinstyle="miter"/>
                  <v:imagedata r:id="rId22" o:title=""/>
                  <o:lock v:ext="edit" aspectratio="t"/>
                  <w10:wrap type="none"/>
                  <w10:anchorlock/>
                </v:shape>
                <o:OLEObject Type="Embed" ProgID="Equation.3" ShapeID="_x0000_i1028" DrawAspect="Content" ObjectID="_1468075728" r:id="rId21">
                  <o:LockedField>false</o:LockedField>
                </o:OLEObject>
              </w:object>
            </w:r>
            <w:r>
              <w:rPr>
                <w:color w:val="auto"/>
              </w:rPr>
              <w:t>：进料含水量百分数，取30%；</w:t>
            </w:r>
          </w:p>
          <w:p w14:paraId="66A0CF0F">
            <w:pPr>
              <w:pStyle w:val="127"/>
              <w:ind w:firstLine="480"/>
              <w:jc w:val="both"/>
              <w:rPr>
                <w:color w:val="auto"/>
              </w:rPr>
            </w:pPr>
            <w:r>
              <w:rPr>
                <w:color w:val="auto"/>
                <w:kern w:val="0"/>
                <w:position w:val="-10"/>
              </w:rPr>
              <w:object>
                <v:shape id="_x0000_i1029" o:spt="75" type="#_x0000_t75" style="height:17pt;width:15pt;" o:ole="t" filled="f" o:preferrelative="t" stroked="f" coordsize="21600,21600">
                  <v:path/>
                  <v:fill on="f" focussize="0,0"/>
                  <v:stroke on="f" joinstyle="miter"/>
                  <v:imagedata r:id="rId24" o:title=""/>
                  <o:lock v:ext="edit" aspectratio="t"/>
                  <w10:wrap type="none"/>
                  <w10:anchorlock/>
                </v:shape>
                <o:OLEObject Type="Embed" ProgID="Equation.3" ShapeID="_x0000_i1029" DrawAspect="Content" ObjectID="_1468075729" r:id="rId23">
                  <o:LockedField>false</o:LockedField>
                </o:OLEObject>
              </w:object>
            </w:r>
            <w:r>
              <w:rPr>
                <w:color w:val="auto"/>
              </w:rPr>
              <w:t>：出料含水量百分数，取14%；</w:t>
            </w:r>
          </w:p>
          <w:p w14:paraId="3CE269F9">
            <w:pPr>
              <w:pStyle w:val="127"/>
              <w:ind w:firstLine="480"/>
              <w:jc w:val="both"/>
              <w:rPr>
                <w:color w:val="auto"/>
              </w:rPr>
            </w:pPr>
            <w:r>
              <w:rPr>
                <w:color w:val="auto"/>
              </w:rPr>
              <w:t>经计算，玉米水分蒸发量为</w:t>
            </w:r>
            <w:r>
              <w:rPr>
                <w:rFonts w:hint="eastAsia"/>
                <w:color w:val="auto"/>
              </w:rPr>
              <w:t>2790.70</w:t>
            </w:r>
            <w:r>
              <w:rPr>
                <w:color w:val="auto"/>
              </w:rPr>
              <w:t>t/a。</w:t>
            </w:r>
          </w:p>
          <w:p w14:paraId="2B7BA827">
            <w:pPr>
              <w:pStyle w:val="132"/>
              <w:spacing w:before="120"/>
              <w:ind w:firstLine="480"/>
              <w:jc w:val="both"/>
              <w:rPr>
                <w:rFonts w:hint="default"/>
                <w:color w:val="auto"/>
              </w:rPr>
            </w:pPr>
            <w:r>
              <w:rPr>
                <w:rFonts w:hint="default"/>
                <w:color w:val="auto"/>
              </w:rPr>
              <w:t>②</w:t>
            </w:r>
            <w:r>
              <w:rPr>
                <w:rFonts w:ascii="Calibri" w:hAnsi="Calibri" w:cs="Calibri"/>
                <w:color w:val="auto"/>
              </w:rPr>
              <w:t>水稻</w:t>
            </w:r>
            <w:r>
              <w:rPr>
                <w:rFonts w:hint="default"/>
                <w:color w:val="auto"/>
              </w:rPr>
              <w:t>原粮烘干过程水分蒸发量按照下列公式计算：</w:t>
            </w:r>
          </w:p>
          <w:p w14:paraId="69A619BD">
            <w:pPr>
              <w:pStyle w:val="133"/>
              <w:rPr>
                <w:rFonts w:hint="default" w:cs="Times New Roman"/>
                <w:color w:val="auto"/>
                <w:kern w:val="0"/>
              </w:rPr>
            </w:pPr>
            <w:r>
              <w:rPr>
                <w:rFonts w:hint="default" w:cs="Times New Roman"/>
                <w:color w:val="auto"/>
                <w:kern w:val="0"/>
                <w:position w:val="-30"/>
              </w:rPr>
              <w:object>
                <v:shape id="_x0000_i1030" o:spt="75" type="#_x0000_t75" style="height:34pt;width:88pt;" o:ole="t" filled="f" o:preferrelative="t" stroked="f" coordsize="21600,21600">
                  <v:path/>
                  <v:fill on="f" focussize="0,0"/>
                  <v:stroke on="f" joinstyle="miter"/>
                  <v:imagedata r:id="rId16" o:title=""/>
                  <o:lock v:ext="edit" aspectratio="t"/>
                  <w10:wrap type="none"/>
                  <w10:anchorlock/>
                </v:shape>
                <o:OLEObject Type="Embed" ProgID="Equation.3" ShapeID="_x0000_i1030" DrawAspect="Content" ObjectID="_1468075730" r:id="rId25">
                  <o:LockedField>false</o:LockedField>
                </o:OLEObject>
              </w:object>
            </w:r>
          </w:p>
          <w:p w14:paraId="338B75D4">
            <w:pPr>
              <w:pStyle w:val="127"/>
              <w:ind w:firstLine="480"/>
              <w:jc w:val="both"/>
              <w:rPr>
                <w:color w:val="auto"/>
              </w:rPr>
            </w:pPr>
            <w:r>
              <w:rPr>
                <w:color w:val="auto"/>
              </w:rPr>
              <w:t>式中：</w:t>
            </w:r>
          </w:p>
          <w:p w14:paraId="1BD5D523">
            <w:pPr>
              <w:pStyle w:val="127"/>
              <w:ind w:firstLine="480"/>
              <w:jc w:val="both"/>
              <w:rPr>
                <w:color w:val="auto"/>
              </w:rPr>
            </w:pPr>
            <w:r>
              <w:rPr>
                <w:color w:val="auto"/>
                <w:kern w:val="0"/>
                <w:position w:val="-6"/>
              </w:rPr>
              <w:object>
                <v:shape id="_x0000_i1031" o:spt="75" type="#_x0000_t75" style="height:13.95pt;width:13.95pt;" o:ole="t" filled="f" o:preferrelative="t" stroked="f" coordsize="21600,21600">
                  <v:path/>
                  <v:fill on="f" focussize="0,0"/>
                  <v:stroke on="f" joinstyle="miter"/>
                  <v:imagedata r:id="rId18" o:title=""/>
                  <o:lock v:ext="edit" aspectratio="t"/>
                  <w10:wrap type="none"/>
                  <w10:anchorlock/>
                </v:shape>
                <o:OLEObject Type="Embed" ProgID="Equation.3" ShapeID="_x0000_i1031" DrawAspect="Content" ObjectID="_1468075731" r:id="rId26">
                  <o:LockedField>false</o:LockedField>
                </o:OLEObject>
              </w:object>
            </w:r>
            <w:r>
              <w:rPr>
                <w:color w:val="auto"/>
              </w:rPr>
              <w:t>：水分蒸发量，t/a；</w:t>
            </w:r>
          </w:p>
          <w:p w14:paraId="7C0C7E8B">
            <w:pPr>
              <w:pStyle w:val="127"/>
              <w:ind w:firstLine="480"/>
              <w:jc w:val="both"/>
              <w:rPr>
                <w:color w:val="auto"/>
              </w:rPr>
            </w:pPr>
            <w:r>
              <w:rPr>
                <w:color w:val="auto"/>
                <w:kern w:val="0"/>
                <w:position w:val="-6"/>
              </w:rPr>
              <w:object>
                <v:shape id="_x0000_i1032" o:spt="75" type="#_x0000_t75" style="height:13.95pt;width:13pt;" o:ole="t" filled="f" o:preferrelative="t" stroked="f" coordsize="21600,21600">
                  <v:path/>
                  <v:fill on="f" focussize="0,0"/>
                  <v:stroke on="f" joinstyle="miter"/>
                  <v:imagedata r:id="rId20" o:title=""/>
                  <o:lock v:ext="edit" aspectratio="t"/>
                  <w10:wrap type="none"/>
                  <w10:anchorlock/>
                </v:shape>
                <o:OLEObject Type="Embed" ProgID="Equation.3" ShapeID="_x0000_i1032" DrawAspect="Content" ObjectID="_1468075732" r:id="rId27">
                  <o:LockedField>false</o:LockedField>
                </o:OLEObject>
              </w:object>
            </w:r>
            <w:r>
              <w:rPr>
                <w:color w:val="auto"/>
              </w:rPr>
              <w:t>：处理量，（进入烘干塔的湿粮</w:t>
            </w:r>
            <w:r>
              <w:rPr>
                <w:rFonts w:hint="eastAsia"/>
                <w:color w:val="auto"/>
              </w:rPr>
              <w:t>水稻</w:t>
            </w:r>
            <w:r>
              <w:rPr>
                <w:color w:val="auto"/>
              </w:rPr>
              <w:t>量）取</w:t>
            </w:r>
            <w:r>
              <w:rPr>
                <w:rFonts w:hint="eastAsia"/>
                <w:color w:val="auto"/>
              </w:rPr>
              <w:t>5000</w:t>
            </w:r>
            <w:r>
              <w:rPr>
                <w:color w:val="auto"/>
              </w:rPr>
              <w:t>t；</w:t>
            </w:r>
          </w:p>
          <w:p w14:paraId="1A6B8E89">
            <w:pPr>
              <w:pStyle w:val="127"/>
              <w:ind w:firstLine="480"/>
              <w:jc w:val="both"/>
              <w:rPr>
                <w:color w:val="auto"/>
              </w:rPr>
            </w:pPr>
            <w:r>
              <w:rPr>
                <w:color w:val="auto"/>
                <w:kern w:val="0"/>
                <w:position w:val="-10"/>
              </w:rPr>
              <w:object>
                <v:shape id="_x0000_i1033" o:spt="75" type="#_x0000_t75" style="height:17pt;width:13.95pt;" o:ole="t" filled="f" o:preferrelative="t" stroked="f" coordsize="21600,21600">
                  <v:path/>
                  <v:fill on="f" focussize="0,0"/>
                  <v:stroke on="f" joinstyle="miter"/>
                  <v:imagedata r:id="rId22" o:title=""/>
                  <o:lock v:ext="edit" aspectratio="t"/>
                  <w10:wrap type="none"/>
                  <w10:anchorlock/>
                </v:shape>
                <o:OLEObject Type="Embed" ProgID="Equation.3" ShapeID="_x0000_i1033" DrawAspect="Content" ObjectID="_1468075733" r:id="rId28">
                  <o:LockedField>false</o:LockedField>
                </o:OLEObject>
              </w:object>
            </w:r>
            <w:r>
              <w:rPr>
                <w:color w:val="auto"/>
              </w:rPr>
              <w:t>：进料含水量百分数，取</w:t>
            </w:r>
            <w:r>
              <w:rPr>
                <w:rFonts w:hint="eastAsia"/>
                <w:color w:val="auto"/>
              </w:rPr>
              <w:t>18</w:t>
            </w:r>
            <w:r>
              <w:rPr>
                <w:color w:val="auto"/>
              </w:rPr>
              <w:t>%；</w:t>
            </w:r>
          </w:p>
          <w:p w14:paraId="182BBFFC">
            <w:pPr>
              <w:pStyle w:val="127"/>
              <w:ind w:firstLine="480"/>
              <w:jc w:val="both"/>
              <w:rPr>
                <w:color w:val="auto"/>
              </w:rPr>
            </w:pPr>
            <w:r>
              <w:rPr>
                <w:color w:val="auto"/>
                <w:kern w:val="0"/>
                <w:position w:val="-10"/>
              </w:rPr>
              <w:object>
                <v:shape id="_x0000_i1034" o:spt="75" type="#_x0000_t75" style="height:17pt;width:15pt;" o:ole="t" filled="f" o:preferrelative="t" stroked="f" coordsize="21600,21600">
                  <v:path/>
                  <v:fill on="f" focussize="0,0"/>
                  <v:stroke on="f" joinstyle="miter"/>
                  <v:imagedata r:id="rId24" o:title=""/>
                  <o:lock v:ext="edit" aspectratio="t"/>
                  <w10:wrap type="none"/>
                  <w10:anchorlock/>
                </v:shape>
                <o:OLEObject Type="Embed" ProgID="Equation.3" ShapeID="_x0000_i1034" DrawAspect="Content" ObjectID="_1468075734" r:id="rId29">
                  <o:LockedField>false</o:LockedField>
                </o:OLEObject>
              </w:object>
            </w:r>
            <w:r>
              <w:rPr>
                <w:color w:val="auto"/>
              </w:rPr>
              <w:t>：出料含水量百分数，取1</w:t>
            </w:r>
            <w:r>
              <w:rPr>
                <w:rFonts w:hint="eastAsia"/>
                <w:color w:val="auto"/>
              </w:rPr>
              <w:t>4</w:t>
            </w:r>
            <w:r>
              <w:rPr>
                <w:color w:val="auto"/>
              </w:rPr>
              <w:t>%；</w:t>
            </w:r>
          </w:p>
          <w:p w14:paraId="400839DE">
            <w:pPr>
              <w:pStyle w:val="127"/>
              <w:ind w:firstLine="480"/>
              <w:jc w:val="both"/>
              <w:rPr>
                <w:color w:val="auto"/>
              </w:rPr>
            </w:pPr>
            <w:r>
              <w:rPr>
                <w:color w:val="auto"/>
              </w:rPr>
              <w:t>经计算，</w:t>
            </w:r>
            <w:r>
              <w:rPr>
                <w:rFonts w:hint="eastAsia"/>
                <w:color w:val="auto"/>
              </w:rPr>
              <w:t>水稻</w:t>
            </w:r>
            <w:r>
              <w:rPr>
                <w:color w:val="auto"/>
              </w:rPr>
              <w:t>水分蒸发量为</w:t>
            </w:r>
            <w:r>
              <w:rPr>
                <w:rFonts w:hint="eastAsia"/>
                <w:color w:val="auto"/>
              </w:rPr>
              <w:t>232.56</w:t>
            </w:r>
            <w:r>
              <w:rPr>
                <w:color w:val="auto"/>
              </w:rPr>
              <w:t>t/a。</w:t>
            </w:r>
          </w:p>
          <w:p w14:paraId="761AD503">
            <w:pPr>
              <w:tabs>
                <w:tab w:val="left" w:pos="6480"/>
              </w:tabs>
              <w:spacing w:line="360" w:lineRule="auto"/>
              <w:ind w:firstLine="480" w:firstLineChars="200"/>
              <w:rPr>
                <w:color w:val="auto"/>
                <w:kern w:val="0"/>
                <w:sz w:val="24"/>
                <w:lang w:bidi="ar"/>
              </w:rPr>
            </w:pPr>
            <w:r>
              <w:rPr>
                <w:rFonts w:hint="eastAsia"/>
                <w:color w:val="auto"/>
                <w:kern w:val="0"/>
                <w:sz w:val="24"/>
                <w:lang w:bidi="ar"/>
              </w:rPr>
              <w:t>因此，本项目水分蒸发量为</w:t>
            </w:r>
            <w:r>
              <w:rPr>
                <w:rFonts w:hint="eastAsia"/>
                <w:color w:val="auto"/>
                <w:sz w:val="24"/>
              </w:rPr>
              <w:t>2790.70+232.56=3023.26</w:t>
            </w:r>
            <w:r>
              <w:rPr>
                <w:rStyle w:val="46"/>
                <w:rFonts w:hint="eastAsia"/>
                <w:color w:val="auto"/>
              </w:rPr>
              <w:t>t/a</w:t>
            </w:r>
            <w:r>
              <w:rPr>
                <w:rFonts w:hint="eastAsia"/>
                <w:color w:val="auto"/>
                <w:kern w:val="0"/>
                <w:sz w:val="24"/>
                <w:lang w:bidi="ar"/>
              </w:rPr>
              <w:t>。</w:t>
            </w:r>
          </w:p>
          <w:p w14:paraId="1EAB6DBF">
            <w:pPr>
              <w:pStyle w:val="127"/>
              <w:ind w:firstLine="482"/>
              <w:jc w:val="both"/>
              <w:rPr>
                <w:b/>
                <w:bCs/>
                <w:color w:val="auto"/>
              </w:rPr>
            </w:pPr>
            <w:r>
              <w:rPr>
                <w:rFonts w:hint="eastAsia"/>
                <w:b/>
                <w:bCs/>
                <w:color w:val="auto"/>
              </w:rPr>
              <w:t>4</w:t>
            </w:r>
            <w:r>
              <w:rPr>
                <w:b/>
                <w:bCs/>
                <w:color w:val="auto"/>
              </w:rPr>
              <w:t>、生物质成型燃料消耗量</w:t>
            </w:r>
          </w:p>
          <w:p w14:paraId="18A67163">
            <w:pPr>
              <w:pStyle w:val="127"/>
              <w:ind w:firstLine="480"/>
              <w:jc w:val="both"/>
              <w:rPr>
                <w:color w:val="auto"/>
              </w:rPr>
            </w:pPr>
            <w:r>
              <w:rPr>
                <w:color w:val="auto"/>
              </w:rPr>
              <w:t>本项目生物质成型燃料分析检测报告由供应商提供，见附件</w:t>
            </w:r>
            <w:r>
              <w:rPr>
                <w:rFonts w:hint="eastAsia"/>
                <w:color w:val="auto"/>
              </w:rPr>
              <w:t>4</w:t>
            </w:r>
            <w:r>
              <w:rPr>
                <w:color w:val="auto"/>
              </w:rPr>
              <w:t>。</w:t>
            </w:r>
          </w:p>
          <w:p w14:paraId="08F3E0E0">
            <w:pPr>
              <w:pStyle w:val="127"/>
              <w:ind w:firstLine="480"/>
              <w:jc w:val="both"/>
              <w:rPr>
                <w:color w:val="auto"/>
              </w:rPr>
            </w:pPr>
            <w:r>
              <w:rPr>
                <w:color w:val="auto"/>
              </w:rPr>
              <w:t>玉米烘干能耗为E=</w:t>
            </w:r>
            <w:r>
              <w:rPr>
                <w:rFonts w:hint="eastAsia"/>
                <w:color w:val="auto"/>
              </w:rPr>
              <w:t>2790.70</w:t>
            </w:r>
            <w:r>
              <w:rPr>
                <w:color w:val="auto"/>
              </w:rPr>
              <w:t>t×5400kJ/kg=</w:t>
            </w:r>
            <w:r>
              <w:rPr>
                <w:rFonts w:hint="eastAsia"/>
                <w:color w:val="auto"/>
              </w:rPr>
              <w:t>1.507</w:t>
            </w:r>
            <w:r>
              <w:rPr>
                <w:color w:val="auto"/>
              </w:rPr>
              <w:t>×10</w:t>
            </w:r>
            <w:r>
              <w:rPr>
                <w:color w:val="auto"/>
                <w:vertAlign w:val="superscript"/>
              </w:rPr>
              <w:t>10</w:t>
            </w:r>
            <w:r>
              <w:rPr>
                <w:color w:val="auto"/>
              </w:rPr>
              <w:t>kJ=</w:t>
            </w:r>
            <w:r>
              <w:rPr>
                <w:rFonts w:hint="eastAsia"/>
                <w:color w:val="auto"/>
              </w:rPr>
              <w:t>1.507</w:t>
            </w:r>
            <w:r>
              <w:rPr>
                <w:color w:val="auto"/>
              </w:rPr>
              <w:t>×10</w:t>
            </w:r>
            <w:r>
              <w:rPr>
                <w:color w:val="auto"/>
                <w:vertAlign w:val="superscript"/>
              </w:rPr>
              <w:t>7</w:t>
            </w:r>
            <w:r>
              <w:rPr>
                <w:color w:val="auto"/>
              </w:rPr>
              <w:t>MJ</w:t>
            </w:r>
          </w:p>
          <w:p w14:paraId="407A22B2">
            <w:pPr>
              <w:pStyle w:val="127"/>
              <w:ind w:firstLine="480"/>
              <w:jc w:val="both"/>
              <w:rPr>
                <w:color w:val="auto"/>
              </w:rPr>
            </w:pPr>
            <w:r>
              <w:rPr>
                <w:color w:val="auto"/>
              </w:rPr>
              <w:t>水稻烘干能耗为E=</w:t>
            </w:r>
            <w:r>
              <w:rPr>
                <w:rFonts w:hint="eastAsia"/>
                <w:color w:val="auto"/>
              </w:rPr>
              <w:t>232.56</w:t>
            </w:r>
            <w:r>
              <w:rPr>
                <w:color w:val="auto"/>
              </w:rPr>
              <w:t>t×5400kJ/kg=</w:t>
            </w:r>
            <w:r>
              <w:rPr>
                <w:rFonts w:hint="eastAsia"/>
                <w:color w:val="auto"/>
              </w:rPr>
              <w:t>0.126</w:t>
            </w:r>
            <w:r>
              <w:rPr>
                <w:color w:val="auto"/>
              </w:rPr>
              <w:t>×10</w:t>
            </w:r>
            <w:r>
              <w:rPr>
                <w:color w:val="auto"/>
                <w:vertAlign w:val="superscript"/>
              </w:rPr>
              <w:t>10</w:t>
            </w:r>
            <w:r>
              <w:rPr>
                <w:color w:val="auto"/>
              </w:rPr>
              <w:t>kJ=</w:t>
            </w:r>
            <w:r>
              <w:rPr>
                <w:rFonts w:hint="eastAsia"/>
                <w:color w:val="auto"/>
              </w:rPr>
              <w:t>0.126</w:t>
            </w:r>
            <w:r>
              <w:rPr>
                <w:color w:val="auto"/>
              </w:rPr>
              <w:t>×10</w:t>
            </w:r>
            <w:r>
              <w:rPr>
                <w:color w:val="auto"/>
                <w:vertAlign w:val="superscript"/>
              </w:rPr>
              <w:t>7</w:t>
            </w:r>
            <w:r>
              <w:rPr>
                <w:color w:val="auto"/>
              </w:rPr>
              <w:t>MJ</w:t>
            </w:r>
          </w:p>
          <w:p w14:paraId="75DAC8A1">
            <w:pPr>
              <w:pStyle w:val="127"/>
              <w:ind w:firstLine="480"/>
              <w:jc w:val="both"/>
              <w:rPr>
                <w:color w:val="auto"/>
              </w:rPr>
            </w:pPr>
            <w:r>
              <w:rPr>
                <w:color w:val="auto"/>
              </w:rPr>
              <w:t>本项目年燃烧生物质成型燃料量计算如下：</w:t>
            </w:r>
          </w:p>
          <w:p w14:paraId="4935010D">
            <w:pPr>
              <w:pStyle w:val="127"/>
              <w:ind w:firstLine="480"/>
              <w:jc w:val="both"/>
              <w:rPr>
                <w:color w:val="auto"/>
              </w:rPr>
            </w:pPr>
            <w:r>
              <w:rPr>
                <w:color w:val="auto"/>
              </w:rPr>
              <w:t>烘干玉米生物质燃料消耗量为：</w:t>
            </w:r>
          </w:p>
          <w:p w14:paraId="241C4A22">
            <w:pPr>
              <w:pStyle w:val="127"/>
              <w:ind w:firstLine="480"/>
              <w:jc w:val="both"/>
              <w:rPr>
                <w:color w:val="auto"/>
              </w:rPr>
            </w:pPr>
            <w:r>
              <w:rPr>
                <w:rFonts w:hint="eastAsia"/>
                <w:color w:val="auto"/>
              </w:rPr>
              <w:t>1.507</w:t>
            </w:r>
            <w:r>
              <w:rPr>
                <w:color w:val="auto"/>
              </w:rPr>
              <w:t>×10</w:t>
            </w:r>
            <w:r>
              <w:rPr>
                <w:color w:val="auto"/>
                <w:vertAlign w:val="superscript"/>
              </w:rPr>
              <w:t>7</w:t>
            </w:r>
            <w:r>
              <w:rPr>
                <w:color w:val="auto"/>
              </w:rPr>
              <w:t>MJ÷14.083MJ/kg÷80%×10</w:t>
            </w:r>
            <w:r>
              <w:rPr>
                <w:color w:val="auto"/>
                <w:vertAlign w:val="superscript"/>
              </w:rPr>
              <w:t>-3</w:t>
            </w:r>
            <w:r>
              <w:rPr>
                <w:color w:val="auto"/>
              </w:rPr>
              <w:t>=</w:t>
            </w:r>
            <w:r>
              <w:rPr>
                <w:rFonts w:hint="eastAsia"/>
                <w:color w:val="auto"/>
              </w:rPr>
              <w:t>1337.606</w:t>
            </w:r>
            <w:r>
              <w:rPr>
                <w:color w:val="auto"/>
              </w:rPr>
              <w:t>t/a</w:t>
            </w:r>
          </w:p>
          <w:p w14:paraId="7092045E">
            <w:pPr>
              <w:pStyle w:val="127"/>
              <w:ind w:firstLine="480"/>
              <w:jc w:val="both"/>
              <w:rPr>
                <w:color w:val="auto"/>
              </w:rPr>
            </w:pPr>
            <w:r>
              <w:rPr>
                <w:color w:val="auto"/>
              </w:rPr>
              <w:t>烘干水稻生物质燃料消耗量为：</w:t>
            </w:r>
          </w:p>
          <w:p w14:paraId="68642B48">
            <w:pPr>
              <w:pStyle w:val="127"/>
              <w:ind w:firstLine="480"/>
              <w:jc w:val="both"/>
              <w:rPr>
                <w:color w:val="auto"/>
              </w:rPr>
            </w:pPr>
            <w:r>
              <w:rPr>
                <w:rFonts w:hint="eastAsia"/>
                <w:color w:val="auto"/>
              </w:rPr>
              <w:t>0.126</w:t>
            </w:r>
            <w:r>
              <w:rPr>
                <w:color w:val="auto"/>
              </w:rPr>
              <w:t>×10</w:t>
            </w:r>
            <w:r>
              <w:rPr>
                <w:color w:val="auto"/>
                <w:vertAlign w:val="superscript"/>
              </w:rPr>
              <w:t>7</w:t>
            </w:r>
            <w:r>
              <w:rPr>
                <w:color w:val="auto"/>
              </w:rPr>
              <w:t>MJ÷14.083MJ/kg÷80%×10</w:t>
            </w:r>
            <w:r>
              <w:rPr>
                <w:color w:val="auto"/>
                <w:vertAlign w:val="superscript"/>
              </w:rPr>
              <w:t>-3</w:t>
            </w:r>
            <w:r>
              <w:rPr>
                <w:color w:val="auto"/>
              </w:rPr>
              <w:t>=</w:t>
            </w:r>
            <w:r>
              <w:rPr>
                <w:rFonts w:hint="eastAsia"/>
                <w:color w:val="auto"/>
              </w:rPr>
              <w:t>111.837</w:t>
            </w:r>
            <w:r>
              <w:rPr>
                <w:color w:val="auto"/>
              </w:rPr>
              <w:t>t/a</w:t>
            </w:r>
          </w:p>
          <w:p w14:paraId="4AD55932">
            <w:pPr>
              <w:pStyle w:val="127"/>
              <w:ind w:firstLine="480"/>
              <w:jc w:val="both"/>
              <w:rPr>
                <w:color w:val="auto"/>
              </w:rPr>
            </w:pPr>
            <w:r>
              <w:rPr>
                <w:color w:val="auto"/>
              </w:rPr>
              <w:t>生物质燃料消耗量为：</w:t>
            </w:r>
            <w:r>
              <w:rPr>
                <w:rFonts w:hint="eastAsia"/>
                <w:color w:val="auto"/>
              </w:rPr>
              <w:t>1337.606</w:t>
            </w:r>
            <w:r>
              <w:rPr>
                <w:color w:val="auto"/>
              </w:rPr>
              <w:t>t/a+</w:t>
            </w:r>
            <w:r>
              <w:rPr>
                <w:rFonts w:hint="eastAsia"/>
                <w:color w:val="auto"/>
              </w:rPr>
              <w:t>111.837</w:t>
            </w:r>
            <w:r>
              <w:rPr>
                <w:color w:val="auto"/>
              </w:rPr>
              <w:t>t/a=</w:t>
            </w:r>
            <w:r>
              <w:rPr>
                <w:rFonts w:hint="eastAsia"/>
                <w:color w:val="auto"/>
              </w:rPr>
              <w:t>1449.443</w:t>
            </w:r>
            <w:r>
              <w:rPr>
                <w:color w:val="auto"/>
              </w:rPr>
              <w:t>t/a</w:t>
            </w:r>
          </w:p>
          <w:p w14:paraId="7F91E99A">
            <w:pPr>
              <w:pStyle w:val="127"/>
              <w:ind w:firstLine="480"/>
              <w:jc w:val="both"/>
              <w:rPr>
                <w:color w:val="auto"/>
              </w:rPr>
            </w:pPr>
            <w:r>
              <w:rPr>
                <w:color w:val="auto"/>
              </w:rPr>
              <w:t>经计算，本项目年燃烧生物质总量为</w:t>
            </w:r>
            <w:r>
              <w:rPr>
                <w:rFonts w:hint="eastAsia"/>
                <w:color w:val="auto"/>
              </w:rPr>
              <w:t>1450</w:t>
            </w:r>
            <w:r>
              <w:rPr>
                <w:color w:val="auto"/>
              </w:rPr>
              <w:t>t/a。</w:t>
            </w:r>
          </w:p>
          <w:p w14:paraId="7AE49D7E">
            <w:pPr>
              <w:tabs>
                <w:tab w:val="left" w:pos="6480"/>
              </w:tabs>
              <w:spacing w:line="360" w:lineRule="auto"/>
              <w:ind w:firstLine="480" w:firstLineChars="200"/>
              <w:rPr>
                <w:rFonts w:hint="eastAsia" w:ascii="Times New Roman" w:hAnsi="Times New Roman" w:cs="Times New Roman"/>
                <w:color w:val="auto"/>
                <w:kern w:val="0"/>
                <w:sz w:val="24"/>
                <w:highlight w:val="none"/>
                <w:lang w:val="en-US" w:eastAsia="zh-CN" w:bidi="ar"/>
              </w:rPr>
            </w:pPr>
            <w:r>
              <w:rPr>
                <w:rFonts w:hint="eastAsia" w:ascii="Times New Roman" w:hAnsi="Times New Roman" w:cs="Times New Roman"/>
                <w:color w:val="auto"/>
                <w:kern w:val="0"/>
                <w:sz w:val="24"/>
                <w:highlight w:val="none"/>
                <w:lang w:val="en-US" w:eastAsia="zh-CN" w:bidi="ar"/>
              </w:rPr>
              <w:t>本项目采取按额定负荷(设备最大出力)生物质燃料量，本项目年最大负荷燃烧生物质成型燃料量为2181t/a</w:t>
            </w:r>
            <w:r>
              <w:rPr>
                <w:rFonts w:hint="eastAsia" w:cs="Times New Roman"/>
                <w:color w:val="auto"/>
                <w:kern w:val="0"/>
                <w:sz w:val="24"/>
                <w:highlight w:val="none"/>
                <w:lang w:val="en-US" w:eastAsia="zh-CN" w:bidi="ar"/>
              </w:rPr>
              <w:t>，本项目两台均为360万kcal/h燃生物质热风炉，烘干能耗相等，因此燃料量均为1090.5t/a</w:t>
            </w:r>
            <w:r>
              <w:rPr>
                <w:rFonts w:hint="eastAsia" w:ascii="Times New Roman" w:hAnsi="Times New Roman" w:cs="Times New Roman"/>
                <w:color w:val="auto"/>
                <w:kern w:val="0"/>
                <w:sz w:val="24"/>
                <w:highlight w:val="none"/>
                <w:lang w:val="en-US" w:eastAsia="zh-CN" w:bidi="ar"/>
              </w:rPr>
              <w:t>。</w:t>
            </w:r>
          </w:p>
          <w:p w14:paraId="2EE3E8ED">
            <w:pPr>
              <w:tabs>
                <w:tab w:val="left" w:pos="6480"/>
              </w:tabs>
              <w:spacing w:line="360" w:lineRule="auto"/>
              <w:ind w:firstLine="482" w:firstLineChars="200"/>
              <w:rPr>
                <w:b/>
                <w:bCs/>
                <w:color w:val="auto"/>
                <w:sz w:val="24"/>
              </w:rPr>
            </w:pPr>
            <w:r>
              <w:rPr>
                <w:rFonts w:hint="eastAsia"/>
                <w:b/>
                <w:bCs/>
                <w:color w:val="auto"/>
                <w:sz w:val="24"/>
              </w:rPr>
              <w:t>5</w:t>
            </w:r>
            <w:r>
              <w:rPr>
                <w:b/>
                <w:bCs/>
                <w:color w:val="auto"/>
                <w:sz w:val="24"/>
              </w:rPr>
              <w:t>、产品方案</w:t>
            </w:r>
          </w:p>
          <w:p w14:paraId="56D2C11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color w:val="auto"/>
                <w:sz w:val="24"/>
              </w:rPr>
            </w:pPr>
            <w:r>
              <w:rPr>
                <w:color w:val="auto"/>
                <w:sz w:val="24"/>
              </w:rPr>
              <w:t>本项目建设</w:t>
            </w:r>
            <w:r>
              <w:rPr>
                <w:rFonts w:hint="eastAsia"/>
                <w:color w:val="auto"/>
                <w:sz w:val="24"/>
              </w:rPr>
              <w:t>2座烘干能力为300吨的烘干塔</w:t>
            </w:r>
            <w:r>
              <w:rPr>
                <w:color w:val="auto"/>
                <w:sz w:val="24"/>
              </w:rPr>
              <w:t>，及配套</w:t>
            </w:r>
            <w:r>
              <w:rPr>
                <w:rFonts w:hint="eastAsia"/>
                <w:color w:val="auto"/>
                <w:sz w:val="24"/>
              </w:rPr>
              <w:t>2台360万kcal/h的</w:t>
            </w:r>
            <w:r>
              <w:rPr>
                <w:color w:val="auto"/>
                <w:sz w:val="24"/>
              </w:rPr>
              <w:t>燃生物质热风炉，用于玉米</w:t>
            </w:r>
            <w:r>
              <w:rPr>
                <w:rFonts w:hint="eastAsia"/>
                <w:color w:val="auto"/>
                <w:sz w:val="24"/>
                <w:lang w:val="en-US" w:eastAsia="zh-CN"/>
              </w:rPr>
              <w:t>和水稻</w:t>
            </w:r>
            <w:r>
              <w:rPr>
                <w:color w:val="auto"/>
                <w:sz w:val="24"/>
              </w:rPr>
              <w:t>的烘干，</w:t>
            </w:r>
            <w:r>
              <w:rPr>
                <w:rFonts w:hint="eastAsia"/>
                <w:color w:val="auto"/>
                <w:sz w:val="24"/>
              </w:rPr>
              <w:t>年烘干玉米15000吨，水稻5000吨。</w:t>
            </w:r>
            <w:r>
              <w:rPr>
                <w:color w:val="auto"/>
                <w:sz w:val="24"/>
              </w:rPr>
              <w:t>厂区产品方案见</w:t>
            </w:r>
            <w:r>
              <w:rPr>
                <w:rFonts w:hint="eastAsia"/>
                <w:color w:val="auto"/>
                <w:sz w:val="24"/>
              </w:rPr>
              <w:t>下表</w:t>
            </w:r>
            <w:r>
              <w:rPr>
                <w:color w:val="auto"/>
                <w:sz w:val="24"/>
              </w:rPr>
              <w:t>。</w:t>
            </w:r>
          </w:p>
          <w:p w14:paraId="00068E96">
            <w:pPr>
              <w:pStyle w:val="57"/>
              <w:spacing w:line="360" w:lineRule="auto"/>
              <w:ind w:firstLine="422"/>
              <w:jc w:val="center"/>
              <w:rPr>
                <w:b/>
                <w:bCs/>
                <w:color w:val="auto"/>
                <w:sz w:val="21"/>
                <w:szCs w:val="21"/>
              </w:rPr>
            </w:pPr>
            <w:r>
              <w:rPr>
                <w:b/>
                <w:bCs/>
                <w:color w:val="auto"/>
                <w:sz w:val="21"/>
                <w:szCs w:val="21"/>
              </w:rPr>
              <w:t>表2-</w:t>
            </w:r>
            <w:r>
              <w:rPr>
                <w:rFonts w:hint="eastAsia"/>
                <w:b/>
                <w:bCs/>
                <w:color w:val="auto"/>
                <w:sz w:val="21"/>
                <w:szCs w:val="21"/>
              </w:rPr>
              <w:t>6</w:t>
            </w:r>
            <w:r>
              <w:rPr>
                <w:b/>
                <w:bCs/>
                <w:color w:val="auto"/>
                <w:sz w:val="21"/>
                <w:szCs w:val="21"/>
              </w:rPr>
              <w:t xml:space="preserve">  厂区产品方案一览表</w:t>
            </w:r>
          </w:p>
          <w:tbl>
            <w:tblPr>
              <w:tblStyle w:val="35"/>
              <w:tblW w:w="498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2579"/>
              <w:gridCol w:w="996"/>
              <w:gridCol w:w="1121"/>
              <w:gridCol w:w="1618"/>
            </w:tblGrid>
            <w:tr w14:paraId="4B3A7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1011" w:type="pct"/>
                  <w:vAlign w:val="center"/>
                </w:tcPr>
                <w:p w14:paraId="30CB79E5">
                  <w:pPr>
                    <w:widowControl/>
                    <w:adjustRightInd w:val="0"/>
                    <w:snapToGrid w:val="0"/>
                    <w:jc w:val="center"/>
                    <w:rPr>
                      <w:color w:val="auto"/>
                      <w:kern w:val="0"/>
                      <w:szCs w:val="21"/>
                    </w:rPr>
                  </w:pPr>
                  <w:r>
                    <w:rPr>
                      <w:color w:val="auto"/>
                      <w:kern w:val="0"/>
                      <w:szCs w:val="21"/>
                    </w:rPr>
                    <w:t>序号</w:t>
                  </w:r>
                </w:p>
              </w:tc>
              <w:tc>
                <w:tcPr>
                  <w:tcW w:w="1628" w:type="pct"/>
                  <w:vAlign w:val="center"/>
                </w:tcPr>
                <w:p w14:paraId="1412D69D">
                  <w:pPr>
                    <w:widowControl/>
                    <w:adjustRightInd w:val="0"/>
                    <w:snapToGrid w:val="0"/>
                    <w:jc w:val="center"/>
                    <w:rPr>
                      <w:color w:val="auto"/>
                      <w:kern w:val="0"/>
                      <w:szCs w:val="21"/>
                    </w:rPr>
                  </w:pPr>
                  <w:r>
                    <w:rPr>
                      <w:color w:val="auto"/>
                      <w:kern w:val="0"/>
                      <w:szCs w:val="21"/>
                    </w:rPr>
                    <w:t>名称</w:t>
                  </w:r>
                </w:p>
              </w:tc>
              <w:tc>
                <w:tcPr>
                  <w:tcW w:w="629" w:type="pct"/>
                  <w:vAlign w:val="center"/>
                </w:tcPr>
                <w:p w14:paraId="669D53D5">
                  <w:pPr>
                    <w:widowControl/>
                    <w:adjustRightInd w:val="0"/>
                    <w:snapToGrid w:val="0"/>
                    <w:jc w:val="center"/>
                    <w:rPr>
                      <w:color w:val="auto"/>
                      <w:kern w:val="0"/>
                      <w:szCs w:val="21"/>
                    </w:rPr>
                  </w:pPr>
                  <w:r>
                    <w:rPr>
                      <w:color w:val="auto"/>
                      <w:kern w:val="0"/>
                      <w:szCs w:val="21"/>
                    </w:rPr>
                    <w:t>单位</w:t>
                  </w:r>
                </w:p>
              </w:tc>
              <w:tc>
                <w:tcPr>
                  <w:tcW w:w="708" w:type="pct"/>
                  <w:vAlign w:val="center"/>
                </w:tcPr>
                <w:p w14:paraId="0AD46F3D">
                  <w:pPr>
                    <w:widowControl/>
                    <w:adjustRightInd w:val="0"/>
                    <w:snapToGrid w:val="0"/>
                    <w:jc w:val="center"/>
                    <w:rPr>
                      <w:color w:val="auto"/>
                      <w:kern w:val="0"/>
                      <w:szCs w:val="21"/>
                    </w:rPr>
                  </w:pPr>
                  <w:r>
                    <w:rPr>
                      <w:color w:val="auto"/>
                      <w:kern w:val="0"/>
                      <w:szCs w:val="21"/>
                    </w:rPr>
                    <w:t>产量</w:t>
                  </w:r>
                </w:p>
              </w:tc>
              <w:tc>
                <w:tcPr>
                  <w:tcW w:w="1022" w:type="pct"/>
                  <w:vAlign w:val="center"/>
                </w:tcPr>
                <w:p w14:paraId="5E99583C">
                  <w:pPr>
                    <w:widowControl/>
                    <w:adjustRightInd w:val="0"/>
                    <w:snapToGrid w:val="0"/>
                    <w:jc w:val="center"/>
                    <w:rPr>
                      <w:color w:val="auto"/>
                      <w:kern w:val="0"/>
                      <w:szCs w:val="21"/>
                    </w:rPr>
                  </w:pPr>
                  <w:r>
                    <w:rPr>
                      <w:color w:val="auto"/>
                      <w:kern w:val="0"/>
                      <w:szCs w:val="21"/>
                    </w:rPr>
                    <w:t>备注</w:t>
                  </w:r>
                </w:p>
              </w:tc>
            </w:tr>
            <w:tr w14:paraId="680B5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1011" w:type="pct"/>
                  <w:vAlign w:val="center"/>
                </w:tcPr>
                <w:p w14:paraId="04B5E364">
                  <w:pPr>
                    <w:widowControl/>
                    <w:adjustRightInd w:val="0"/>
                    <w:snapToGrid w:val="0"/>
                    <w:jc w:val="center"/>
                    <w:rPr>
                      <w:color w:val="auto"/>
                      <w:kern w:val="0"/>
                      <w:szCs w:val="21"/>
                    </w:rPr>
                  </w:pPr>
                  <w:r>
                    <w:rPr>
                      <w:color w:val="auto"/>
                      <w:kern w:val="0"/>
                      <w:szCs w:val="21"/>
                    </w:rPr>
                    <w:t>1</w:t>
                  </w:r>
                </w:p>
              </w:tc>
              <w:tc>
                <w:tcPr>
                  <w:tcW w:w="1628" w:type="pct"/>
                  <w:vAlign w:val="center"/>
                </w:tcPr>
                <w:p w14:paraId="5C873038">
                  <w:pPr>
                    <w:widowControl/>
                    <w:adjustRightInd w:val="0"/>
                    <w:snapToGrid w:val="0"/>
                    <w:jc w:val="center"/>
                    <w:rPr>
                      <w:color w:val="auto"/>
                      <w:kern w:val="0"/>
                      <w:szCs w:val="21"/>
                    </w:rPr>
                  </w:pPr>
                  <w:r>
                    <w:rPr>
                      <w:color w:val="auto"/>
                      <w:kern w:val="0"/>
                      <w:szCs w:val="21"/>
                    </w:rPr>
                    <w:t>烘干玉米</w:t>
                  </w:r>
                  <w:r>
                    <w:rPr>
                      <w:rFonts w:hint="eastAsia"/>
                      <w:color w:val="auto"/>
                      <w:kern w:val="0"/>
                      <w:szCs w:val="21"/>
                    </w:rPr>
                    <w:t>（含水率14%）</w:t>
                  </w:r>
                </w:p>
              </w:tc>
              <w:tc>
                <w:tcPr>
                  <w:tcW w:w="629" w:type="pct"/>
                  <w:vAlign w:val="center"/>
                </w:tcPr>
                <w:p w14:paraId="57A61EB9">
                  <w:pPr>
                    <w:widowControl/>
                    <w:adjustRightInd w:val="0"/>
                    <w:snapToGrid w:val="0"/>
                    <w:jc w:val="center"/>
                    <w:rPr>
                      <w:color w:val="auto"/>
                      <w:kern w:val="0"/>
                      <w:szCs w:val="21"/>
                    </w:rPr>
                  </w:pPr>
                  <w:r>
                    <w:rPr>
                      <w:color w:val="auto"/>
                      <w:kern w:val="0"/>
                      <w:szCs w:val="21"/>
                    </w:rPr>
                    <w:t>t/a</w:t>
                  </w:r>
                </w:p>
              </w:tc>
              <w:tc>
                <w:tcPr>
                  <w:tcW w:w="708" w:type="pct"/>
                  <w:vAlign w:val="center"/>
                </w:tcPr>
                <w:p w14:paraId="6AA149EF">
                  <w:pPr>
                    <w:widowControl/>
                    <w:adjustRightInd w:val="0"/>
                    <w:snapToGrid w:val="0"/>
                    <w:jc w:val="center"/>
                    <w:rPr>
                      <w:rFonts w:hint="eastAsia" w:eastAsia="宋体"/>
                      <w:color w:val="auto"/>
                      <w:kern w:val="0"/>
                      <w:szCs w:val="21"/>
                      <w:lang w:eastAsia="zh-CN"/>
                    </w:rPr>
                  </w:pPr>
                  <w:r>
                    <w:rPr>
                      <w:rFonts w:hint="eastAsia"/>
                      <w:color w:val="auto"/>
                      <w:kern w:val="0"/>
                      <w:szCs w:val="21"/>
                      <w:lang w:eastAsia="zh-CN"/>
                    </w:rPr>
                    <w:t>12190.96</w:t>
                  </w:r>
                </w:p>
              </w:tc>
              <w:tc>
                <w:tcPr>
                  <w:tcW w:w="1022" w:type="pct"/>
                  <w:vAlign w:val="center"/>
                </w:tcPr>
                <w:p w14:paraId="6D676859">
                  <w:pPr>
                    <w:widowControl/>
                    <w:adjustRightInd w:val="0"/>
                    <w:snapToGrid w:val="0"/>
                    <w:jc w:val="center"/>
                    <w:rPr>
                      <w:color w:val="auto"/>
                      <w:kern w:val="0"/>
                      <w:szCs w:val="21"/>
                    </w:rPr>
                  </w:pPr>
                  <w:r>
                    <w:rPr>
                      <w:color w:val="auto"/>
                      <w:kern w:val="0"/>
                      <w:szCs w:val="21"/>
                    </w:rPr>
                    <w:t>外售</w:t>
                  </w:r>
                </w:p>
              </w:tc>
            </w:tr>
            <w:tr w14:paraId="01E11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1011" w:type="pct"/>
                  <w:vAlign w:val="center"/>
                </w:tcPr>
                <w:p w14:paraId="66B27727">
                  <w:pPr>
                    <w:widowControl/>
                    <w:adjustRightInd w:val="0"/>
                    <w:snapToGrid w:val="0"/>
                    <w:jc w:val="center"/>
                    <w:rPr>
                      <w:color w:val="auto"/>
                      <w:kern w:val="0"/>
                      <w:szCs w:val="21"/>
                    </w:rPr>
                  </w:pPr>
                  <w:r>
                    <w:rPr>
                      <w:rFonts w:hint="eastAsia"/>
                      <w:color w:val="auto"/>
                      <w:kern w:val="0"/>
                      <w:szCs w:val="21"/>
                    </w:rPr>
                    <w:t>2</w:t>
                  </w:r>
                </w:p>
              </w:tc>
              <w:tc>
                <w:tcPr>
                  <w:tcW w:w="1628" w:type="pct"/>
                  <w:vAlign w:val="center"/>
                </w:tcPr>
                <w:p w14:paraId="249AA73E">
                  <w:pPr>
                    <w:widowControl/>
                    <w:adjustRightInd w:val="0"/>
                    <w:snapToGrid w:val="0"/>
                    <w:jc w:val="center"/>
                    <w:rPr>
                      <w:color w:val="auto"/>
                      <w:kern w:val="0"/>
                      <w:szCs w:val="21"/>
                    </w:rPr>
                  </w:pPr>
                  <w:r>
                    <w:rPr>
                      <w:rFonts w:hint="eastAsia"/>
                      <w:color w:val="auto"/>
                      <w:kern w:val="0"/>
                      <w:szCs w:val="21"/>
                    </w:rPr>
                    <w:t>烘干水稻（含水率14%）</w:t>
                  </w:r>
                </w:p>
              </w:tc>
              <w:tc>
                <w:tcPr>
                  <w:tcW w:w="629" w:type="pct"/>
                  <w:vAlign w:val="center"/>
                </w:tcPr>
                <w:p w14:paraId="3A165EB7">
                  <w:pPr>
                    <w:widowControl/>
                    <w:adjustRightInd w:val="0"/>
                    <w:snapToGrid w:val="0"/>
                    <w:jc w:val="center"/>
                    <w:rPr>
                      <w:color w:val="auto"/>
                      <w:kern w:val="0"/>
                      <w:szCs w:val="21"/>
                    </w:rPr>
                  </w:pPr>
                  <w:r>
                    <w:rPr>
                      <w:rFonts w:hint="eastAsia"/>
                      <w:color w:val="auto"/>
                      <w:kern w:val="0"/>
                      <w:szCs w:val="21"/>
                    </w:rPr>
                    <w:t>t/a</w:t>
                  </w:r>
                </w:p>
              </w:tc>
              <w:tc>
                <w:tcPr>
                  <w:tcW w:w="708" w:type="pct"/>
                  <w:vAlign w:val="center"/>
                </w:tcPr>
                <w:p w14:paraId="2DF4EAB3">
                  <w:pPr>
                    <w:widowControl/>
                    <w:adjustRightInd w:val="0"/>
                    <w:snapToGrid w:val="0"/>
                    <w:jc w:val="center"/>
                    <w:rPr>
                      <w:rFonts w:hint="eastAsia" w:eastAsia="宋体"/>
                      <w:color w:val="auto"/>
                      <w:kern w:val="0"/>
                      <w:szCs w:val="21"/>
                      <w:lang w:eastAsia="zh-CN"/>
                    </w:rPr>
                  </w:pPr>
                  <w:r>
                    <w:rPr>
                      <w:rFonts w:hint="eastAsia"/>
                      <w:color w:val="auto"/>
                      <w:kern w:val="0"/>
                      <w:szCs w:val="21"/>
                      <w:lang w:eastAsia="zh-CN"/>
                    </w:rPr>
                    <w:t>4759.24‬</w:t>
                  </w:r>
                </w:p>
              </w:tc>
              <w:tc>
                <w:tcPr>
                  <w:tcW w:w="1022" w:type="pct"/>
                  <w:vAlign w:val="center"/>
                </w:tcPr>
                <w:p w14:paraId="7D81F789">
                  <w:pPr>
                    <w:widowControl/>
                    <w:adjustRightInd w:val="0"/>
                    <w:snapToGrid w:val="0"/>
                    <w:jc w:val="center"/>
                    <w:rPr>
                      <w:color w:val="auto"/>
                      <w:kern w:val="0"/>
                      <w:szCs w:val="21"/>
                    </w:rPr>
                  </w:pPr>
                  <w:r>
                    <w:rPr>
                      <w:color w:val="auto"/>
                      <w:kern w:val="0"/>
                      <w:szCs w:val="21"/>
                    </w:rPr>
                    <w:t>外售</w:t>
                  </w:r>
                </w:p>
              </w:tc>
            </w:tr>
          </w:tbl>
          <w:p w14:paraId="40954030">
            <w:pPr>
              <w:pStyle w:val="57"/>
              <w:spacing w:line="360" w:lineRule="auto"/>
              <w:ind w:firstLine="482"/>
              <w:rPr>
                <w:b/>
                <w:bCs/>
                <w:color w:val="auto"/>
                <w:kern w:val="2"/>
                <w:szCs w:val="24"/>
              </w:rPr>
            </w:pPr>
            <w:r>
              <w:rPr>
                <w:rFonts w:hint="eastAsia"/>
                <w:b/>
                <w:bCs/>
                <w:color w:val="auto"/>
                <w:kern w:val="2"/>
                <w:szCs w:val="24"/>
              </w:rPr>
              <w:t>6</w:t>
            </w:r>
            <w:r>
              <w:rPr>
                <w:b/>
                <w:bCs/>
                <w:color w:val="auto"/>
                <w:kern w:val="2"/>
                <w:szCs w:val="24"/>
              </w:rPr>
              <w:t>、建设周期及实施进度</w:t>
            </w:r>
          </w:p>
          <w:p w14:paraId="1EE39406">
            <w:pPr>
              <w:pStyle w:val="57"/>
              <w:spacing w:line="360" w:lineRule="auto"/>
              <w:ind w:firstLine="480"/>
              <w:rPr>
                <w:color w:val="auto"/>
              </w:rPr>
            </w:pPr>
            <w:r>
              <w:rPr>
                <w:color w:val="auto"/>
              </w:rPr>
              <w:t>本项目计划于</w:t>
            </w:r>
            <w:r>
              <w:rPr>
                <w:rFonts w:hint="eastAsia"/>
                <w:color w:val="auto"/>
              </w:rPr>
              <w:t>2026</w:t>
            </w:r>
            <w:r>
              <w:rPr>
                <w:color w:val="auto"/>
              </w:rPr>
              <w:t>年</w:t>
            </w:r>
            <w:r>
              <w:rPr>
                <w:rFonts w:hint="eastAsia"/>
                <w:color w:val="auto"/>
              </w:rPr>
              <w:t>8</w:t>
            </w:r>
            <w:r>
              <w:rPr>
                <w:color w:val="auto"/>
              </w:rPr>
              <w:t>月开工建设，于202</w:t>
            </w:r>
            <w:r>
              <w:rPr>
                <w:rFonts w:hint="eastAsia"/>
                <w:color w:val="auto"/>
              </w:rPr>
              <w:t>6</w:t>
            </w:r>
            <w:r>
              <w:rPr>
                <w:color w:val="auto"/>
              </w:rPr>
              <w:t>年</w:t>
            </w:r>
            <w:r>
              <w:rPr>
                <w:rFonts w:hint="eastAsia"/>
                <w:color w:val="auto"/>
              </w:rPr>
              <w:t>9</w:t>
            </w:r>
            <w:r>
              <w:rPr>
                <w:color w:val="auto"/>
              </w:rPr>
              <w:t>月建成。</w:t>
            </w:r>
          </w:p>
          <w:p w14:paraId="105A73E4">
            <w:pPr>
              <w:pStyle w:val="57"/>
              <w:spacing w:line="360" w:lineRule="auto"/>
              <w:ind w:firstLine="482"/>
              <w:rPr>
                <w:b/>
                <w:bCs/>
                <w:color w:val="auto"/>
                <w:kern w:val="2"/>
                <w:szCs w:val="24"/>
              </w:rPr>
            </w:pPr>
            <w:r>
              <w:rPr>
                <w:rFonts w:hint="eastAsia"/>
                <w:b/>
                <w:bCs/>
                <w:color w:val="auto"/>
                <w:kern w:val="2"/>
                <w:szCs w:val="24"/>
              </w:rPr>
              <w:t>7</w:t>
            </w:r>
            <w:r>
              <w:rPr>
                <w:b/>
                <w:bCs/>
                <w:color w:val="auto"/>
                <w:kern w:val="2"/>
                <w:szCs w:val="24"/>
              </w:rPr>
              <w:t>、员工及工作制度</w:t>
            </w:r>
          </w:p>
          <w:p w14:paraId="243E488D">
            <w:pPr>
              <w:pStyle w:val="57"/>
              <w:spacing w:line="360" w:lineRule="auto"/>
              <w:ind w:firstLine="480"/>
              <w:rPr>
                <w:color w:val="auto"/>
              </w:rPr>
            </w:pPr>
            <w:r>
              <w:rPr>
                <w:color w:val="auto"/>
              </w:rPr>
              <w:t>本项目建成后</w:t>
            </w:r>
            <w:r>
              <w:rPr>
                <w:rFonts w:hint="eastAsia"/>
                <w:color w:val="auto"/>
              </w:rPr>
              <w:t>劳动定员</w:t>
            </w:r>
            <w:r>
              <w:rPr>
                <w:color w:val="auto"/>
              </w:rPr>
              <w:t>工作人员</w:t>
            </w:r>
            <w:r>
              <w:rPr>
                <w:rFonts w:hint="eastAsia"/>
                <w:color w:val="auto"/>
              </w:rPr>
              <w:t>8</w:t>
            </w:r>
            <w:r>
              <w:rPr>
                <w:color w:val="auto"/>
              </w:rPr>
              <w:t>人，不设食堂及宿舍。生产期间实行</w:t>
            </w:r>
            <w:r>
              <w:rPr>
                <w:rFonts w:hint="eastAsia"/>
                <w:color w:val="auto"/>
              </w:rPr>
              <w:t>3</w:t>
            </w:r>
            <w:r>
              <w:rPr>
                <w:color w:val="auto"/>
              </w:rPr>
              <w:t>班制，每班</w:t>
            </w:r>
            <w:r>
              <w:rPr>
                <w:rFonts w:hint="eastAsia"/>
                <w:color w:val="auto"/>
              </w:rPr>
              <w:t>8</w:t>
            </w:r>
            <w:r>
              <w:rPr>
                <w:color w:val="auto"/>
              </w:rPr>
              <w:t>小时，年工作</w:t>
            </w:r>
            <w:r>
              <w:rPr>
                <w:rFonts w:hint="eastAsia"/>
                <w:color w:val="auto"/>
              </w:rPr>
              <w:t>34天。</w:t>
            </w:r>
          </w:p>
          <w:p w14:paraId="670CC3C1">
            <w:pPr>
              <w:autoSpaceDE w:val="0"/>
              <w:autoSpaceDN w:val="0"/>
              <w:adjustRightInd w:val="0"/>
              <w:spacing w:line="360" w:lineRule="auto"/>
              <w:ind w:firstLine="482" w:firstLineChars="200"/>
              <w:rPr>
                <w:b/>
                <w:color w:val="auto"/>
                <w:sz w:val="24"/>
              </w:rPr>
            </w:pPr>
            <w:r>
              <w:rPr>
                <w:rFonts w:hint="eastAsia"/>
                <w:b/>
                <w:color w:val="auto"/>
                <w:sz w:val="24"/>
              </w:rPr>
              <w:t>8</w:t>
            </w:r>
            <w:r>
              <w:rPr>
                <w:b/>
                <w:color w:val="auto"/>
                <w:sz w:val="24"/>
              </w:rPr>
              <w:t>、公用工程</w:t>
            </w:r>
          </w:p>
          <w:p w14:paraId="681CE0A3">
            <w:pPr>
              <w:pStyle w:val="57"/>
              <w:spacing w:line="360" w:lineRule="auto"/>
              <w:ind w:firstLine="480"/>
              <w:rPr>
                <w:color w:val="auto"/>
              </w:rPr>
            </w:pPr>
            <w:r>
              <w:rPr>
                <w:color w:val="auto"/>
              </w:rPr>
              <w:t>（1）给排水</w:t>
            </w:r>
          </w:p>
          <w:p w14:paraId="6A8A3A0C">
            <w:pPr>
              <w:pStyle w:val="57"/>
              <w:spacing w:line="360" w:lineRule="auto"/>
              <w:ind w:firstLine="480"/>
              <w:jc w:val="left"/>
              <w:rPr>
                <w:color w:val="auto"/>
                <w:szCs w:val="24"/>
              </w:rPr>
            </w:pPr>
            <w:r>
              <w:rPr>
                <w:color w:val="auto"/>
                <w:szCs w:val="24"/>
              </w:rPr>
              <w:t>本项目建设完成后生产不用水，项目职工生活用水由</w:t>
            </w:r>
            <w:r>
              <w:rPr>
                <w:rFonts w:hint="eastAsia"/>
                <w:color w:val="auto"/>
                <w:szCs w:val="21"/>
              </w:rPr>
              <w:t>村屯自来水供给</w:t>
            </w:r>
            <w:r>
              <w:rPr>
                <w:color w:val="auto"/>
                <w:szCs w:val="24"/>
              </w:rPr>
              <w:t>。厂区劳动定员共计</w:t>
            </w:r>
            <w:r>
              <w:rPr>
                <w:rFonts w:hint="eastAsia"/>
                <w:color w:val="auto"/>
                <w:szCs w:val="24"/>
              </w:rPr>
              <w:t>8人</w:t>
            </w:r>
            <w:r>
              <w:rPr>
                <w:color w:val="auto"/>
                <w:szCs w:val="24"/>
              </w:rPr>
              <w:t>，年工作</w:t>
            </w:r>
            <w:r>
              <w:rPr>
                <w:rFonts w:hint="eastAsia"/>
                <w:color w:val="auto"/>
                <w:szCs w:val="24"/>
              </w:rPr>
              <w:t>34</w:t>
            </w:r>
            <w:r>
              <w:rPr>
                <w:color w:val="auto"/>
                <w:szCs w:val="24"/>
              </w:rPr>
              <w:t>天，根据黑龙江省地方标准《用水定额》（DB23/T727-202</w:t>
            </w:r>
            <w:r>
              <w:rPr>
                <w:rFonts w:hint="eastAsia"/>
                <w:color w:val="auto"/>
                <w:szCs w:val="24"/>
              </w:rPr>
              <w:t>5</w:t>
            </w:r>
            <w:r>
              <w:rPr>
                <w:color w:val="auto"/>
                <w:szCs w:val="24"/>
              </w:rPr>
              <w:t>），生活用水按每人80L/d计</w:t>
            </w:r>
            <w:r>
              <w:rPr>
                <w:rFonts w:hint="eastAsia"/>
                <w:color w:val="auto"/>
                <w:szCs w:val="24"/>
              </w:rPr>
              <w:t>，</w:t>
            </w:r>
            <w:r>
              <w:rPr>
                <w:color w:val="auto"/>
                <w:szCs w:val="24"/>
              </w:rPr>
              <w:t>生活用水总量为</w:t>
            </w:r>
            <w:r>
              <w:rPr>
                <w:rFonts w:hint="eastAsia"/>
                <w:color w:val="auto"/>
                <w:szCs w:val="24"/>
              </w:rPr>
              <w:t>0.64m</w:t>
            </w:r>
            <w:r>
              <w:rPr>
                <w:rFonts w:hint="eastAsia"/>
                <w:color w:val="auto"/>
                <w:szCs w:val="24"/>
                <w:vertAlign w:val="superscript"/>
              </w:rPr>
              <w:t>3</w:t>
            </w:r>
            <w:r>
              <w:rPr>
                <w:rFonts w:hint="eastAsia"/>
                <w:color w:val="auto"/>
                <w:szCs w:val="24"/>
              </w:rPr>
              <w:t>/d</w:t>
            </w:r>
            <w:r>
              <w:rPr>
                <w:color w:val="auto"/>
                <w:szCs w:val="24"/>
              </w:rPr>
              <w:t>，</w:t>
            </w:r>
            <w:r>
              <w:rPr>
                <w:rFonts w:hint="eastAsia"/>
                <w:color w:val="auto"/>
                <w:szCs w:val="24"/>
              </w:rPr>
              <w:t>21.76</w:t>
            </w:r>
            <w:r>
              <w:rPr>
                <w:color w:val="auto"/>
                <w:szCs w:val="24"/>
              </w:rPr>
              <w:t>m</w:t>
            </w:r>
            <w:r>
              <w:rPr>
                <w:color w:val="auto"/>
                <w:szCs w:val="24"/>
                <w:vertAlign w:val="superscript"/>
              </w:rPr>
              <w:t>3</w:t>
            </w:r>
            <w:r>
              <w:rPr>
                <w:color w:val="auto"/>
                <w:szCs w:val="24"/>
              </w:rPr>
              <w:t>/a。</w:t>
            </w:r>
          </w:p>
          <w:p w14:paraId="3BC1E4A2">
            <w:pPr>
              <w:pStyle w:val="57"/>
              <w:spacing w:line="360" w:lineRule="auto"/>
              <w:ind w:firstLine="480"/>
              <w:jc w:val="left"/>
              <w:rPr>
                <w:b/>
                <w:bCs/>
                <w:color w:val="auto"/>
                <w:sz w:val="21"/>
                <w:szCs w:val="21"/>
              </w:rPr>
            </w:pPr>
            <w:r>
              <w:rPr>
                <w:color w:val="auto"/>
                <w:szCs w:val="24"/>
              </w:rPr>
              <w:t>本项目建成后排放废水主要为生活污水。生活污水主要污染物为COD、SS和氨氮。生活污水按用水量的80%计算，排放量为0</w:t>
            </w:r>
            <w:r>
              <w:rPr>
                <w:rFonts w:hint="eastAsia"/>
                <w:color w:val="auto"/>
                <w:szCs w:val="24"/>
              </w:rPr>
              <w:t>.512</w:t>
            </w:r>
            <w:r>
              <w:rPr>
                <w:color w:val="auto"/>
                <w:szCs w:val="24"/>
              </w:rPr>
              <w:t>m</w:t>
            </w:r>
            <w:r>
              <w:rPr>
                <w:color w:val="auto"/>
                <w:szCs w:val="24"/>
                <w:vertAlign w:val="superscript"/>
              </w:rPr>
              <w:t>3</w:t>
            </w:r>
            <w:r>
              <w:rPr>
                <w:color w:val="auto"/>
                <w:szCs w:val="24"/>
              </w:rPr>
              <w:t>/d，</w:t>
            </w:r>
            <w:r>
              <w:rPr>
                <w:rFonts w:hint="eastAsia"/>
                <w:color w:val="auto"/>
                <w:szCs w:val="24"/>
              </w:rPr>
              <w:t>17.408</w:t>
            </w:r>
            <w:r>
              <w:rPr>
                <w:color w:val="auto"/>
                <w:szCs w:val="24"/>
              </w:rPr>
              <w:t>m</w:t>
            </w:r>
            <w:r>
              <w:rPr>
                <w:color w:val="auto"/>
                <w:szCs w:val="24"/>
                <w:vertAlign w:val="superscript"/>
              </w:rPr>
              <w:t>3</w:t>
            </w:r>
            <w:r>
              <w:rPr>
                <w:color w:val="auto"/>
                <w:szCs w:val="24"/>
              </w:rPr>
              <w:t>/a。</w:t>
            </w:r>
            <w:r>
              <w:rPr>
                <w:color w:val="auto"/>
              </w:rPr>
              <w:t>生活污水排入防渗</w:t>
            </w:r>
            <w:r>
              <w:rPr>
                <w:rFonts w:hint="eastAsia"/>
                <w:color w:val="auto"/>
              </w:rPr>
              <w:t>厕所</w:t>
            </w:r>
            <w:r>
              <w:rPr>
                <w:color w:val="auto"/>
              </w:rPr>
              <w:t>，定期清掏，外运堆肥。</w:t>
            </w:r>
          </w:p>
          <w:p w14:paraId="2D1EA5D3">
            <w:pPr>
              <w:pStyle w:val="57"/>
              <w:spacing w:line="360" w:lineRule="auto"/>
              <w:ind w:firstLine="480"/>
              <w:rPr>
                <w:color w:val="auto"/>
              </w:rPr>
            </w:pPr>
            <w:r>
              <w:rPr>
                <w:color w:val="auto"/>
              </w:rPr>
              <w:t>（2）供热</w:t>
            </w:r>
          </w:p>
          <w:p w14:paraId="065D595C">
            <w:pPr>
              <w:pStyle w:val="57"/>
              <w:spacing w:line="360" w:lineRule="auto"/>
              <w:ind w:firstLine="480"/>
              <w:rPr>
                <w:color w:val="auto"/>
              </w:rPr>
            </w:pPr>
            <w:r>
              <w:rPr>
                <w:color w:val="auto"/>
                <w:szCs w:val="24"/>
              </w:rPr>
              <w:t>本项目生产用热由新建</w:t>
            </w:r>
            <w:r>
              <w:rPr>
                <w:rFonts w:hint="eastAsia"/>
                <w:color w:val="auto"/>
                <w:szCs w:val="24"/>
              </w:rPr>
              <w:t>两</w:t>
            </w:r>
            <w:r>
              <w:rPr>
                <w:color w:val="auto"/>
                <w:szCs w:val="24"/>
              </w:rPr>
              <w:t>台</w:t>
            </w:r>
            <w:r>
              <w:rPr>
                <w:rFonts w:hint="eastAsia"/>
                <w:color w:val="auto"/>
                <w:szCs w:val="24"/>
              </w:rPr>
              <w:t>360万kcal/h</w:t>
            </w:r>
            <w:r>
              <w:rPr>
                <w:color w:val="auto"/>
                <w:szCs w:val="24"/>
              </w:rPr>
              <w:t>燃生物质热风炉提供，燃料消耗量为</w:t>
            </w:r>
            <w:r>
              <w:rPr>
                <w:rFonts w:hint="eastAsia"/>
                <w:color w:val="auto"/>
                <w:szCs w:val="24"/>
                <w:lang w:eastAsia="zh-CN"/>
              </w:rPr>
              <w:t>2181</w:t>
            </w:r>
            <w:r>
              <w:rPr>
                <w:color w:val="auto"/>
                <w:szCs w:val="24"/>
              </w:rPr>
              <w:t>t/a</w:t>
            </w:r>
            <w:r>
              <w:rPr>
                <w:color w:val="auto"/>
              </w:rPr>
              <w:t>。</w:t>
            </w:r>
          </w:p>
          <w:p w14:paraId="61EA7717">
            <w:pPr>
              <w:pStyle w:val="57"/>
              <w:spacing w:line="360" w:lineRule="auto"/>
              <w:ind w:firstLine="480"/>
              <w:rPr>
                <w:color w:val="auto"/>
                <w:szCs w:val="24"/>
              </w:rPr>
            </w:pPr>
            <w:r>
              <w:rPr>
                <w:color w:val="auto"/>
              </w:rPr>
              <w:t>厂区</w:t>
            </w:r>
            <w:r>
              <w:rPr>
                <w:rFonts w:hint="eastAsia"/>
                <w:color w:val="auto"/>
              </w:rPr>
              <w:t>办公楼</w:t>
            </w:r>
            <w:r>
              <w:rPr>
                <w:color w:val="auto"/>
              </w:rPr>
              <w:t>冬季供暖为电取暖</w:t>
            </w:r>
            <w:r>
              <w:rPr>
                <w:color w:val="auto"/>
                <w:szCs w:val="24"/>
              </w:rPr>
              <w:t>。</w:t>
            </w:r>
          </w:p>
          <w:p w14:paraId="4C277E03">
            <w:pPr>
              <w:pStyle w:val="57"/>
              <w:spacing w:line="360" w:lineRule="auto"/>
              <w:ind w:firstLine="480"/>
              <w:rPr>
                <w:color w:val="auto"/>
              </w:rPr>
            </w:pPr>
            <w:r>
              <w:rPr>
                <w:color w:val="auto"/>
              </w:rPr>
              <w:t>（3）供电</w:t>
            </w:r>
          </w:p>
          <w:p w14:paraId="6C89B548">
            <w:pPr>
              <w:pStyle w:val="33"/>
              <w:spacing w:after="0" w:line="360" w:lineRule="auto"/>
              <w:ind w:firstLine="480" w:firstLineChars="200"/>
              <w:jc w:val="left"/>
              <w:rPr>
                <w:color w:val="auto"/>
                <w:kern w:val="0"/>
                <w:sz w:val="24"/>
                <w:szCs w:val="20"/>
              </w:rPr>
            </w:pPr>
            <w:r>
              <w:rPr>
                <w:color w:val="auto"/>
                <w:kern w:val="0"/>
                <w:sz w:val="24"/>
                <w:szCs w:val="20"/>
              </w:rPr>
              <w:t>用电由所在地供电电网提供。</w:t>
            </w:r>
          </w:p>
          <w:p w14:paraId="7808466B">
            <w:pPr>
              <w:adjustRightInd w:val="0"/>
              <w:snapToGrid w:val="0"/>
              <w:spacing w:line="360" w:lineRule="auto"/>
              <w:ind w:firstLine="482" w:firstLineChars="200"/>
              <w:rPr>
                <w:b/>
                <w:bCs/>
                <w:color w:val="auto"/>
                <w:sz w:val="24"/>
              </w:rPr>
            </w:pPr>
            <w:r>
              <w:rPr>
                <w:rFonts w:hint="eastAsia"/>
                <w:b/>
                <w:bCs/>
                <w:color w:val="auto"/>
                <w:sz w:val="24"/>
              </w:rPr>
              <w:t>9</w:t>
            </w:r>
            <w:r>
              <w:rPr>
                <w:b/>
                <w:bCs/>
                <w:color w:val="auto"/>
                <w:sz w:val="24"/>
              </w:rPr>
              <w:t>、总平面布置</w:t>
            </w:r>
          </w:p>
          <w:p w14:paraId="4F94E586">
            <w:pPr>
              <w:pStyle w:val="96"/>
              <w:spacing w:line="360" w:lineRule="auto"/>
              <w:ind w:firstLine="480"/>
              <w:rPr>
                <w:color w:val="auto"/>
                <w:kern w:val="2"/>
                <w:szCs w:val="24"/>
              </w:rPr>
            </w:pPr>
            <w:r>
              <w:rPr>
                <w:color w:val="auto"/>
              </w:rPr>
              <w:t>本项目位于</w:t>
            </w:r>
            <w:r>
              <w:rPr>
                <w:rFonts w:hint="eastAsia"/>
                <w:color w:val="auto"/>
              </w:rPr>
              <w:t>黑龙江省佳木斯市桦川县东河乡兴华屯</w:t>
            </w:r>
            <w:r>
              <w:rPr>
                <w:color w:val="auto"/>
              </w:rPr>
              <w:t>，</w:t>
            </w:r>
            <w:r>
              <w:rPr>
                <w:color w:val="auto"/>
                <w:kern w:val="2"/>
                <w:szCs w:val="24"/>
              </w:rPr>
              <w:t>本项目总占地面积</w:t>
            </w:r>
            <w:r>
              <w:rPr>
                <w:rFonts w:hint="eastAsia"/>
                <w:color w:val="auto"/>
                <w:kern w:val="2"/>
                <w:szCs w:val="24"/>
              </w:rPr>
              <w:t>16474.68m</w:t>
            </w:r>
            <w:r>
              <w:rPr>
                <w:rFonts w:hint="eastAsia"/>
                <w:color w:val="auto"/>
                <w:kern w:val="2"/>
                <w:szCs w:val="24"/>
                <w:vertAlign w:val="superscript"/>
              </w:rPr>
              <w:t>2</w:t>
            </w:r>
            <w:r>
              <w:rPr>
                <w:color w:val="auto"/>
                <w:kern w:val="2"/>
                <w:szCs w:val="24"/>
              </w:rPr>
              <w:t>。</w:t>
            </w:r>
            <w:r>
              <w:rPr>
                <w:rFonts w:hint="eastAsia"/>
                <w:color w:val="auto"/>
                <w:kern w:val="2"/>
                <w:szCs w:val="24"/>
              </w:rPr>
              <w:t>办公楼</w:t>
            </w:r>
            <w:r>
              <w:rPr>
                <w:color w:val="auto"/>
                <w:kern w:val="2"/>
                <w:szCs w:val="24"/>
              </w:rPr>
              <w:t>位于厂区</w:t>
            </w:r>
            <w:r>
              <w:rPr>
                <w:rFonts w:hint="eastAsia"/>
                <w:color w:val="auto"/>
                <w:kern w:val="2"/>
                <w:szCs w:val="24"/>
              </w:rPr>
              <w:t>南</w:t>
            </w:r>
            <w:r>
              <w:rPr>
                <w:color w:val="auto"/>
                <w:kern w:val="2"/>
                <w:szCs w:val="24"/>
              </w:rPr>
              <w:t>侧，热风炉房位于</w:t>
            </w:r>
            <w:r>
              <w:rPr>
                <w:rFonts w:hint="eastAsia"/>
                <w:color w:val="auto"/>
                <w:kern w:val="2"/>
                <w:szCs w:val="24"/>
              </w:rPr>
              <w:t>厂区北侧</w:t>
            </w:r>
            <w:r>
              <w:rPr>
                <w:color w:val="auto"/>
                <w:kern w:val="2"/>
                <w:szCs w:val="24"/>
              </w:rPr>
              <w:t>，烘干塔位于热风炉房</w:t>
            </w:r>
            <w:r>
              <w:rPr>
                <w:rFonts w:hint="eastAsia"/>
                <w:color w:val="auto"/>
                <w:kern w:val="2"/>
                <w:szCs w:val="24"/>
              </w:rPr>
              <w:t>南</w:t>
            </w:r>
            <w:r>
              <w:rPr>
                <w:color w:val="auto"/>
                <w:kern w:val="2"/>
                <w:szCs w:val="24"/>
              </w:rPr>
              <w:t>侧，本项目平面布置图见附图</w:t>
            </w:r>
            <w:r>
              <w:rPr>
                <w:rFonts w:hint="eastAsia"/>
                <w:color w:val="auto"/>
                <w:kern w:val="2"/>
                <w:szCs w:val="24"/>
              </w:rPr>
              <w:t>2</w:t>
            </w:r>
            <w:r>
              <w:rPr>
                <w:color w:val="auto"/>
                <w:kern w:val="2"/>
                <w:szCs w:val="24"/>
              </w:rPr>
              <w:t>。</w:t>
            </w:r>
          </w:p>
          <w:p w14:paraId="70D7B280">
            <w:pPr>
              <w:pStyle w:val="96"/>
              <w:spacing w:line="360" w:lineRule="auto"/>
              <w:ind w:firstLine="480"/>
              <w:rPr>
                <w:color w:val="auto"/>
              </w:rPr>
            </w:pPr>
            <w:r>
              <w:rPr>
                <w:color w:val="auto"/>
                <w:kern w:val="2"/>
                <w:szCs w:val="24"/>
              </w:rPr>
              <w:t>项目平面布置功能分区合理、布局紧凑，各个建筑物的布置均满足工艺需要。项目所在地道路系统完善，有利于原料及产品的运输。因此，本项目平面布置合理。</w:t>
            </w:r>
          </w:p>
          <w:p w14:paraId="54591880">
            <w:pPr>
              <w:pStyle w:val="96"/>
              <w:spacing w:line="360" w:lineRule="auto"/>
              <w:ind w:firstLine="482"/>
              <w:rPr>
                <w:b/>
                <w:bCs/>
                <w:color w:val="auto"/>
              </w:rPr>
            </w:pPr>
            <w:r>
              <w:rPr>
                <w:rFonts w:hint="eastAsia"/>
                <w:b/>
                <w:bCs/>
                <w:color w:val="auto"/>
              </w:rPr>
              <w:t>10</w:t>
            </w:r>
            <w:r>
              <w:rPr>
                <w:b/>
                <w:bCs/>
                <w:color w:val="auto"/>
              </w:rPr>
              <w:t>、投资情况</w:t>
            </w:r>
          </w:p>
          <w:p w14:paraId="3815C0B8">
            <w:pPr>
              <w:pStyle w:val="96"/>
              <w:spacing w:line="360" w:lineRule="auto"/>
              <w:ind w:firstLine="480"/>
              <w:rPr>
                <w:color w:val="auto"/>
              </w:rPr>
            </w:pPr>
            <w:r>
              <w:rPr>
                <w:color w:val="auto"/>
              </w:rPr>
              <w:t>本项目总投资</w:t>
            </w:r>
            <w:r>
              <w:rPr>
                <w:rFonts w:hint="eastAsia"/>
                <w:color w:val="auto"/>
              </w:rPr>
              <w:t>100</w:t>
            </w:r>
            <w:r>
              <w:rPr>
                <w:color w:val="auto"/>
              </w:rPr>
              <w:t>万元，环保投资</w:t>
            </w:r>
            <w:r>
              <w:rPr>
                <w:rFonts w:hint="eastAsia"/>
                <w:color w:val="auto"/>
                <w:lang w:val="en-US" w:eastAsia="zh-CN"/>
              </w:rPr>
              <w:t>30</w:t>
            </w:r>
            <w:r>
              <w:rPr>
                <w:rFonts w:hint="eastAsia"/>
                <w:color w:val="auto"/>
              </w:rPr>
              <w:t>万元</w:t>
            </w:r>
            <w:r>
              <w:rPr>
                <w:color w:val="auto"/>
              </w:rPr>
              <w:t>。环保投资估算见下表。</w:t>
            </w:r>
          </w:p>
          <w:p w14:paraId="2D474A0A">
            <w:pPr>
              <w:pStyle w:val="97"/>
              <w:spacing w:line="360" w:lineRule="auto"/>
              <w:rPr>
                <w:rFonts w:eastAsia="宋体" w:cs="Times New Roman"/>
                <w:b/>
                <w:bCs/>
                <w:color w:val="auto"/>
                <w:sz w:val="21"/>
                <w:szCs w:val="21"/>
              </w:rPr>
            </w:pPr>
            <w:r>
              <w:rPr>
                <w:rFonts w:eastAsia="宋体" w:cs="Times New Roman"/>
                <w:b/>
                <w:bCs/>
                <w:color w:val="auto"/>
                <w:sz w:val="21"/>
                <w:szCs w:val="21"/>
              </w:rPr>
              <w:t>表2-</w:t>
            </w:r>
            <w:r>
              <w:rPr>
                <w:rFonts w:hint="eastAsia" w:eastAsia="宋体" w:cs="Times New Roman"/>
                <w:b/>
                <w:bCs/>
                <w:color w:val="auto"/>
                <w:sz w:val="21"/>
                <w:szCs w:val="21"/>
              </w:rPr>
              <w:t>7</w:t>
            </w:r>
            <w:r>
              <w:rPr>
                <w:rFonts w:eastAsia="宋体" w:cs="Times New Roman"/>
                <w:b/>
                <w:bCs/>
                <w:color w:val="auto"/>
                <w:sz w:val="21"/>
                <w:szCs w:val="21"/>
              </w:rPr>
              <w:t>环保投资一览表 单位：万元</w:t>
            </w:r>
          </w:p>
          <w:tbl>
            <w:tblPr>
              <w:tblStyle w:val="35"/>
              <w:tblW w:w="793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106"/>
              <w:gridCol w:w="1454"/>
              <w:gridCol w:w="3579"/>
              <w:gridCol w:w="1359"/>
            </w:tblGrid>
            <w:tr w14:paraId="3C42F1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542" w:type="dxa"/>
                  <w:gridSpan w:val="2"/>
                  <w:vAlign w:val="center"/>
                </w:tcPr>
                <w:p w14:paraId="34AE1ABC">
                  <w:pPr>
                    <w:pStyle w:val="98"/>
                    <w:rPr>
                      <w:color w:val="auto"/>
                      <w:szCs w:val="21"/>
                    </w:rPr>
                  </w:pPr>
                  <w:r>
                    <w:rPr>
                      <w:color w:val="auto"/>
                      <w:szCs w:val="21"/>
                    </w:rPr>
                    <w:t>投资项目</w:t>
                  </w:r>
                </w:p>
              </w:tc>
              <w:tc>
                <w:tcPr>
                  <w:tcW w:w="1454" w:type="dxa"/>
                  <w:vAlign w:val="center"/>
                </w:tcPr>
                <w:p w14:paraId="0A1790C7">
                  <w:pPr>
                    <w:pStyle w:val="98"/>
                    <w:rPr>
                      <w:color w:val="auto"/>
                      <w:szCs w:val="21"/>
                    </w:rPr>
                  </w:pPr>
                  <w:r>
                    <w:rPr>
                      <w:color w:val="auto"/>
                      <w:szCs w:val="21"/>
                    </w:rPr>
                    <w:t>污染源</w:t>
                  </w:r>
                </w:p>
              </w:tc>
              <w:tc>
                <w:tcPr>
                  <w:tcW w:w="3579" w:type="dxa"/>
                  <w:vAlign w:val="center"/>
                </w:tcPr>
                <w:p w14:paraId="32BDDE41">
                  <w:pPr>
                    <w:pStyle w:val="98"/>
                    <w:rPr>
                      <w:color w:val="auto"/>
                      <w:szCs w:val="21"/>
                    </w:rPr>
                  </w:pPr>
                  <w:r>
                    <w:rPr>
                      <w:color w:val="auto"/>
                      <w:szCs w:val="21"/>
                    </w:rPr>
                    <w:t>具体措施</w:t>
                  </w:r>
                </w:p>
              </w:tc>
              <w:tc>
                <w:tcPr>
                  <w:tcW w:w="1359" w:type="dxa"/>
                  <w:vAlign w:val="center"/>
                </w:tcPr>
                <w:p w14:paraId="11850BB0">
                  <w:pPr>
                    <w:pStyle w:val="98"/>
                    <w:rPr>
                      <w:color w:val="auto"/>
                      <w:szCs w:val="21"/>
                    </w:rPr>
                  </w:pPr>
                  <w:r>
                    <w:rPr>
                      <w:color w:val="auto"/>
                      <w:szCs w:val="21"/>
                    </w:rPr>
                    <w:t>投资（万元）</w:t>
                  </w:r>
                </w:p>
              </w:tc>
            </w:tr>
            <w:tr w14:paraId="165CEC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36" w:type="dxa"/>
                  <w:vMerge w:val="restart"/>
                  <w:vAlign w:val="center"/>
                </w:tcPr>
                <w:p w14:paraId="19735B56">
                  <w:pPr>
                    <w:pStyle w:val="98"/>
                    <w:rPr>
                      <w:color w:val="auto"/>
                      <w:szCs w:val="21"/>
                    </w:rPr>
                  </w:pPr>
                  <w:r>
                    <w:rPr>
                      <w:color w:val="auto"/>
                      <w:szCs w:val="21"/>
                    </w:rPr>
                    <w:t>运行期</w:t>
                  </w:r>
                </w:p>
              </w:tc>
              <w:tc>
                <w:tcPr>
                  <w:tcW w:w="1106" w:type="dxa"/>
                  <w:vMerge w:val="restart"/>
                  <w:vAlign w:val="center"/>
                </w:tcPr>
                <w:p w14:paraId="786A2B61">
                  <w:pPr>
                    <w:pStyle w:val="98"/>
                    <w:rPr>
                      <w:color w:val="auto"/>
                      <w:szCs w:val="21"/>
                    </w:rPr>
                  </w:pPr>
                  <w:r>
                    <w:rPr>
                      <w:color w:val="auto"/>
                      <w:szCs w:val="21"/>
                    </w:rPr>
                    <w:t>废气处理</w:t>
                  </w:r>
                </w:p>
              </w:tc>
              <w:tc>
                <w:tcPr>
                  <w:tcW w:w="1454" w:type="dxa"/>
                  <w:vAlign w:val="center"/>
                </w:tcPr>
                <w:p w14:paraId="6C68786F">
                  <w:pPr>
                    <w:pStyle w:val="98"/>
                    <w:rPr>
                      <w:color w:val="auto"/>
                      <w:szCs w:val="21"/>
                    </w:rPr>
                  </w:pPr>
                  <w:r>
                    <w:rPr>
                      <w:rStyle w:val="99"/>
                      <w:color w:val="auto"/>
                      <w:sz w:val="21"/>
                      <w:szCs w:val="21"/>
                    </w:rPr>
                    <w:t>热风炉烟气</w:t>
                  </w:r>
                  <w:r>
                    <w:rPr>
                      <w:rStyle w:val="99"/>
                      <w:rFonts w:hint="eastAsia"/>
                      <w:color w:val="auto"/>
                      <w:sz w:val="21"/>
                      <w:szCs w:val="21"/>
                    </w:rPr>
                    <w:t>1</w:t>
                  </w:r>
                </w:p>
              </w:tc>
              <w:tc>
                <w:tcPr>
                  <w:tcW w:w="3579" w:type="dxa"/>
                  <w:vAlign w:val="center"/>
                </w:tcPr>
                <w:p w14:paraId="4165ADB8">
                  <w:pPr>
                    <w:jc w:val="center"/>
                    <w:rPr>
                      <w:color w:val="auto"/>
                      <w:szCs w:val="21"/>
                    </w:rPr>
                  </w:pPr>
                  <w:r>
                    <w:rPr>
                      <w:color w:val="auto"/>
                      <w:szCs w:val="21"/>
                    </w:rPr>
                    <w:t>热风炉烟气</w:t>
                  </w:r>
                  <w:r>
                    <w:rPr>
                      <w:bCs/>
                      <w:color w:val="auto"/>
                      <w:szCs w:val="21"/>
                    </w:rPr>
                    <w:t>经</w:t>
                  </w:r>
                  <w:r>
                    <w:rPr>
                      <w:rFonts w:hint="eastAsia"/>
                      <w:bCs/>
                      <w:color w:val="auto"/>
                      <w:szCs w:val="21"/>
                    </w:rPr>
                    <w:t>低氮燃烧+</w:t>
                  </w:r>
                  <w:r>
                    <w:rPr>
                      <w:bCs/>
                      <w:color w:val="auto"/>
                      <w:szCs w:val="21"/>
                    </w:rPr>
                    <w:t>布袋除尘器处理由1根</w:t>
                  </w:r>
                  <w:r>
                    <w:rPr>
                      <w:rFonts w:hint="eastAsia"/>
                      <w:color w:val="auto"/>
                      <w:szCs w:val="21"/>
                    </w:rPr>
                    <w:t>15m</w:t>
                  </w:r>
                  <w:r>
                    <w:rPr>
                      <w:color w:val="auto"/>
                      <w:szCs w:val="21"/>
                    </w:rPr>
                    <w:t>高烟囱排放</w:t>
                  </w:r>
                </w:p>
              </w:tc>
              <w:tc>
                <w:tcPr>
                  <w:tcW w:w="1359" w:type="dxa"/>
                  <w:vAlign w:val="center"/>
                </w:tcPr>
                <w:p w14:paraId="37AD88E5">
                  <w:pPr>
                    <w:widowControl/>
                    <w:jc w:val="center"/>
                    <w:textAlignment w:val="center"/>
                    <w:rPr>
                      <w:color w:val="auto"/>
                      <w:szCs w:val="21"/>
                    </w:rPr>
                  </w:pPr>
                  <w:r>
                    <w:rPr>
                      <w:rFonts w:hint="eastAsia"/>
                      <w:color w:val="auto"/>
                      <w:szCs w:val="21"/>
                    </w:rPr>
                    <w:t>6.5</w:t>
                  </w:r>
                </w:p>
              </w:tc>
            </w:tr>
            <w:tr w14:paraId="611DD7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36" w:type="dxa"/>
                  <w:vMerge w:val="continue"/>
                  <w:vAlign w:val="center"/>
                </w:tcPr>
                <w:p w14:paraId="70EFCBD9">
                  <w:pPr>
                    <w:pStyle w:val="98"/>
                    <w:rPr>
                      <w:color w:val="auto"/>
                      <w:szCs w:val="21"/>
                    </w:rPr>
                  </w:pPr>
                </w:p>
              </w:tc>
              <w:tc>
                <w:tcPr>
                  <w:tcW w:w="1106" w:type="dxa"/>
                  <w:vMerge w:val="continue"/>
                  <w:vAlign w:val="center"/>
                </w:tcPr>
                <w:p w14:paraId="2A51A80F">
                  <w:pPr>
                    <w:pStyle w:val="98"/>
                    <w:rPr>
                      <w:color w:val="auto"/>
                      <w:szCs w:val="21"/>
                    </w:rPr>
                  </w:pPr>
                </w:p>
              </w:tc>
              <w:tc>
                <w:tcPr>
                  <w:tcW w:w="1454" w:type="dxa"/>
                  <w:vAlign w:val="center"/>
                </w:tcPr>
                <w:p w14:paraId="7A7224F7">
                  <w:pPr>
                    <w:jc w:val="center"/>
                    <w:rPr>
                      <w:color w:val="auto"/>
                      <w:szCs w:val="21"/>
                    </w:rPr>
                  </w:pPr>
                  <w:r>
                    <w:rPr>
                      <w:color w:val="auto"/>
                      <w:szCs w:val="21"/>
                    </w:rPr>
                    <w:t>烘干塔废气</w:t>
                  </w:r>
                  <w:r>
                    <w:rPr>
                      <w:rFonts w:hint="eastAsia"/>
                      <w:color w:val="auto"/>
                      <w:szCs w:val="21"/>
                    </w:rPr>
                    <w:t>1</w:t>
                  </w:r>
                </w:p>
              </w:tc>
              <w:tc>
                <w:tcPr>
                  <w:tcW w:w="3579" w:type="dxa"/>
                  <w:vAlign w:val="center"/>
                </w:tcPr>
                <w:p w14:paraId="4BD84CAB">
                  <w:pPr>
                    <w:jc w:val="center"/>
                    <w:rPr>
                      <w:color w:val="auto"/>
                      <w:szCs w:val="21"/>
                    </w:rPr>
                  </w:pPr>
                  <w:r>
                    <w:rPr>
                      <w:color w:val="auto"/>
                      <w:szCs w:val="21"/>
                    </w:rPr>
                    <w:t>在烘干塔塔体两侧排气孔设置折流挡板，塔顶排气孔设滤尘网</w:t>
                  </w:r>
                </w:p>
              </w:tc>
              <w:tc>
                <w:tcPr>
                  <w:tcW w:w="1359" w:type="dxa"/>
                  <w:vAlign w:val="center"/>
                </w:tcPr>
                <w:p w14:paraId="2C0B15EF">
                  <w:pPr>
                    <w:widowControl/>
                    <w:jc w:val="center"/>
                    <w:textAlignment w:val="center"/>
                    <w:rPr>
                      <w:color w:val="auto"/>
                      <w:szCs w:val="21"/>
                    </w:rPr>
                  </w:pPr>
                  <w:r>
                    <w:rPr>
                      <w:color w:val="auto"/>
                      <w:szCs w:val="21"/>
                    </w:rPr>
                    <w:t>3</w:t>
                  </w:r>
                  <w:r>
                    <w:rPr>
                      <w:rFonts w:hint="eastAsia"/>
                      <w:color w:val="auto"/>
                      <w:szCs w:val="21"/>
                    </w:rPr>
                    <w:t>.5</w:t>
                  </w:r>
                </w:p>
              </w:tc>
            </w:tr>
            <w:tr w14:paraId="2F87D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36" w:type="dxa"/>
                  <w:vMerge w:val="continue"/>
                  <w:vAlign w:val="center"/>
                </w:tcPr>
                <w:p w14:paraId="2362C17F">
                  <w:pPr>
                    <w:pStyle w:val="98"/>
                    <w:rPr>
                      <w:color w:val="auto"/>
                      <w:szCs w:val="21"/>
                    </w:rPr>
                  </w:pPr>
                </w:p>
              </w:tc>
              <w:tc>
                <w:tcPr>
                  <w:tcW w:w="1106" w:type="dxa"/>
                  <w:vMerge w:val="continue"/>
                  <w:vAlign w:val="center"/>
                </w:tcPr>
                <w:p w14:paraId="32952D48">
                  <w:pPr>
                    <w:pStyle w:val="98"/>
                    <w:rPr>
                      <w:color w:val="auto"/>
                      <w:szCs w:val="21"/>
                    </w:rPr>
                  </w:pPr>
                </w:p>
              </w:tc>
              <w:tc>
                <w:tcPr>
                  <w:tcW w:w="1454" w:type="dxa"/>
                  <w:shd w:val="clear" w:color="auto" w:fill="auto"/>
                  <w:vAlign w:val="center"/>
                </w:tcPr>
                <w:p w14:paraId="753A1F92">
                  <w:pPr>
                    <w:pStyle w:val="98"/>
                    <w:rPr>
                      <w:color w:val="auto"/>
                      <w:szCs w:val="21"/>
                    </w:rPr>
                  </w:pPr>
                  <w:r>
                    <w:rPr>
                      <w:rStyle w:val="99"/>
                      <w:color w:val="auto"/>
                      <w:sz w:val="21"/>
                      <w:szCs w:val="21"/>
                    </w:rPr>
                    <w:t>热风炉烟气</w:t>
                  </w:r>
                  <w:r>
                    <w:rPr>
                      <w:rStyle w:val="99"/>
                      <w:rFonts w:hint="eastAsia"/>
                      <w:color w:val="auto"/>
                      <w:sz w:val="21"/>
                      <w:szCs w:val="21"/>
                    </w:rPr>
                    <w:t>2</w:t>
                  </w:r>
                </w:p>
              </w:tc>
              <w:tc>
                <w:tcPr>
                  <w:tcW w:w="3579" w:type="dxa"/>
                  <w:shd w:val="clear" w:color="auto" w:fill="auto"/>
                  <w:vAlign w:val="center"/>
                </w:tcPr>
                <w:p w14:paraId="1B3130F7">
                  <w:pPr>
                    <w:jc w:val="center"/>
                    <w:rPr>
                      <w:color w:val="auto"/>
                      <w:szCs w:val="21"/>
                    </w:rPr>
                  </w:pPr>
                  <w:r>
                    <w:rPr>
                      <w:color w:val="auto"/>
                      <w:szCs w:val="21"/>
                    </w:rPr>
                    <w:t>热风炉烟气</w:t>
                  </w:r>
                  <w:r>
                    <w:rPr>
                      <w:bCs/>
                      <w:color w:val="auto"/>
                      <w:szCs w:val="21"/>
                    </w:rPr>
                    <w:t>经</w:t>
                  </w:r>
                  <w:r>
                    <w:rPr>
                      <w:rFonts w:hint="eastAsia"/>
                      <w:bCs/>
                      <w:color w:val="auto"/>
                      <w:szCs w:val="21"/>
                    </w:rPr>
                    <w:t>低氮燃烧+</w:t>
                  </w:r>
                  <w:r>
                    <w:rPr>
                      <w:bCs/>
                      <w:color w:val="auto"/>
                      <w:szCs w:val="21"/>
                    </w:rPr>
                    <w:t>布袋除尘器处理由1根</w:t>
                  </w:r>
                  <w:r>
                    <w:rPr>
                      <w:rFonts w:hint="eastAsia"/>
                      <w:color w:val="auto"/>
                      <w:szCs w:val="21"/>
                    </w:rPr>
                    <w:t>15m</w:t>
                  </w:r>
                  <w:r>
                    <w:rPr>
                      <w:color w:val="auto"/>
                      <w:szCs w:val="21"/>
                    </w:rPr>
                    <w:t>高烟囱排放</w:t>
                  </w:r>
                </w:p>
              </w:tc>
              <w:tc>
                <w:tcPr>
                  <w:tcW w:w="1359" w:type="dxa"/>
                  <w:shd w:val="clear" w:color="auto" w:fill="auto"/>
                  <w:vAlign w:val="center"/>
                </w:tcPr>
                <w:p w14:paraId="1D001235">
                  <w:pPr>
                    <w:widowControl/>
                    <w:jc w:val="center"/>
                    <w:textAlignment w:val="center"/>
                    <w:rPr>
                      <w:color w:val="auto"/>
                      <w:szCs w:val="21"/>
                    </w:rPr>
                  </w:pPr>
                  <w:r>
                    <w:rPr>
                      <w:rFonts w:hint="eastAsia"/>
                      <w:color w:val="auto"/>
                      <w:szCs w:val="21"/>
                    </w:rPr>
                    <w:t>6.5</w:t>
                  </w:r>
                </w:p>
              </w:tc>
            </w:tr>
            <w:tr w14:paraId="2939F6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36" w:type="dxa"/>
                  <w:vMerge w:val="continue"/>
                  <w:vAlign w:val="center"/>
                </w:tcPr>
                <w:p w14:paraId="426B56BA">
                  <w:pPr>
                    <w:pStyle w:val="98"/>
                    <w:rPr>
                      <w:color w:val="auto"/>
                      <w:szCs w:val="21"/>
                    </w:rPr>
                  </w:pPr>
                </w:p>
              </w:tc>
              <w:tc>
                <w:tcPr>
                  <w:tcW w:w="1106" w:type="dxa"/>
                  <w:vMerge w:val="continue"/>
                  <w:vAlign w:val="center"/>
                </w:tcPr>
                <w:p w14:paraId="7F1A90E1">
                  <w:pPr>
                    <w:pStyle w:val="98"/>
                    <w:rPr>
                      <w:color w:val="auto"/>
                      <w:szCs w:val="21"/>
                    </w:rPr>
                  </w:pPr>
                </w:p>
              </w:tc>
              <w:tc>
                <w:tcPr>
                  <w:tcW w:w="1454" w:type="dxa"/>
                  <w:shd w:val="clear" w:color="auto" w:fill="auto"/>
                  <w:vAlign w:val="center"/>
                </w:tcPr>
                <w:p w14:paraId="169216BB">
                  <w:pPr>
                    <w:jc w:val="center"/>
                    <w:rPr>
                      <w:color w:val="auto"/>
                      <w:szCs w:val="21"/>
                    </w:rPr>
                  </w:pPr>
                  <w:r>
                    <w:rPr>
                      <w:color w:val="auto"/>
                      <w:szCs w:val="21"/>
                    </w:rPr>
                    <w:t>烘干塔废气</w:t>
                  </w:r>
                  <w:r>
                    <w:rPr>
                      <w:rFonts w:hint="eastAsia"/>
                      <w:color w:val="auto"/>
                      <w:szCs w:val="21"/>
                    </w:rPr>
                    <w:t>2</w:t>
                  </w:r>
                </w:p>
              </w:tc>
              <w:tc>
                <w:tcPr>
                  <w:tcW w:w="3579" w:type="dxa"/>
                  <w:shd w:val="clear" w:color="auto" w:fill="auto"/>
                  <w:vAlign w:val="center"/>
                </w:tcPr>
                <w:p w14:paraId="164AA2A3">
                  <w:pPr>
                    <w:jc w:val="center"/>
                    <w:rPr>
                      <w:color w:val="auto"/>
                      <w:szCs w:val="21"/>
                    </w:rPr>
                  </w:pPr>
                  <w:r>
                    <w:rPr>
                      <w:color w:val="auto"/>
                      <w:szCs w:val="21"/>
                    </w:rPr>
                    <w:t>在烘干塔塔体两侧排气孔设置折流挡板，塔顶排气孔设滤尘网</w:t>
                  </w:r>
                </w:p>
              </w:tc>
              <w:tc>
                <w:tcPr>
                  <w:tcW w:w="1359" w:type="dxa"/>
                  <w:shd w:val="clear" w:color="auto" w:fill="auto"/>
                  <w:vAlign w:val="center"/>
                </w:tcPr>
                <w:p w14:paraId="1D55F0BC">
                  <w:pPr>
                    <w:widowControl/>
                    <w:jc w:val="center"/>
                    <w:textAlignment w:val="center"/>
                    <w:rPr>
                      <w:color w:val="auto"/>
                      <w:szCs w:val="21"/>
                    </w:rPr>
                  </w:pPr>
                  <w:r>
                    <w:rPr>
                      <w:color w:val="auto"/>
                      <w:szCs w:val="21"/>
                    </w:rPr>
                    <w:t>3</w:t>
                  </w:r>
                  <w:r>
                    <w:rPr>
                      <w:rFonts w:hint="eastAsia"/>
                      <w:color w:val="auto"/>
                      <w:szCs w:val="21"/>
                    </w:rPr>
                    <w:t>.5</w:t>
                  </w:r>
                </w:p>
              </w:tc>
            </w:tr>
            <w:tr w14:paraId="6F8CAF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36" w:type="dxa"/>
                  <w:vMerge w:val="continue"/>
                  <w:vAlign w:val="center"/>
                </w:tcPr>
                <w:p w14:paraId="4C1E907B">
                  <w:pPr>
                    <w:pStyle w:val="98"/>
                    <w:rPr>
                      <w:color w:val="auto"/>
                      <w:szCs w:val="21"/>
                    </w:rPr>
                  </w:pPr>
                </w:p>
              </w:tc>
              <w:tc>
                <w:tcPr>
                  <w:tcW w:w="1106" w:type="dxa"/>
                  <w:vMerge w:val="continue"/>
                  <w:vAlign w:val="center"/>
                </w:tcPr>
                <w:p w14:paraId="5A66197C">
                  <w:pPr>
                    <w:pStyle w:val="98"/>
                    <w:rPr>
                      <w:color w:val="auto"/>
                      <w:szCs w:val="21"/>
                    </w:rPr>
                  </w:pPr>
                </w:p>
              </w:tc>
              <w:tc>
                <w:tcPr>
                  <w:tcW w:w="1454" w:type="dxa"/>
                  <w:shd w:val="clear" w:color="auto" w:fill="auto"/>
                  <w:vAlign w:val="center"/>
                </w:tcPr>
                <w:p w14:paraId="3C47A83B">
                  <w:pPr>
                    <w:pStyle w:val="98"/>
                    <w:rPr>
                      <w:color w:val="auto"/>
                      <w:szCs w:val="21"/>
                    </w:rPr>
                  </w:pPr>
                  <w:r>
                    <w:rPr>
                      <w:rStyle w:val="99"/>
                      <w:rFonts w:hint="eastAsia"/>
                      <w:color w:val="auto"/>
                      <w:sz w:val="21"/>
                      <w:szCs w:val="21"/>
                    </w:rPr>
                    <w:t>热风炉房</w:t>
                  </w:r>
                </w:p>
              </w:tc>
              <w:tc>
                <w:tcPr>
                  <w:tcW w:w="3579" w:type="dxa"/>
                  <w:shd w:val="clear" w:color="auto" w:fill="auto"/>
                  <w:vAlign w:val="center"/>
                </w:tcPr>
                <w:p w14:paraId="07C419DB">
                  <w:pPr>
                    <w:jc w:val="center"/>
                    <w:rPr>
                      <w:color w:val="auto"/>
                      <w:szCs w:val="21"/>
                    </w:rPr>
                  </w:pPr>
                  <w:r>
                    <w:rPr>
                      <w:rStyle w:val="99"/>
                      <w:rFonts w:hint="eastAsia"/>
                      <w:color w:val="auto"/>
                      <w:sz w:val="21"/>
                      <w:szCs w:val="21"/>
                    </w:rPr>
                    <w:t>热风炉房密闭，定期洒水降尘</w:t>
                  </w:r>
                </w:p>
              </w:tc>
              <w:tc>
                <w:tcPr>
                  <w:tcW w:w="1359" w:type="dxa"/>
                  <w:shd w:val="clear" w:color="auto" w:fill="auto"/>
                  <w:vAlign w:val="center"/>
                </w:tcPr>
                <w:p w14:paraId="5C83C349">
                  <w:pPr>
                    <w:widowControl/>
                    <w:jc w:val="center"/>
                    <w:textAlignment w:val="center"/>
                    <w:rPr>
                      <w:color w:val="auto"/>
                      <w:szCs w:val="21"/>
                    </w:rPr>
                  </w:pPr>
                  <w:r>
                    <w:rPr>
                      <w:rFonts w:hint="eastAsia"/>
                      <w:color w:val="auto"/>
                      <w:szCs w:val="21"/>
                      <w:lang w:val="en-US" w:eastAsia="zh-CN"/>
                    </w:rPr>
                    <w:t>2</w:t>
                  </w:r>
                  <w:r>
                    <w:rPr>
                      <w:rFonts w:hint="eastAsia"/>
                      <w:color w:val="auto"/>
                      <w:szCs w:val="21"/>
                    </w:rPr>
                    <w:t>.0</w:t>
                  </w:r>
                </w:p>
              </w:tc>
            </w:tr>
            <w:tr w14:paraId="0E0165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36" w:type="dxa"/>
                  <w:vMerge w:val="continue"/>
                  <w:vAlign w:val="center"/>
                </w:tcPr>
                <w:p w14:paraId="5F8BA3D9">
                  <w:pPr>
                    <w:pStyle w:val="98"/>
                    <w:rPr>
                      <w:color w:val="auto"/>
                      <w:szCs w:val="21"/>
                    </w:rPr>
                  </w:pPr>
                </w:p>
              </w:tc>
              <w:tc>
                <w:tcPr>
                  <w:tcW w:w="1106" w:type="dxa"/>
                  <w:vMerge w:val="continue"/>
                  <w:vAlign w:val="center"/>
                </w:tcPr>
                <w:p w14:paraId="7234B03B">
                  <w:pPr>
                    <w:pStyle w:val="98"/>
                    <w:rPr>
                      <w:color w:val="auto"/>
                      <w:szCs w:val="21"/>
                    </w:rPr>
                  </w:pPr>
                </w:p>
              </w:tc>
              <w:tc>
                <w:tcPr>
                  <w:tcW w:w="1454" w:type="dxa"/>
                  <w:shd w:val="clear" w:color="auto" w:fill="auto"/>
                  <w:vAlign w:val="center"/>
                </w:tcPr>
                <w:p w14:paraId="69A051E7">
                  <w:pPr>
                    <w:pStyle w:val="98"/>
                    <w:rPr>
                      <w:rStyle w:val="99"/>
                      <w:rFonts w:hint="eastAsia" w:eastAsia="宋体"/>
                      <w:color w:val="auto"/>
                      <w:sz w:val="21"/>
                      <w:szCs w:val="21"/>
                      <w:lang w:val="en-US" w:eastAsia="zh-CN"/>
                    </w:rPr>
                  </w:pPr>
                  <w:r>
                    <w:rPr>
                      <w:rStyle w:val="99"/>
                      <w:rFonts w:hint="eastAsia"/>
                      <w:color w:val="auto"/>
                      <w:sz w:val="21"/>
                      <w:szCs w:val="21"/>
                      <w:lang w:val="en-US" w:eastAsia="zh-CN"/>
                    </w:rPr>
                    <w:t>输送粉尘</w:t>
                  </w:r>
                </w:p>
              </w:tc>
              <w:tc>
                <w:tcPr>
                  <w:tcW w:w="3579" w:type="dxa"/>
                  <w:shd w:val="clear" w:color="auto" w:fill="auto"/>
                  <w:vAlign w:val="center"/>
                </w:tcPr>
                <w:p w14:paraId="0353C362">
                  <w:pPr>
                    <w:jc w:val="center"/>
                    <w:rPr>
                      <w:rStyle w:val="99"/>
                      <w:rFonts w:hint="eastAsia"/>
                      <w:color w:val="auto"/>
                      <w:sz w:val="21"/>
                      <w:szCs w:val="21"/>
                    </w:rPr>
                  </w:pPr>
                  <w:r>
                    <w:rPr>
                      <w:rStyle w:val="99"/>
                      <w:rFonts w:hint="eastAsia"/>
                      <w:color w:val="auto"/>
                      <w:sz w:val="21"/>
                      <w:szCs w:val="21"/>
                    </w:rPr>
                    <w:t>原粮装卸过程在装卸末端设置临时围挡</w:t>
                  </w:r>
                </w:p>
              </w:tc>
              <w:tc>
                <w:tcPr>
                  <w:tcW w:w="1359" w:type="dxa"/>
                  <w:shd w:val="clear" w:color="auto" w:fill="auto"/>
                  <w:vAlign w:val="center"/>
                </w:tcPr>
                <w:p w14:paraId="10EDDF00">
                  <w:pPr>
                    <w:widowControl/>
                    <w:jc w:val="center"/>
                    <w:textAlignment w:val="center"/>
                    <w:rPr>
                      <w:rFonts w:hint="default" w:eastAsia="宋体"/>
                      <w:color w:val="auto"/>
                      <w:szCs w:val="21"/>
                      <w:lang w:val="en-US" w:eastAsia="zh-CN"/>
                    </w:rPr>
                  </w:pPr>
                  <w:r>
                    <w:rPr>
                      <w:rFonts w:hint="eastAsia"/>
                      <w:color w:val="auto"/>
                      <w:szCs w:val="21"/>
                      <w:lang w:val="en-US" w:eastAsia="zh-CN"/>
                    </w:rPr>
                    <w:t>2.0</w:t>
                  </w:r>
                </w:p>
              </w:tc>
            </w:tr>
            <w:tr w14:paraId="64666A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dxa"/>
                  <w:vMerge w:val="continue"/>
                  <w:vAlign w:val="center"/>
                </w:tcPr>
                <w:p w14:paraId="6838630A">
                  <w:pPr>
                    <w:pStyle w:val="98"/>
                    <w:rPr>
                      <w:color w:val="auto"/>
                      <w:szCs w:val="21"/>
                    </w:rPr>
                  </w:pPr>
                </w:p>
              </w:tc>
              <w:tc>
                <w:tcPr>
                  <w:tcW w:w="1106" w:type="dxa"/>
                  <w:vAlign w:val="center"/>
                </w:tcPr>
                <w:p w14:paraId="1F464EBD">
                  <w:pPr>
                    <w:pStyle w:val="98"/>
                    <w:rPr>
                      <w:color w:val="auto"/>
                      <w:szCs w:val="21"/>
                    </w:rPr>
                  </w:pPr>
                  <w:r>
                    <w:rPr>
                      <w:color w:val="auto"/>
                      <w:szCs w:val="21"/>
                    </w:rPr>
                    <w:t>噪声处理</w:t>
                  </w:r>
                </w:p>
              </w:tc>
              <w:tc>
                <w:tcPr>
                  <w:tcW w:w="1454" w:type="dxa"/>
                  <w:vAlign w:val="center"/>
                </w:tcPr>
                <w:p w14:paraId="147B1BD8">
                  <w:pPr>
                    <w:pStyle w:val="98"/>
                    <w:rPr>
                      <w:color w:val="auto"/>
                      <w:szCs w:val="21"/>
                    </w:rPr>
                  </w:pPr>
                  <w:r>
                    <w:rPr>
                      <w:color w:val="auto"/>
                      <w:szCs w:val="21"/>
                    </w:rPr>
                    <w:t>设备噪声</w:t>
                  </w:r>
                </w:p>
              </w:tc>
              <w:tc>
                <w:tcPr>
                  <w:tcW w:w="3579" w:type="dxa"/>
                  <w:vAlign w:val="center"/>
                </w:tcPr>
                <w:p w14:paraId="27F126B8">
                  <w:pPr>
                    <w:pStyle w:val="98"/>
                    <w:rPr>
                      <w:color w:val="auto"/>
                      <w:szCs w:val="21"/>
                    </w:rPr>
                  </w:pPr>
                  <w:r>
                    <w:rPr>
                      <w:color w:val="auto"/>
                      <w:szCs w:val="21"/>
                    </w:rPr>
                    <w:t>对烘干机、输送机、提升机等高噪声设备加装减振基础，安装</w:t>
                  </w:r>
                  <w:r>
                    <w:rPr>
                      <w:rFonts w:hint="eastAsia"/>
                      <w:color w:val="auto"/>
                      <w:szCs w:val="21"/>
                    </w:rPr>
                    <w:t>基础减振</w:t>
                  </w:r>
                  <w:r>
                    <w:rPr>
                      <w:color w:val="auto"/>
                      <w:szCs w:val="21"/>
                    </w:rPr>
                    <w:t>，风机设置减振底座，并在风机进、出风口装设消音器，加强设备的维护</w:t>
                  </w:r>
                </w:p>
              </w:tc>
              <w:tc>
                <w:tcPr>
                  <w:tcW w:w="1359" w:type="dxa"/>
                  <w:vAlign w:val="center"/>
                </w:tcPr>
                <w:p w14:paraId="0A30A4E1">
                  <w:pPr>
                    <w:widowControl/>
                    <w:jc w:val="center"/>
                    <w:textAlignment w:val="center"/>
                    <w:rPr>
                      <w:rFonts w:hint="default" w:eastAsia="宋体"/>
                      <w:color w:val="auto"/>
                      <w:szCs w:val="21"/>
                      <w:lang w:val="en-US" w:eastAsia="zh-CN"/>
                    </w:rPr>
                  </w:pPr>
                  <w:r>
                    <w:rPr>
                      <w:color w:val="auto"/>
                      <w:kern w:val="0"/>
                      <w:szCs w:val="21"/>
                      <w:lang w:bidi="ar"/>
                    </w:rPr>
                    <w:t>2</w:t>
                  </w:r>
                  <w:r>
                    <w:rPr>
                      <w:rFonts w:hint="eastAsia"/>
                      <w:color w:val="auto"/>
                      <w:kern w:val="0"/>
                      <w:szCs w:val="21"/>
                      <w:lang w:val="en-US" w:eastAsia="zh-CN" w:bidi="ar"/>
                    </w:rPr>
                    <w:t>.5</w:t>
                  </w:r>
                </w:p>
              </w:tc>
            </w:tr>
            <w:tr w14:paraId="429EF6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6" w:type="dxa"/>
                  <w:vMerge w:val="continue"/>
                  <w:vAlign w:val="center"/>
                </w:tcPr>
                <w:p w14:paraId="7A5B32DD">
                  <w:pPr>
                    <w:pStyle w:val="98"/>
                    <w:rPr>
                      <w:color w:val="auto"/>
                      <w:szCs w:val="21"/>
                    </w:rPr>
                  </w:pPr>
                </w:p>
              </w:tc>
              <w:tc>
                <w:tcPr>
                  <w:tcW w:w="1106" w:type="dxa"/>
                  <w:vAlign w:val="center"/>
                </w:tcPr>
                <w:p w14:paraId="01E5A042">
                  <w:pPr>
                    <w:pStyle w:val="98"/>
                    <w:rPr>
                      <w:color w:val="auto"/>
                      <w:szCs w:val="21"/>
                    </w:rPr>
                  </w:pPr>
                  <w:r>
                    <w:rPr>
                      <w:color w:val="auto"/>
                      <w:szCs w:val="21"/>
                    </w:rPr>
                    <w:t>固废处理</w:t>
                  </w:r>
                </w:p>
              </w:tc>
              <w:tc>
                <w:tcPr>
                  <w:tcW w:w="1454" w:type="dxa"/>
                  <w:vAlign w:val="center"/>
                </w:tcPr>
                <w:p w14:paraId="50997BE8">
                  <w:pPr>
                    <w:pStyle w:val="98"/>
                    <w:rPr>
                      <w:color w:val="auto"/>
                      <w:szCs w:val="21"/>
                    </w:rPr>
                  </w:pPr>
                  <w:r>
                    <w:rPr>
                      <w:color w:val="auto"/>
                      <w:szCs w:val="21"/>
                    </w:rPr>
                    <w:t>一般工业固体废物</w:t>
                  </w:r>
                </w:p>
              </w:tc>
              <w:tc>
                <w:tcPr>
                  <w:tcW w:w="3579" w:type="dxa"/>
                  <w:vAlign w:val="center"/>
                </w:tcPr>
                <w:p w14:paraId="039C2D00">
                  <w:pPr>
                    <w:pStyle w:val="98"/>
                    <w:rPr>
                      <w:color w:val="auto"/>
                      <w:szCs w:val="21"/>
                    </w:rPr>
                  </w:pPr>
                  <w:r>
                    <w:rPr>
                      <w:color w:val="auto"/>
                      <w:szCs w:val="21"/>
                    </w:rPr>
                    <w:t>一般工业固体废物收集设施</w:t>
                  </w:r>
                </w:p>
              </w:tc>
              <w:tc>
                <w:tcPr>
                  <w:tcW w:w="1359" w:type="dxa"/>
                  <w:vAlign w:val="center"/>
                </w:tcPr>
                <w:p w14:paraId="6ABF9BE1">
                  <w:pPr>
                    <w:widowControl/>
                    <w:jc w:val="center"/>
                    <w:textAlignment w:val="center"/>
                    <w:rPr>
                      <w:rFonts w:hint="default" w:eastAsia="宋体"/>
                      <w:color w:val="auto"/>
                      <w:szCs w:val="21"/>
                      <w:lang w:val="en-US" w:eastAsia="zh-CN"/>
                    </w:rPr>
                  </w:pPr>
                  <w:r>
                    <w:rPr>
                      <w:rFonts w:hint="eastAsia"/>
                      <w:color w:val="auto"/>
                      <w:szCs w:val="21"/>
                      <w:lang w:val="en-US" w:eastAsia="zh-CN"/>
                    </w:rPr>
                    <w:t>2.5</w:t>
                  </w:r>
                </w:p>
              </w:tc>
            </w:tr>
            <w:tr w14:paraId="580F9D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575" w:type="dxa"/>
                  <w:gridSpan w:val="4"/>
                  <w:vAlign w:val="center"/>
                </w:tcPr>
                <w:p w14:paraId="55D7DFD3">
                  <w:pPr>
                    <w:pStyle w:val="98"/>
                    <w:rPr>
                      <w:color w:val="auto"/>
                      <w:szCs w:val="21"/>
                    </w:rPr>
                  </w:pPr>
                  <w:r>
                    <w:rPr>
                      <w:rFonts w:hint="eastAsia"/>
                      <w:color w:val="auto"/>
                      <w:szCs w:val="21"/>
                    </w:rPr>
                    <w:t>例行监测、</w:t>
                  </w:r>
                  <w:r>
                    <w:rPr>
                      <w:color w:val="auto"/>
                      <w:szCs w:val="21"/>
                    </w:rPr>
                    <w:t>运行维护</w:t>
                  </w:r>
                </w:p>
              </w:tc>
              <w:tc>
                <w:tcPr>
                  <w:tcW w:w="1359" w:type="dxa"/>
                  <w:vAlign w:val="center"/>
                </w:tcPr>
                <w:p w14:paraId="61D6D91D">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1.0</w:t>
                  </w:r>
                </w:p>
              </w:tc>
            </w:tr>
            <w:tr w14:paraId="1472F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575" w:type="dxa"/>
                  <w:gridSpan w:val="4"/>
                  <w:vAlign w:val="center"/>
                </w:tcPr>
                <w:p w14:paraId="7A3A1093">
                  <w:pPr>
                    <w:pStyle w:val="98"/>
                    <w:rPr>
                      <w:color w:val="auto"/>
                      <w:szCs w:val="21"/>
                    </w:rPr>
                  </w:pPr>
                  <w:r>
                    <w:rPr>
                      <w:color w:val="auto"/>
                      <w:szCs w:val="21"/>
                    </w:rPr>
                    <w:t>环保投资合计</w:t>
                  </w:r>
                </w:p>
              </w:tc>
              <w:tc>
                <w:tcPr>
                  <w:tcW w:w="1359" w:type="dxa"/>
                  <w:vAlign w:val="center"/>
                </w:tcPr>
                <w:p w14:paraId="4FF7DD22">
                  <w:pPr>
                    <w:pStyle w:val="98"/>
                    <w:rPr>
                      <w:rFonts w:hint="default" w:eastAsia="宋体"/>
                      <w:color w:val="auto"/>
                      <w:szCs w:val="21"/>
                      <w:lang w:val="en-US" w:eastAsia="zh-CN"/>
                    </w:rPr>
                  </w:pPr>
                  <w:r>
                    <w:rPr>
                      <w:rFonts w:hint="eastAsia"/>
                      <w:color w:val="auto"/>
                      <w:szCs w:val="21"/>
                      <w:lang w:val="en-US" w:eastAsia="zh-CN"/>
                    </w:rPr>
                    <w:t>30</w:t>
                  </w:r>
                </w:p>
              </w:tc>
            </w:tr>
            <w:tr w14:paraId="6EFED7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5" w:type="dxa"/>
                  <w:gridSpan w:val="4"/>
                  <w:vAlign w:val="center"/>
                </w:tcPr>
                <w:p w14:paraId="79F3CB2B">
                  <w:pPr>
                    <w:pStyle w:val="98"/>
                    <w:rPr>
                      <w:color w:val="auto"/>
                      <w:szCs w:val="21"/>
                    </w:rPr>
                  </w:pPr>
                  <w:r>
                    <w:rPr>
                      <w:color w:val="auto"/>
                      <w:szCs w:val="21"/>
                    </w:rPr>
                    <w:t>总投资</w:t>
                  </w:r>
                </w:p>
              </w:tc>
              <w:tc>
                <w:tcPr>
                  <w:tcW w:w="1359" w:type="dxa"/>
                  <w:vAlign w:val="center"/>
                </w:tcPr>
                <w:p w14:paraId="35E699D1">
                  <w:pPr>
                    <w:pStyle w:val="98"/>
                    <w:rPr>
                      <w:color w:val="auto"/>
                      <w:szCs w:val="21"/>
                    </w:rPr>
                  </w:pPr>
                  <w:r>
                    <w:rPr>
                      <w:rFonts w:hint="eastAsia"/>
                      <w:color w:val="auto"/>
                      <w:szCs w:val="21"/>
                    </w:rPr>
                    <w:t>100</w:t>
                  </w:r>
                </w:p>
              </w:tc>
            </w:tr>
            <w:tr w14:paraId="4AF542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5" w:type="dxa"/>
                  <w:gridSpan w:val="4"/>
                  <w:vAlign w:val="center"/>
                </w:tcPr>
                <w:p w14:paraId="0BB46C06">
                  <w:pPr>
                    <w:pStyle w:val="98"/>
                    <w:rPr>
                      <w:color w:val="auto"/>
                      <w:szCs w:val="21"/>
                    </w:rPr>
                  </w:pPr>
                  <w:r>
                    <w:rPr>
                      <w:color w:val="auto"/>
                      <w:szCs w:val="21"/>
                    </w:rPr>
                    <w:t>环保投资比</w:t>
                  </w:r>
                </w:p>
              </w:tc>
              <w:tc>
                <w:tcPr>
                  <w:tcW w:w="1359" w:type="dxa"/>
                  <w:vAlign w:val="center"/>
                </w:tcPr>
                <w:p w14:paraId="1255F835">
                  <w:pPr>
                    <w:pStyle w:val="98"/>
                    <w:rPr>
                      <w:color w:val="auto"/>
                      <w:szCs w:val="21"/>
                    </w:rPr>
                  </w:pPr>
                  <w:r>
                    <w:rPr>
                      <w:rFonts w:hint="eastAsia"/>
                      <w:color w:val="auto"/>
                      <w:szCs w:val="21"/>
                      <w:lang w:val="en-US" w:eastAsia="zh-CN"/>
                    </w:rPr>
                    <w:t>30</w:t>
                  </w:r>
                  <w:r>
                    <w:rPr>
                      <w:rFonts w:hint="eastAsia"/>
                      <w:color w:val="auto"/>
                      <w:szCs w:val="21"/>
                    </w:rPr>
                    <w:t>%</w:t>
                  </w:r>
                </w:p>
              </w:tc>
            </w:tr>
          </w:tbl>
          <w:p w14:paraId="7625706F">
            <w:pPr>
              <w:pStyle w:val="28"/>
              <w:ind w:firstLine="0" w:firstLineChars="0"/>
              <w:rPr>
                <w:color w:val="auto"/>
              </w:rPr>
            </w:pPr>
          </w:p>
        </w:tc>
      </w:tr>
      <w:tr w14:paraId="24830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6853A41A">
            <w:pPr>
              <w:pStyle w:val="30"/>
              <w:adjustRightInd w:val="0"/>
              <w:snapToGrid w:val="0"/>
              <w:spacing w:before="0" w:beforeAutospacing="0" w:after="0" w:afterAutospacing="0" w:line="360" w:lineRule="auto"/>
              <w:jc w:val="center"/>
              <w:rPr>
                <w:rFonts w:ascii="Times New Roman" w:hAnsi="Times New Roman"/>
                <w:color w:val="auto"/>
                <w:szCs w:val="24"/>
              </w:rPr>
            </w:pPr>
            <w:r>
              <w:rPr>
                <w:rFonts w:ascii="Times New Roman" w:hAnsi="Times New Roman"/>
                <w:color w:val="auto"/>
                <w:szCs w:val="24"/>
              </w:rPr>
              <w:t>工艺流程和产排污环节</w:t>
            </w:r>
          </w:p>
        </w:tc>
        <w:tc>
          <w:tcPr>
            <w:tcW w:w="8161" w:type="dxa"/>
          </w:tcPr>
          <w:p w14:paraId="45F1E44F">
            <w:pPr>
              <w:pStyle w:val="57"/>
              <w:spacing w:line="360" w:lineRule="auto"/>
              <w:ind w:firstLine="480"/>
              <w:rPr>
                <w:bCs/>
                <w:color w:val="auto"/>
              </w:rPr>
            </w:pPr>
            <w:r>
              <w:rPr>
                <w:bCs/>
                <w:color w:val="auto"/>
              </w:rPr>
              <w:t>生产工艺流程简述：</w:t>
            </w:r>
          </w:p>
          <w:p w14:paraId="35DF293F">
            <w:pPr>
              <w:pStyle w:val="57"/>
              <w:spacing w:line="360" w:lineRule="auto"/>
              <w:ind w:firstLine="480"/>
              <w:rPr>
                <w:bCs/>
                <w:color w:val="auto"/>
              </w:rPr>
            </w:pPr>
            <w:r>
              <w:rPr>
                <w:rFonts w:hint="eastAsia"/>
                <w:bCs/>
                <w:color w:val="auto"/>
              </w:rPr>
              <w:t>玉米、水稻</w:t>
            </w:r>
            <w:r>
              <w:rPr>
                <w:bCs/>
                <w:color w:val="auto"/>
              </w:rPr>
              <w:t>原粮运输进厂，</w:t>
            </w:r>
            <w:r>
              <w:rPr>
                <w:rFonts w:hint="eastAsia"/>
                <w:bCs/>
                <w:color w:val="auto"/>
              </w:rPr>
              <w:t>过磅称重后，运输至指定卸车区域后通过皮带运输机运输至潮粮仓；此过程会产生粉尘和噪声。</w:t>
            </w:r>
          </w:p>
          <w:p w14:paraId="176C72A9">
            <w:pPr>
              <w:pStyle w:val="57"/>
              <w:spacing w:line="360" w:lineRule="auto"/>
              <w:ind w:firstLine="480"/>
              <w:rPr>
                <w:bCs/>
                <w:color w:val="auto"/>
              </w:rPr>
            </w:pPr>
            <w:r>
              <w:rPr>
                <w:bCs/>
                <w:color w:val="auto"/>
              </w:rPr>
              <w:t>首先由检验人员取样检验水分等，再经检斤后</w:t>
            </w:r>
            <w:r>
              <w:rPr>
                <w:rFonts w:hint="eastAsia"/>
                <w:bCs/>
                <w:color w:val="auto"/>
              </w:rPr>
              <w:t>送入烘干塔烘干</w:t>
            </w:r>
            <w:r>
              <w:rPr>
                <w:bCs/>
                <w:color w:val="auto"/>
              </w:rPr>
              <w:t>。检验过程无化学反应产生，不使用高噪声设备，检验过程不产生废气、废水、噪声；输送过程产生粉尘和噪声。</w:t>
            </w:r>
          </w:p>
          <w:p w14:paraId="19ABFF5E">
            <w:pPr>
              <w:pStyle w:val="57"/>
              <w:spacing w:line="360" w:lineRule="auto"/>
              <w:ind w:firstLine="480"/>
              <w:rPr>
                <w:bCs/>
                <w:color w:val="auto"/>
              </w:rPr>
            </w:pPr>
            <w:r>
              <w:rPr>
                <w:bCs/>
                <w:color w:val="auto"/>
              </w:rPr>
              <w:t>库房中的粮食筛分后经提升机送入烘干塔。此过程产生粉尘、噪声和固废杂质。</w:t>
            </w:r>
          </w:p>
          <w:p w14:paraId="3DB2AABC">
            <w:pPr>
              <w:pStyle w:val="57"/>
              <w:spacing w:line="360" w:lineRule="auto"/>
              <w:ind w:firstLine="480"/>
              <w:rPr>
                <w:bCs/>
                <w:color w:val="auto"/>
              </w:rPr>
            </w:pPr>
            <w:r>
              <w:rPr>
                <w:bCs/>
                <w:color w:val="auto"/>
              </w:rPr>
              <w:t>原粮由塔顶进入烘干塔，通过热风炉产生的热风加热烘干。</w:t>
            </w:r>
          </w:p>
          <w:p w14:paraId="75C81356">
            <w:pPr>
              <w:pStyle w:val="57"/>
              <w:spacing w:line="360" w:lineRule="auto"/>
              <w:ind w:firstLine="480"/>
              <w:rPr>
                <w:bCs/>
                <w:color w:val="auto"/>
              </w:rPr>
            </w:pPr>
            <w:r>
              <w:rPr>
                <w:bCs/>
                <w:color w:val="auto"/>
              </w:rPr>
              <w:t>生物质燃料在热风炉中点燃，热风炉燃烧时产生的高温烟气经引风机输送至烘干塔内的热交换器，与烘干塔内进入的冷空气进行热量交换后，经烘干塔顶部排出，被加热的冷空气变成热空气，对塔内的原粮进行高温烘干处理。</w:t>
            </w:r>
          </w:p>
          <w:p w14:paraId="50A41924">
            <w:pPr>
              <w:pStyle w:val="57"/>
              <w:spacing w:line="360" w:lineRule="auto"/>
              <w:ind w:firstLine="480"/>
              <w:rPr>
                <w:bCs/>
                <w:color w:val="auto"/>
              </w:rPr>
            </w:pPr>
            <w:r>
              <w:rPr>
                <w:rFonts w:hint="eastAsia"/>
                <w:bCs/>
                <w:color w:val="auto"/>
              </w:rPr>
              <w:t>烘干后对烘干塔内粮食进行冷却处理。</w:t>
            </w:r>
          </w:p>
          <w:p w14:paraId="098BF29A">
            <w:pPr>
              <w:pStyle w:val="57"/>
              <w:spacing w:line="360" w:lineRule="auto"/>
              <w:ind w:left="420" w:leftChars="200" w:firstLine="0" w:firstLineChars="0"/>
              <w:rPr>
                <w:bCs/>
                <w:color w:val="auto"/>
              </w:rPr>
            </w:pPr>
            <w:r>
              <w:rPr>
                <w:rFonts w:hint="eastAsia"/>
                <w:bCs/>
                <w:color w:val="auto"/>
              </w:rPr>
              <w:t>冷却</w:t>
            </w:r>
            <w:r>
              <w:rPr>
                <w:bCs/>
                <w:color w:val="auto"/>
              </w:rPr>
              <w:t>后玉米进入干粮仓内，及时运至厂内</w:t>
            </w:r>
            <w:r>
              <w:rPr>
                <w:rFonts w:hint="eastAsia"/>
                <w:bCs/>
                <w:color w:val="auto"/>
              </w:rPr>
              <w:t>干粮仓</w:t>
            </w:r>
            <w:r>
              <w:rPr>
                <w:bCs/>
                <w:color w:val="auto"/>
              </w:rPr>
              <w:t>内储存或外售。</w:t>
            </w:r>
          </w:p>
          <w:p w14:paraId="76685426">
            <w:pPr>
              <w:pStyle w:val="57"/>
              <w:spacing w:line="360" w:lineRule="auto"/>
              <w:ind w:firstLine="480"/>
              <w:rPr>
                <w:rFonts w:hint="default" w:ascii="Times New Roman" w:hAnsi="Times New Roman" w:eastAsia="宋体" w:cs="Times New Roman"/>
                <w:bCs/>
                <w:color w:val="auto"/>
                <w:highlight w:val="none"/>
                <w:lang w:val="en-US" w:eastAsia="zh-CN"/>
              </w:rPr>
            </w:pPr>
            <w:r>
              <w:rPr>
                <w:rFonts w:hint="eastAsia" w:ascii="Times New Roman" w:hAnsi="Times New Roman" w:cs="Times New Roman"/>
                <w:bCs/>
                <w:color w:val="auto"/>
                <w:highlight w:val="none"/>
                <w:lang w:val="en-US" w:eastAsia="zh-CN"/>
              </w:rPr>
              <w:t>低氮燃烧技术工艺流程简述：将助燃空气分为两级送入，第一级提供70%–80%空气，使燃料在富燃、缺氧条件下燃烧，降低火焰峰值温度，抑制热力型NOx生成；第二级空气在下游补入，完成燃尽过程。</w:t>
            </w:r>
          </w:p>
          <w:p w14:paraId="242CF9F1">
            <w:pPr>
              <w:pStyle w:val="57"/>
              <w:spacing w:line="360" w:lineRule="auto"/>
              <w:ind w:firstLine="480"/>
              <w:rPr>
                <w:color w:val="auto"/>
              </w:rPr>
            </w:pPr>
            <w:r>
              <w:rPr>
                <w:color w:val="auto"/>
              </w:rPr>
              <w:t>项目主要生产工艺流程及产污环节见下图。</w:t>
            </w:r>
          </w:p>
          <w:p w14:paraId="6311FAE1">
            <w:pPr>
              <w:pStyle w:val="57"/>
              <w:spacing w:line="360" w:lineRule="auto"/>
              <w:ind w:firstLine="0" w:firstLineChars="0"/>
              <w:jc w:val="center"/>
              <w:rPr>
                <w:color w:val="auto"/>
              </w:rPr>
            </w:pPr>
            <w:r>
              <w:rPr>
                <w:color w:val="auto"/>
                <w:sz w:val="21"/>
                <w:szCs w:val="21"/>
              </w:rPr>
              <w:object>
                <v:shape id="_x0000_i1035" o:spt="75" type="#_x0000_t75" style="height:382pt;width:324.55pt;" o:ole="t" filled="f" o:preferrelative="t" stroked="f" coordsize="21600,21600">
                  <v:path/>
                  <v:fill on="f" focussize="0,0"/>
                  <v:stroke on="f" joinstyle="miter"/>
                  <v:imagedata r:id="rId31" o:title=""/>
                  <o:lock v:ext="edit" aspectratio="f"/>
                  <w10:wrap type="none"/>
                  <w10:anchorlock/>
                </v:shape>
                <o:OLEObject Type="Embed" ProgID="Visio.Drawing.11" ShapeID="_x0000_i1035" DrawAspect="Content" ObjectID="_1468075735" r:id="rId30">
                  <o:LockedField>false</o:LockedField>
                </o:OLEObject>
              </w:object>
            </w:r>
          </w:p>
          <w:p w14:paraId="2DB14C82">
            <w:pPr>
              <w:spacing w:line="360" w:lineRule="auto"/>
              <w:ind w:firstLine="422" w:firstLineChars="200"/>
              <w:jc w:val="center"/>
              <w:rPr>
                <w:b/>
                <w:bCs/>
                <w:color w:val="auto"/>
                <w:szCs w:val="21"/>
              </w:rPr>
            </w:pPr>
            <w:r>
              <w:rPr>
                <w:b/>
                <w:bCs/>
                <w:color w:val="auto"/>
                <w:szCs w:val="21"/>
              </w:rPr>
              <w:t>图2-1项目生产工艺流程及产污节点示意图</w:t>
            </w:r>
          </w:p>
          <w:p w14:paraId="45C4EF08">
            <w:pPr>
              <w:jc w:val="center"/>
              <w:rPr>
                <w:b/>
                <w:color w:val="auto"/>
                <w:szCs w:val="21"/>
              </w:rPr>
            </w:pPr>
            <w:r>
              <w:rPr>
                <w:b/>
                <w:color w:val="auto"/>
                <w:szCs w:val="21"/>
              </w:rPr>
              <w:t>表2-</w:t>
            </w:r>
            <w:r>
              <w:rPr>
                <w:rFonts w:hint="eastAsia"/>
                <w:b/>
                <w:color w:val="auto"/>
                <w:szCs w:val="21"/>
                <w:lang w:val="en-US" w:eastAsia="zh-CN"/>
              </w:rPr>
              <w:t>8</w:t>
            </w:r>
            <w:r>
              <w:rPr>
                <w:b/>
                <w:color w:val="auto"/>
                <w:szCs w:val="21"/>
              </w:rPr>
              <w:t xml:space="preserve">  污染工序及排污节点</w:t>
            </w:r>
          </w:p>
          <w:tbl>
            <w:tblPr>
              <w:tblStyle w:val="35"/>
              <w:tblW w:w="482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8"/>
              <w:gridCol w:w="1367"/>
              <w:gridCol w:w="1663"/>
              <w:gridCol w:w="667"/>
              <w:gridCol w:w="3529"/>
            </w:tblGrid>
            <w:tr w14:paraId="377B0A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tcBorders>
                    <w:tl2br w:val="nil"/>
                    <w:tr2bl w:val="nil"/>
                  </w:tcBorders>
                  <w:vAlign w:val="center"/>
                </w:tcPr>
                <w:p w14:paraId="0C0657A9">
                  <w:pPr>
                    <w:jc w:val="center"/>
                    <w:rPr>
                      <w:color w:val="auto"/>
                      <w:szCs w:val="21"/>
                    </w:rPr>
                  </w:pPr>
                  <w:r>
                    <w:rPr>
                      <w:color w:val="auto"/>
                      <w:szCs w:val="21"/>
                    </w:rPr>
                    <w:t>项目</w:t>
                  </w:r>
                </w:p>
              </w:tc>
              <w:tc>
                <w:tcPr>
                  <w:tcW w:w="892" w:type="pct"/>
                  <w:tcBorders>
                    <w:tl2br w:val="nil"/>
                    <w:tr2bl w:val="nil"/>
                  </w:tcBorders>
                  <w:vAlign w:val="center"/>
                </w:tcPr>
                <w:p w14:paraId="171B5334">
                  <w:pPr>
                    <w:jc w:val="center"/>
                    <w:rPr>
                      <w:color w:val="auto"/>
                      <w:szCs w:val="21"/>
                    </w:rPr>
                  </w:pPr>
                  <w:r>
                    <w:rPr>
                      <w:color w:val="auto"/>
                      <w:szCs w:val="21"/>
                    </w:rPr>
                    <w:t>工序</w:t>
                  </w:r>
                </w:p>
              </w:tc>
              <w:tc>
                <w:tcPr>
                  <w:tcW w:w="1085" w:type="pct"/>
                  <w:tcBorders>
                    <w:tl2br w:val="nil"/>
                    <w:tr2bl w:val="nil"/>
                  </w:tcBorders>
                  <w:vAlign w:val="center"/>
                </w:tcPr>
                <w:p w14:paraId="393579BB">
                  <w:pPr>
                    <w:jc w:val="center"/>
                    <w:rPr>
                      <w:color w:val="auto"/>
                      <w:szCs w:val="21"/>
                    </w:rPr>
                  </w:pPr>
                  <w:r>
                    <w:rPr>
                      <w:color w:val="auto"/>
                      <w:szCs w:val="21"/>
                    </w:rPr>
                    <w:t>污染物</w:t>
                  </w:r>
                </w:p>
              </w:tc>
              <w:tc>
                <w:tcPr>
                  <w:tcW w:w="435" w:type="pct"/>
                  <w:tcBorders>
                    <w:tl2br w:val="nil"/>
                    <w:tr2bl w:val="nil"/>
                  </w:tcBorders>
                  <w:vAlign w:val="center"/>
                </w:tcPr>
                <w:p w14:paraId="5DEBECF5">
                  <w:pPr>
                    <w:jc w:val="center"/>
                    <w:rPr>
                      <w:color w:val="auto"/>
                      <w:szCs w:val="21"/>
                    </w:rPr>
                  </w:pPr>
                  <w:r>
                    <w:rPr>
                      <w:color w:val="auto"/>
                      <w:szCs w:val="21"/>
                    </w:rPr>
                    <w:t>排放特点</w:t>
                  </w:r>
                </w:p>
              </w:tc>
              <w:tc>
                <w:tcPr>
                  <w:tcW w:w="2302" w:type="pct"/>
                  <w:tcBorders>
                    <w:tl2br w:val="nil"/>
                    <w:tr2bl w:val="nil"/>
                  </w:tcBorders>
                  <w:vAlign w:val="center"/>
                </w:tcPr>
                <w:p w14:paraId="523E5BCD">
                  <w:pPr>
                    <w:jc w:val="center"/>
                    <w:rPr>
                      <w:color w:val="auto"/>
                      <w:szCs w:val="21"/>
                    </w:rPr>
                  </w:pPr>
                  <w:r>
                    <w:rPr>
                      <w:color w:val="auto"/>
                      <w:szCs w:val="21"/>
                    </w:rPr>
                    <w:t>治理措施</w:t>
                  </w:r>
                </w:p>
              </w:tc>
            </w:tr>
            <w:tr w14:paraId="17774F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vMerge w:val="restart"/>
                  <w:tcBorders>
                    <w:tl2br w:val="nil"/>
                    <w:tr2bl w:val="nil"/>
                  </w:tcBorders>
                  <w:vAlign w:val="center"/>
                </w:tcPr>
                <w:p w14:paraId="048D8799">
                  <w:pPr>
                    <w:jc w:val="center"/>
                    <w:rPr>
                      <w:color w:val="auto"/>
                      <w:szCs w:val="21"/>
                    </w:rPr>
                  </w:pPr>
                  <w:r>
                    <w:rPr>
                      <w:color w:val="auto"/>
                      <w:szCs w:val="21"/>
                    </w:rPr>
                    <w:t>废气</w:t>
                  </w:r>
                </w:p>
              </w:tc>
              <w:tc>
                <w:tcPr>
                  <w:tcW w:w="892" w:type="pct"/>
                  <w:tcBorders>
                    <w:tl2br w:val="nil"/>
                    <w:tr2bl w:val="nil"/>
                  </w:tcBorders>
                  <w:vAlign w:val="center"/>
                </w:tcPr>
                <w:p w14:paraId="127F49A1">
                  <w:pPr>
                    <w:jc w:val="center"/>
                    <w:rPr>
                      <w:color w:val="auto"/>
                      <w:szCs w:val="21"/>
                    </w:rPr>
                  </w:pPr>
                  <w:r>
                    <w:rPr>
                      <w:color w:val="auto"/>
                      <w:szCs w:val="21"/>
                    </w:rPr>
                    <w:t>装卸</w:t>
                  </w:r>
                </w:p>
              </w:tc>
              <w:tc>
                <w:tcPr>
                  <w:tcW w:w="1085" w:type="pct"/>
                  <w:vMerge w:val="restart"/>
                  <w:tcBorders>
                    <w:tl2br w:val="nil"/>
                    <w:tr2bl w:val="nil"/>
                  </w:tcBorders>
                  <w:vAlign w:val="center"/>
                </w:tcPr>
                <w:p w14:paraId="4D353821">
                  <w:pPr>
                    <w:jc w:val="center"/>
                    <w:rPr>
                      <w:color w:val="auto"/>
                      <w:szCs w:val="21"/>
                    </w:rPr>
                  </w:pPr>
                  <w:r>
                    <w:rPr>
                      <w:color w:val="auto"/>
                      <w:szCs w:val="21"/>
                    </w:rPr>
                    <w:t>颗粒物</w:t>
                  </w:r>
                </w:p>
              </w:tc>
              <w:tc>
                <w:tcPr>
                  <w:tcW w:w="435" w:type="pct"/>
                  <w:vMerge w:val="restart"/>
                  <w:tcBorders>
                    <w:tl2br w:val="nil"/>
                    <w:tr2bl w:val="nil"/>
                  </w:tcBorders>
                  <w:vAlign w:val="center"/>
                </w:tcPr>
                <w:p w14:paraId="1EE1B4F6">
                  <w:pPr>
                    <w:jc w:val="center"/>
                    <w:rPr>
                      <w:color w:val="auto"/>
                      <w:szCs w:val="21"/>
                    </w:rPr>
                  </w:pPr>
                  <w:r>
                    <w:rPr>
                      <w:color w:val="auto"/>
                      <w:szCs w:val="21"/>
                    </w:rPr>
                    <w:t>连续</w:t>
                  </w:r>
                </w:p>
              </w:tc>
              <w:tc>
                <w:tcPr>
                  <w:tcW w:w="2302" w:type="pct"/>
                  <w:tcBorders>
                    <w:tl2br w:val="nil"/>
                    <w:tr2bl w:val="nil"/>
                  </w:tcBorders>
                  <w:vAlign w:val="center"/>
                </w:tcPr>
                <w:p w14:paraId="570D22D1">
                  <w:pPr>
                    <w:jc w:val="center"/>
                    <w:rPr>
                      <w:color w:val="auto"/>
                      <w:szCs w:val="21"/>
                    </w:rPr>
                  </w:pPr>
                  <w:r>
                    <w:rPr>
                      <w:color w:val="auto"/>
                      <w:szCs w:val="21"/>
                    </w:rPr>
                    <w:t>临时围挡采用钢结构围挡，设置位置位于沿装卸作业区外沿连续封闭</w:t>
                  </w:r>
                </w:p>
              </w:tc>
            </w:tr>
            <w:tr w14:paraId="29D0B9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63" w:hRule="atLeast"/>
                <w:jc w:val="center"/>
              </w:trPr>
              <w:tc>
                <w:tcPr>
                  <w:tcW w:w="285" w:type="pct"/>
                  <w:vMerge w:val="continue"/>
                  <w:tcBorders>
                    <w:tl2br w:val="nil"/>
                    <w:tr2bl w:val="nil"/>
                  </w:tcBorders>
                  <w:vAlign w:val="center"/>
                </w:tcPr>
                <w:p w14:paraId="4F23D618">
                  <w:pPr>
                    <w:jc w:val="center"/>
                    <w:rPr>
                      <w:color w:val="auto"/>
                      <w:szCs w:val="21"/>
                    </w:rPr>
                  </w:pPr>
                </w:p>
              </w:tc>
              <w:tc>
                <w:tcPr>
                  <w:tcW w:w="892" w:type="pct"/>
                  <w:tcBorders>
                    <w:tl2br w:val="nil"/>
                    <w:tr2bl w:val="nil"/>
                  </w:tcBorders>
                  <w:vAlign w:val="center"/>
                </w:tcPr>
                <w:p w14:paraId="25A023DD">
                  <w:pPr>
                    <w:jc w:val="center"/>
                    <w:rPr>
                      <w:color w:val="auto"/>
                      <w:szCs w:val="21"/>
                    </w:rPr>
                  </w:pPr>
                  <w:r>
                    <w:rPr>
                      <w:color w:val="auto"/>
                      <w:szCs w:val="21"/>
                    </w:rPr>
                    <w:t>筛分</w:t>
                  </w:r>
                </w:p>
              </w:tc>
              <w:tc>
                <w:tcPr>
                  <w:tcW w:w="1085" w:type="pct"/>
                  <w:vMerge w:val="continue"/>
                  <w:tcBorders>
                    <w:tl2br w:val="nil"/>
                    <w:tr2bl w:val="nil"/>
                  </w:tcBorders>
                  <w:vAlign w:val="center"/>
                </w:tcPr>
                <w:p w14:paraId="7A1C3CA9">
                  <w:pPr>
                    <w:jc w:val="center"/>
                    <w:rPr>
                      <w:color w:val="auto"/>
                      <w:szCs w:val="21"/>
                    </w:rPr>
                  </w:pPr>
                </w:p>
              </w:tc>
              <w:tc>
                <w:tcPr>
                  <w:tcW w:w="435" w:type="pct"/>
                  <w:vMerge w:val="continue"/>
                  <w:tcBorders>
                    <w:tl2br w:val="nil"/>
                    <w:tr2bl w:val="nil"/>
                  </w:tcBorders>
                  <w:vAlign w:val="center"/>
                </w:tcPr>
                <w:p w14:paraId="3DC55CED">
                  <w:pPr>
                    <w:jc w:val="center"/>
                    <w:rPr>
                      <w:color w:val="auto"/>
                      <w:szCs w:val="21"/>
                    </w:rPr>
                  </w:pPr>
                </w:p>
              </w:tc>
              <w:tc>
                <w:tcPr>
                  <w:tcW w:w="2302" w:type="pct"/>
                  <w:tcBorders>
                    <w:tl2br w:val="nil"/>
                    <w:tr2bl w:val="nil"/>
                  </w:tcBorders>
                  <w:vAlign w:val="center"/>
                </w:tcPr>
                <w:p w14:paraId="6B7C67EE">
                  <w:pPr>
                    <w:jc w:val="center"/>
                    <w:rPr>
                      <w:color w:val="auto"/>
                      <w:szCs w:val="21"/>
                    </w:rPr>
                  </w:pPr>
                  <w:r>
                    <w:rPr>
                      <w:color w:val="auto"/>
                      <w:szCs w:val="21"/>
                    </w:rPr>
                    <w:t>采用密闭式滚筒筛，下方排风口具有收集袋，收集后无组织排放</w:t>
                  </w:r>
                </w:p>
              </w:tc>
            </w:tr>
            <w:tr w14:paraId="70D98B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285" w:type="pct"/>
                  <w:vMerge w:val="continue"/>
                  <w:tcBorders>
                    <w:tl2br w:val="nil"/>
                    <w:tr2bl w:val="nil"/>
                  </w:tcBorders>
                  <w:vAlign w:val="center"/>
                </w:tcPr>
                <w:p w14:paraId="22463B0F">
                  <w:pPr>
                    <w:jc w:val="center"/>
                    <w:rPr>
                      <w:color w:val="auto"/>
                      <w:szCs w:val="21"/>
                    </w:rPr>
                  </w:pPr>
                </w:p>
              </w:tc>
              <w:tc>
                <w:tcPr>
                  <w:tcW w:w="892" w:type="pct"/>
                  <w:tcBorders>
                    <w:tl2br w:val="nil"/>
                    <w:tr2bl w:val="nil"/>
                  </w:tcBorders>
                  <w:vAlign w:val="center"/>
                </w:tcPr>
                <w:p w14:paraId="2399DF87">
                  <w:pPr>
                    <w:jc w:val="center"/>
                    <w:rPr>
                      <w:color w:val="auto"/>
                      <w:szCs w:val="21"/>
                    </w:rPr>
                  </w:pPr>
                  <w:r>
                    <w:rPr>
                      <w:color w:val="auto"/>
                      <w:szCs w:val="21"/>
                    </w:rPr>
                    <w:t>烘干</w:t>
                  </w:r>
                </w:p>
              </w:tc>
              <w:tc>
                <w:tcPr>
                  <w:tcW w:w="1085" w:type="pct"/>
                  <w:vMerge w:val="continue"/>
                  <w:tcBorders>
                    <w:tl2br w:val="nil"/>
                    <w:tr2bl w:val="nil"/>
                  </w:tcBorders>
                  <w:vAlign w:val="center"/>
                </w:tcPr>
                <w:p w14:paraId="373EDFB8">
                  <w:pPr>
                    <w:jc w:val="center"/>
                    <w:rPr>
                      <w:color w:val="auto"/>
                      <w:szCs w:val="21"/>
                    </w:rPr>
                  </w:pPr>
                </w:p>
              </w:tc>
              <w:tc>
                <w:tcPr>
                  <w:tcW w:w="435" w:type="pct"/>
                  <w:vMerge w:val="continue"/>
                  <w:tcBorders>
                    <w:tl2br w:val="nil"/>
                    <w:tr2bl w:val="nil"/>
                  </w:tcBorders>
                  <w:vAlign w:val="center"/>
                </w:tcPr>
                <w:p w14:paraId="327D4F34">
                  <w:pPr>
                    <w:jc w:val="center"/>
                    <w:rPr>
                      <w:color w:val="auto"/>
                      <w:szCs w:val="21"/>
                    </w:rPr>
                  </w:pPr>
                </w:p>
              </w:tc>
              <w:tc>
                <w:tcPr>
                  <w:tcW w:w="2302" w:type="pct"/>
                  <w:tcBorders>
                    <w:tl2br w:val="nil"/>
                    <w:tr2bl w:val="nil"/>
                  </w:tcBorders>
                  <w:vAlign w:val="center"/>
                </w:tcPr>
                <w:p w14:paraId="28901383">
                  <w:pPr>
                    <w:jc w:val="center"/>
                    <w:rPr>
                      <w:color w:val="auto"/>
                      <w:szCs w:val="21"/>
                    </w:rPr>
                  </w:pPr>
                  <w:r>
                    <w:rPr>
                      <w:color w:val="auto"/>
                      <w:szCs w:val="21"/>
                    </w:rPr>
                    <w:t>烘干塔塔体两侧排气孔设置折流挡板，塔顶排气孔设滤尘网</w:t>
                  </w:r>
                </w:p>
              </w:tc>
            </w:tr>
            <w:tr w14:paraId="09A454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285" w:type="pct"/>
                  <w:vMerge w:val="continue"/>
                  <w:tcBorders>
                    <w:tl2br w:val="nil"/>
                    <w:tr2bl w:val="nil"/>
                  </w:tcBorders>
                  <w:vAlign w:val="center"/>
                </w:tcPr>
                <w:p w14:paraId="2745C67F">
                  <w:pPr>
                    <w:jc w:val="center"/>
                    <w:rPr>
                      <w:color w:val="auto"/>
                      <w:szCs w:val="21"/>
                    </w:rPr>
                  </w:pPr>
                </w:p>
              </w:tc>
              <w:tc>
                <w:tcPr>
                  <w:tcW w:w="892" w:type="pct"/>
                  <w:tcBorders>
                    <w:tl2br w:val="nil"/>
                    <w:tr2bl w:val="nil"/>
                  </w:tcBorders>
                  <w:vAlign w:val="center"/>
                </w:tcPr>
                <w:p w14:paraId="19979E76">
                  <w:pPr>
                    <w:jc w:val="center"/>
                    <w:rPr>
                      <w:color w:val="auto"/>
                      <w:szCs w:val="21"/>
                    </w:rPr>
                  </w:pPr>
                  <w:r>
                    <w:rPr>
                      <w:color w:val="auto"/>
                      <w:szCs w:val="21"/>
                    </w:rPr>
                    <w:t>热风炉</w:t>
                  </w:r>
                  <w:r>
                    <w:rPr>
                      <w:rFonts w:hint="eastAsia"/>
                      <w:color w:val="auto"/>
                      <w:szCs w:val="21"/>
                    </w:rPr>
                    <w:t>1</w:t>
                  </w:r>
                </w:p>
              </w:tc>
              <w:tc>
                <w:tcPr>
                  <w:tcW w:w="1085" w:type="pct"/>
                  <w:tcBorders>
                    <w:tl2br w:val="nil"/>
                    <w:tr2bl w:val="nil"/>
                  </w:tcBorders>
                  <w:vAlign w:val="center"/>
                </w:tcPr>
                <w:p w14:paraId="3D7EA56C">
                  <w:pPr>
                    <w:jc w:val="center"/>
                    <w:rPr>
                      <w:color w:val="auto"/>
                      <w:szCs w:val="21"/>
                    </w:rPr>
                  </w:pPr>
                  <w:r>
                    <w:rPr>
                      <w:color w:val="auto"/>
                      <w:szCs w:val="21"/>
                    </w:rPr>
                    <w:t>颗粒物、SO</w:t>
                  </w:r>
                  <w:r>
                    <w:rPr>
                      <w:color w:val="auto"/>
                      <w:szCs w:val="21"/>
                      <w:vertAlign w:val="subscript"/>
                    </w:rPr>
                    <w:t>2</w:t>
                  </w:r>
                  <w:r>
                    <w:rPr>
                      <w:color w:val="auto"/>
                      <w:szCs w:val="21"/>
                    </w:rPr>
                    <w:t>、NO</w:t>
                  </w:r>
                  <w:r>
                    <w:rPr>
                      <w:rFonts w:hint="eastAsia"/>
                      <w:color w:val="auto"/>
                      <w:szCs w:val="21"/>
                    </w:rPr>
                    <w:t>x、汞、烟气黑度</w:t>
                  </w:r>
                </w:p>
              </w:tc>
              <w:tc>
                <w:tcPr>
                  <w:tcW w:w="435" w:type="pct"/>
                  <w:vMerge w:val="continue"/>
                  <w:tcBorders>
                    <w:tl2br w:val="nil"/>
                    <w:tr2bl w:val="nil"/>
                  </w:tcBorders>
                  <w:vAlign w:val="center"/>
                </w:tcPr>
                <w:p w14:paraId="39A5E437">
                  <w:pPr>
                    <w:jc w:val="center"/>
                    <w:rPr>
                      <w:color w:val="auto"/>
                      <w:szCs w:val="21"/>
                    </w:rPr>
                  </w:pPr>
                </w:p>
              </w:tc>
              <w:tc>
                <w:tcPr>
                  <w:tcW w:w="2302" w:type="pct"/>
                  <w:tcBorders>
                    <w:tl2br w:val="nil"/>
                    <w:tr2bl w:val="nil"/>
                  </w:tcBorders>
                  <w:vAlign w:val="center"/>
                </w:tcPr>
                <w:p w14:paraId="65BEEB9F">
                  <w:pPr>
                    <w:jc w:val="center"/>
                    <w:rPr>
                      <w:color w:val="auto"/>
                      <w:szCs w:val="21"/>
                    </w:rPr>
                  </w:pPr>
                  <w:r>
                    <w:rPr>
                      <w:color w:val="auto"/>
                      <w:szCs w:val="21"/>
                    </w:rPr>
                    <w:t>低氮燃烧+布袋除尘器</w:t>
                  </w:r>
                </w:p>
              </w:tc>
            </w:tr>
            <w:tr w14:paraId="680371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81" w:hRule="atLeast"/>
                <w:jc w:val="center"/>
              </w:trPr>
              <w:tc>
                <w:tcPr>
                  <w:tcW w:w="285" w:type="pct"/>
                  <w:vMerge w:val="continue"/>
                  <w:tcBorders>
                    <w:tl2br w:val="nil"/>
                    <w:tr2bl w:val="nil"/>
                  </w:tcBorders>
                  <w:vAlign w:val="center"/>
                </w:tcPr>
                <w:p w14:paraId="5D561051">
                  <w:pPr>
                    <w:jc w:val="center"/>
                    <w:rPr>
                      <w:color w:val="auto"/>
                      <w:szCs w:val="21"/>
                    </w:rPr>
                  </w:pPr>
                </w:p>
              </w:tc>
              <w:tc>
                <w:tcPr>
                  <w:tcW w:w="892" w:type="pct"/>
                  <w:tcBorders>
                    <w:tl2br w:val="nil"/>
                    <w:tr2bl w:val="nil"/>
                  </w:tcBorders>
                  <w:vAlign w:val="center"/>
                </w:tcPr>
                <w:p w14:paraId="4918E123">
                  <w:pPr>
                    <w:jc w:val="center"/>
                    <w:rPr>
                      <w:color w:val="auto"/>
                      <w:szCs w:val="21"/>
                    </w:rPr>
                  </w:pPr>
                  <w:r>
                    <w:rPr>
                      <w:rFonts w:hint="eastAsia"/>
                      <w:color w:val="auto"/>
                      <w:szCs w:val="21"/>
                    </w:rPr>
                    <w:t>热风炉2</w:t>
                  </w:r>
                </w:p>
              </w:tc>
              <w:tc>
                <w:tcPr>
                  <w:tcW w:w="1085" w:type="pct"/>
                  <w:tcBorders>
                    <w:tl2br w:val="nil"/>
                    <w:tr2bl w:val="nil"/>
                  </w:tcBorders>
                  <w:vAlign w:val="center"/>
                </w:tcPr>
                <w:p w14:paraId="661FFB20">
                  <w:pPr>
                    <w:jc w:val="center"/>
                    <w:rPr>
                      <w:color w:val="auto"/>
                      <w:szCs w:val="21"/>
                    </w:rPr>
                  </w:pPr>
                  <w:r>
                    <w:rPr>
                      <w:color w:val="auto"/>
                      <w:szCs w:val="21"/>
                    </w:rPr>
                    <w:t>颗粒物、SO</w:t>
                  </w:r>
                  <w:r>
                    <w:rPr>
                      <w:color w:val="auto"/>
                      <w:szCs w:val="21"/>
                      <w:vertAlign w:val="subscript"/>
                    </w:rPr>
                    <w:t>2</w:t>
                  </w:r>
                  <w:r>
                    <w:rPr>
                      <w:color w:val="auto"/>
                      <w:szCs w:val="21"/>
                    </w:rPr>
                    <w:t>、NO</w:t>
                  </w:r>
                  <w:r>
                    <w:rPr>
                      <w:rFonts w:hint="eastAsia"/>
                      <w:color w:val="auto"/>
                      <w:szCs w:val="21"/>
                    </w:rPr>
                    <w:t>x、汞、烟气黑度</w:t>
                  </w:r>
                </w:p>
              </w:tc>
              <w:tc>
                <w:tcPr>
                  <w:tcW w:w="435" w:type="pct"/>
                  <w:vMerge w:val="continue"/>
                  <w:tcBorders>
                    <w:tl2br w:val="nil"/>
                    <w:tr2bl w:val="nil"/>
                  </w:tcBorders>
                  <w:vAlign w:val="center"/>
                </w:tcPr>
                <w:p w14:paraId="4B75DC9C">
                  <w:pPr>
                    <w:jc w:val="center"/>
                    <w:rPr>
                      <w:color w:val="auto"/>
                      <w:szCs w:val="21"/>
                    </w:rPr>
                  </w:pPr>
                </w:p>
              </w:tc>
              <w:tc>
                <w:tcPr>
                  <w:tcW w:w="2302" w:type="pct"/>
                  <w:tcBorders>
                    <w:tl2br w:val="nil"/>
                    <w:tr2bl w:val="nil"/>
                  </w:tcBorders>
                  <w:vAlign w:val="center"/>
                </w:tcPr>
                <w:p w14:paraId="2637A5D7">
                  <w:pPr>
                    <w:jc w:val="center"/>
                    <w:rPr>
                      <w:color w:val="auto"/>
                      <w:szCs w:val="21"/>
                    </w:rPr>
                  </w:pPr>
                  <w:r>
                    <w:rPr>
                      <w:color w:val="auto"/>
                      <w:szCs w:val="21"/>
                    </w:rPr>
                    <w:t>低氮燃烧+布袋除尘器</w:t>
                  </w:r>
                </w:p>
              </w:tc>
            </w:tr>
            <w:tr w14:paraId="4871D5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285" w:type="pct"/>
                  <w:tcBorders>
                    <w:tl2br w:val="nil"/>
                    <w:tr2bl w:val="nil"/>
                  </w:tcBorders>
                  <w:vAlign w:val="center"/>
                </w:tcPr>
                <w:p w14:paraId="08B957E4">
                  <w:pPr>
                    <w:jc w:val="center"/>
                    <w:rPr>
                      <w:rFonts w:hint="default" w:eastAsia="宋体"/>
                      <w:color w:val="auto"/>
                      <w:szCs w:val="21"/>
                      <w:lang w:val="en-US" w:eastAsia="zh-CN"/>
                    </w:rPr>
                  </w:pPr>
                  <w:r>
                    <w:rPr>
                      <w:rFonts w:hint="eastAsia"/>
                      <w:color w:val="auto"/>
                      <w:szCs w:val="21"/>
                      <w:lang w:val="en-US" w:eastAsia="zh-CN"/>
                    </w:rPr>
                    <w:t>废水</w:t>
                  </w:r>
                </w:p>
              </w:tc>
              <w:tc>
                <w:tcPr>
                  <w:tcW w:w="892" w:type="pct"/>
                  <w:tcBorders>
                    <w:tl2br w:val="nil"/>
                    <w:tr2bl w:val="nil"/>
                  </w:tcBorders>
                  <w:vAlign w:val="center"/>
                </w:tcPr>
                <w:p w14:paraId="4655AB36">
                  <w:pPr>
                    <w:jc w:val="center"/>
                    <w:rPr>
                      <w:rFonts w:hint="eastAsia" w:eastAsia="宋体"/>
                      <w:color w:val="auto"/>
                      <w:szCs w:val="21"/>
                      <w:lang w:val="en-US" w:eastAsia="zh-CN"/>
                    </w:rPr>
                  </w:pPr>
                  <w:r>
                    <w:rPr>
                      <w:rFonts w:hint="eastAsia"/>
                      <w:color w:val="auto"/>
                      <w:szCs w:val="21"/>
                      <w:lang w:val="en-US" w:eastAsia="zh-CN"/>
                    </w:rPr>
                    <w:t>生活污水</w:t>
                  </w:r>
                </w:p>
              </w:tc>
              <w:tc>
                <w:tcPr>
                  <w:tcW w:w="1085" w:type="pct"/>
                  <w:tcBorders>
                    <w:tl2br w:val="nil"/>
                    <w:tr2bl w:val="nil"/>
                  </w:tcBorders>
                  <w:vAlign w:val="center"/>
                </w:tcPr>
                <w:p w14:paraId="2B66954E">
                  <w:pPr>
                    <w:jc w:val="center"/>
                    <w:rPr>
                      <w:color w:val="auto"/>
                      <w:szCs w:val="21"/>
                    </w:rPr>
                  </w:pPr>
                  <w:r>
                    <w:rPr>
                      <w:rFonts w:hint="eastAsia"/>
                      <w:color w:val="auto"/>
                      <w:szCs w:val="21"/>
                    </w:rPr>
                    <w:t>COD</w:t>
                  </w:r>
                  <w:r>
                    <w:rPr>
                      <w:rFonts w:hint="eastAsia"/>
                      <w:color w:val="auto"/>
                      <w:szCs w:val="21"/>
                      <w:lang w:eastAsia="zh-CN"/>
                    </w:rPr>
                    <w:t>、</w:t>
                  </w:r>
                  <w:r>
                    <w:rPr>
                      <w:rFonts w:hint="eastAsia"/>
                      <w:color w:val="auto"/>
                      <w:szCs w:val="21"/>
                    </w:rPr>
                    <w:t>BOD</w:t>
                  </w:r>
                  <w:r>
                    <w:rPr>
                      <w:rFonts w:hint="eastAsia"/>
                      <w:color w:val="auto"/>
                      <w:szCs w:val="21"/>
                      <w:vertAlign w:val="subscript"/>
                    </w:rPr>
                    <w:t>5</w:t>
                  </w:r>
                  <w:r>
                    <w:rPr>
                      <w:rFonts w:hint="eastAsia"/>
                      <w:color w:val="auto"/>
                      <w:szCs w:val="21"/>
                      <w:lang w:eastAsia="zh-CN"/>
                    </w:rPr>
                    <w:t>、</w:t>
                  </w:r>
                  <w:r>
                    <w:rPr>
                      <w:rFonts w:hint="eastAsia"/>
                      <w:color w:val="auto"/>
                      <w:szCs w:val="21"/>
                    </w:rPr>
                    <w:t>SS</w:t>
                  </w:r>
                  <w:r>
                    <w:rPr>
                      <w:rFonts w:hint="eastAsia"/>
                      <w:color w:val="auto"/>
                      <w:szCs w:val="21"/>
                      <w:lang w:eastAsia="zh-CN"/>
                    </w:rPr>
                    <w:t>、</w:t>
                  </w:r>
                  <w:r>
                    <w:rPr>
                      <w:rFonts w:hint="eastAsia"/>
                      <w:color w:val="auto"/>
                      <w:szCs w:val="21"/>
                    </w:rPr>
                    <w:t>NH</w:t>
                  </w:r>
                  <w:r>
                    <w:rPr>
                      <w:rFonts w:hint="eastAsia"/>
                      <w:color w:val="auto"/>
                      <w:szCs w:val="21"/>
                      <w:vertAlign w:val="subscript"/>
                    </w:rPr>
                    <w:t>3</w:t>
                  </w:r>
                  <w:r>
                    <w:rPr>
                      <w:rFonts w:hint="eastAsia"/>
                      <w:color w:val="auto"/>
                      <w:szCs w:val="21"/>
                    </w:rPr>
                    <w:t>-N</w:t>
                  </w:r>
                </w:p>
              </w:tc>
              <w:tc>
                <w:tcPr>
                  <w:tcW w:w="435" w:type="pct"/>
                  <w:tcBorders>
                    <w:tl2br w:val="nil"/>
                    <w:tr2bl w:val="nil"/>
                  </w:tcBorders>
                  <w:vAlign w:val="center"/>
                </w:tcPr>
                <w:p w14:paraId="40F7BB90">
                  <w:pPr>
                    <w:jc w:val="center"/>
                    <w:rPr>
                      <w:rFonts w:hint="eastAsia" w:eastAsia="宋体"/>
                      <w:color w:val="auto"/>
                      <w:szCs w:val="21"/>
                      <w:lang w:val="en-US" w:eastAsia="zh-CN"/>
                    </w:rPr>
                  </w:pPr>
                  <w:r>
                    <w:rPr>
                      <w:rFonts w:hint="eastAsia"/>
                      <w:color w:val="auto"/>
                      <w:szCs w:val="21"/>
                      <w:lang w:val="en-US" w:eastAsia="zh-CN"/>
                    </w:rPr>
                    <w:t>不连续</w:t>
                  </w:r>
                </w:p>
              </w:tc>
              <w:tc>
                <w:tcPr>
                  <w:tcW w:w="2302" w:type="pct"/>
                  <w:tcBorders>
                    <w:tl2br w:val="nil"/>
                    <w:tr2bl w:val="nil"/>
                  </w:tcBorders>
                  <w:vAlign w:val="center"/>
                </w:tcPr>
                <w:p w14:paraId="50095720">
                  <w:pPr>
                    <w:jc w:val="center"/>
                    <w:rPr>
                      <w:color w:val="auto"/>
                      <w:szCs w:val="21"/>
                    </w:rPr>
                  </w:pPr>
                  <w:r>
                    <w:rPr>
                      <w:rFonts w:hint="eastAsia"/>
                      <w:color w:val="auto"/>
                      <w:szCs w:val="21"/>
                    </w:rPr>
                    <w:t>防渗厕所，定期清掏，外运堆肥处置</w:t>
                  </w:r>
                </w:p>
              </w:tc>
            </w:tr>
            <w:tr w14:paraId="6B9CEE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5" w:type="pct"/>
                  <w:vMerge w:val="restart"/>
                  <w:tcBorders>
                    <w:tl2br w:val="nil"/>
                    <w:tr2bl w:val="nil"/>
                  </w:tcBorders>
                  <w:vAlign w:val="center"/>
                </w:tcPr>
                <w:p w14:paraId="480F9C39">
                  <w:pPr>
                    <w:jc w:val="center"/>
                    <w:rPr>
                      <w:color w:val="auto"/>
                      <w:szCs w:val="21"/>
                    </w:rPr>
                  </w:pPr>
                  <w:r>
                    <w:rPr>
                      <w:color w:val="auto"/>
                      <w:szCs w:val="21"/>
                    </w:rPr>
                    <w:t>噪声</w:t>
                  </w:r>
                </w:p>
              </w:tc>
              <w:tc>
                <w:tcPr>
                  <w:tcW w:w="892" w:type="pct"/>
                  <w:vMerge w:val="restart"/>
                  <w:tcBorders>
                    <w:tl2br w:val="nil"/>
                    <w:tr2bl w:val="nil"/>
                  </w:tcBorders>
                  <w:vAlign w:val="center"/>
                </w:tcPr>
                <w:p w14:paraId="26C1155F">
                  <w:pPr>
                    <w:jc w:val="center"/>
                    <w:rPr>
                      <w:color w:val="auto"/>
                      <w:szCs w:val="21"/>
                    </w:rPr>
                  </w:pPr>
                  <w:r>
                    <w:rPr>
                      <w:color w:val="auto"/>
                      <w:szCs w:val="21"/>
                    </w:rPr>
                    <w:t>装卸</w:t>
                  </w:r>
                </w:p>
              </w:tc>
              <w:tc>
                <w:tcPr>
                  <w:tcW w:w="1085" w:type="pct"/>
                  <w:vMerge w:val="restart"/>
                  <w:tcBorders>
                    <w:tl2br w:val="nil"/>
                    <w:tr2bl w:val="nil"/>
                  </w:tcBorders>
                  <w:vAlign w:val="center"/>
                </w:tcPr>
                <w:p w14:paraId="46133A57">
                  <w:pPr>
                    <w:jc w:val="center"/>
                    <w:rPr>
                      <w:color w:val="auto"/>
                      <w:szCs w:val="21"/>
                    </w:rPr>
                  </w:pPr>
                  <w:r>
                    <w:rPr>
                      <w:color w:val="auto"/>
                      <w:szCs w:val="21"/>
                    </w:rPr>
                    <w:t>噪声</w:t>
                  </w:r>
                </w:p>
              </w:tc>
              <w:tc>
                <w:tcPr>
                  <w:tcW w:w="435" w:type="pct"/>
                  <w:vMerge w:val="restart"/>
                  <w:tcBorders>
                    <w:tl2br w:val="nil"/>
                    <w:tr2bl w:val="nil"/>
                  </w:tcBorders>
                  <w:vAlign w:val="center"/>
                </w:tcPr>
                <w:p w14:paraId="1034D8D5">
                  <w:pPr>
                    <w:jc w:val="center"/>
                    <w:rPr>
                      <w:color w:val="auto"/>
                      <w:szCs w:val="21"/>
                    </w:rPr>
                  </w:pPr>
                  <w:r>
                    <w:rPr>
                      <w:color w:val="auto"/>
                      <w:szCs w:val="21"/>
                    </w:rPr>
                    <w:t>连续</w:t>
                  </w:r>
                </w:p>
              </w:tc>
              <w:tc>
                <w:tcPr>
                  <w:tcW w:w="2302" w:type="pct"/>
                  <w:vMerge w:val="restart"/>
                  <w:tcBorders>
                    <w:tl2br w:val="nil"/>
                    <w:tr2bl w:val="nil"/>
                  </w:tcBorders>
                  <w:vAlign w:val="center"/>
                </w:tcPr>
                <w:p w14:paraId="54633164">
                  <w:pPr>
                    <w:jc w:val="center"/>
                    <w:rPr>
                      <w:color w:val="auto"/>
                      <w:szCs w:val="21"/>
                    </w:rPr>
                  </w:pPr>
                  <w:r>
                    <w:rPr>
                      <w:color w:val="auto"/>
                      <w:szCs w:val="21"/>
                    </w:rPr>
                    <w:t>设置围挡减振、距离衰减</w:t>
                  </w:r>
                </w:p>
              </w:tc>
            </w:tr>
            <w:tr w14:paraId="15A3BD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5" w:type="pct"/>
                  <w:vMerge w:val="continue"/>
                  <w:tcBorders>
                    <w:tl2br w:val="nil"/>
                    <w:tr2bl w:val="nil"/>
                  </w:tcBorders>
                  <w:vAlign w:val="center"/>
                </w:tcPr>
                <w:p w14:paraId="25DFE583">
                  <w:pPr>
                    <w:jc w:val="center"/>
                    <w:rPr>
                      <w:color w:val="auto"/>
                      <w:szCs w:val="21"/>
                    </w:rPr>
                  </w:pPr>
                </w:p>
              </w:tc>
              <w:tc>
                <w:tcPr>
                  <w:tcW w:w="892" w:type="pct"/>
                  <w:vMerge w:val="continue"/>
                  <w:tcBorders>
                    <w:tl2br w:val="nil"/>
                    <w:tr2bl w:val="nil"/>
                  </w:tcBorders>
                  <w:vAlign w:val="center"/>
                </w:tcPr>
                <w:p w14:paraId="46ED3920">
                  <w:pPr>
                    <w:jc w:val="center"/>
                    <w:rPr>
                      <w:color w:val="auto"/>
                      <w:szCs w:val="21"/>
                    </w:rPr>
                  </w:pPr>
                </w:p>
              </w:tc>
              <w:tc>
                <w:tcPr>
                  <w:tcW w:w="1085" w:type="pct"/>
                  <w:vMerge w:val="continue"/>
                  <w:tcBorders>
                    <w:tl2br w:val="nil"/>
                    <w:tr2bl w:val="nil"/>
                  </w:tcBorders>
                  <w:vAlign w:val="center"/>
                </w:tcPr>
                <w:p w14:paraId="64F6ADBE">
                  <w:pPr>
                    <w:jc w:val="center"/>
                    <w:rPr>
                      <w:color w:val="auto"/>
                      <w:szCs w:val="21"/>
                    </w:rPr>
                  </w:pPr>
                </w:p>
              </w:tc>
              <w:tc>
                <w:tcPr>
                  <w:tcW w:w="435" w:type="pct"/>
                  <w:vMerge w:val="continue"/>
                  <w:tcBorders>
                    <w:tl2br w:val="nil"/>
                    <w:tr2bl w:val="nil"/>
                  </w:tcBorders>
                  <w:vAlign w:val="center"/>
                </w:tcPr>
                <w:p w14:paraId="4CFE121D">
                  <w:pPr>
                    <w:jc w:val="center"/>
                    <w:rPr>
                      <w:color w:val="auto"/>
                      <w:szCs w:val="21"/>
                    </w:rPr>
                  </w:pPr>
                </w:p>
              </w:tc>
              <w:tc>
                <w:tcPr>
                  <w:tcW w:w="2302" w:type="pct"/>
                  <w:vMerge w:val="continue"/>
                  <w:tcBorders>
                    <w:tl2br w:val="nil"/>
                    <w:tr2bl w:val="nil"/>
                  </w:tcBorders>
                  <w:vAlign w:val="center"/>
                </w:tcPr>
                <w:p w14:paraId="43839D1F">
                  <w:pPr>
                    <w:jc w:val="center"/>
                    <w:rPr>
                      <w:color w:val="auto"/>
                      <w:szCs w:val="21"/>
                    </w:rPr>
                  </w:pPr>
                </w:p>
              </w:tc>
            </w:tr>
            <w:tr w14:paraId="4BA1C5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5" w:type="pct"/>
                  <w:vMerge w:val="continue"/>
                  <w:tcBorders>
                    <w:tl2br w:val="nil"/>
                    <w:tr2bl w:val="nil"/>
                  </w:tcBorders>
                  <w:vAlign w:val="center"/>
                </w:tcPr>
                <w:p w14:paraId="5D4681BC">
                  <w:pPr>
                    <w:jc w:val="center"/>
                    <w:rPr>
                      <w:color w:val="auto"/>
                      <w:szCs w:val="21"/>
                    </w:rPr>
                  </w:pPr>
                </w:p>
              </w:tc>
              <w:tc>
                <w:tcPr>
                  <w:tcW w:w="892" w:type="pct"/>
                  <w:vMerge w:val="continue"/>
                  <w:tcBorders>
                    <w:tl2br w:val="nil"/>
                    <w:tr2bl w:val="nil"/>
                  </w:tcBorders>
                  <w:vAlign w:val="center"/>
                </w:tcPr>
                <w:p w14:paraId="2414049C">
                  <w:pPr>
                    <w:jc w:val="center"/>
                    <w:rPr>
                      <w:color w:val="auto"/>
                      <w:szCs w:val="21"/>
                    </w:rPr>
                  </w:pPr>
                </w:p>
              </w:tc>
              <w:tc>
                <w:tcPr>
                  <w:tcW w:w="1085" w:type="pct"/>
                  <w:vMerge w:val="continue"/>
                  <w:tcBorders>
                    <w:tl2br w:val="nil"/>
                    <w:tr2bl w:val="nil"/>
                  </w:tcBorders>
                  <w:vAlign w:val="center"/>
                </w:tcPr>
                <w:p w14:paraId="606A2ED2">
                  <w:pPr>
                    <w:jc w:val="center"/>
                    <w:rPr>
                      <w:color w:val="auto"/>
                      <w:szCs w:val="21"/>
                    </w:rPr>
                  </w:pPr>
                </w:p>
              </w:tc>
              <w:tc>
                <w:tcPr>
                  <w:tcW w:w="435" w:type="pct"/>
                  <w:vMerge w:val="continue"/>
                  <w:tcBorders>
                    <w:tl2br w:val="nil"/>
                    <w:tr2bl w:val="nil"/>
                  </w:tcBorders>
                  <w:vAlign w:val="center"/>
                </w:tcPr>
                <w:p w14:paraId="2E34CD4D">
                  <w:pPr>
                    <w:jc w:val="center"/>
                    <w:rPr>
                      <w:color w:val="auto"/>
                      <w:szCs w:val="21"/>
                    </w:rPr>
                  </w:pPr>
                </w:p>
              </w:tc>
              <w:tc>
                <w:tcPr>
                  <w:tcW w:w="2302" w:type="pct"/>
                  <w:vMerge w:val="continue"/>
                  <w:tcBorders>
                    <w:tl2br w:val="nil"/>
                    <w:tr2bl w:val="nil"/>
                  </w:tcBorders>
                  <w:vAlign w:val="center"/>
                </w:tcPr>
                <w:p w14:paraId="7FC295CB">
                  <w:pPr>
                    <w:jc w:val="center"/>
                    <w:rPr>
                      <w:color w:val="auto"/>
                      <w:szCs w:val="21"/>
                    </w:rPr>
                  </w:pPr>
                </w:p>
              </w:tc>
            </w:tr>
            <w:tr w14:paraId="5AD6F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77" w:hRule="atLeast"/>
                <w:jc w:val="center"/>
              </w:trPr>
              <w:tc>
                <w:tcPr>
                  <w:tcW w:w="285" w:type="pct"/>
                  <w:vMerge w:val="continue"/>
                  <w:tcBorders>
                    <w:tl2br w:val="nil"/>
                    <w:tr2bl w:val="nil"/>
                  </w:tcBorders>
                  <w:vAlign w:val="center"/>
                </w:tcPr>
                <w:p w14:paraId="1D410D00">
                  <w:pPr>
                    <w:jc w:val="center"/>
                    <w:rPr>
                      <w:color w:val="auto"/>
                      <w:szCs w:val="21"/>
                    </w:rPr>
                  </w:pPr>
                </w:p>
              </w:tc>
              <w:tc>
                <w:tcPr>
                  <w:tcW w:w="892" w:type="pct"/>
                  <w:tcBorders>
                    <w:tl2br w:val="nil"/>
                    <w:tr2bl w:val="nil"/>
                  </w:tcBorders>
                  <w:vAlign w:val="center"/>
                </w:tcPr>
                <w:p w14:paraId="742D10C9">
                  <w:pPr>
                    <w:jc w:val="center"/>
                    <w:rPr>
                      <w:color w:val="auto"/>
                      <w:szCs w:val="21"/>
                    </w:rPr>
                  </w:pPr>
                  <w:r>
                    <w:rPr>
                      <w:color w:val="auto"/>
                      <w:szCs w:val="21"/>
                    </w:rPr>
                    <w:t>筛选</w:t>
                  </w:r>
                </w:p>
              </w:tc>
              <w:tc>
                <w:tcPr>
                  <w:tcW w:w="1085" w:type="pct"/>
                  <w:tcBorders>
                    <w:tl2br w:val="nil"/>
                    <w:tr2bl w:val="nil"/>
                  </w:tcBorders>
                  <w:vAlign w:val="center"/>
                </w:tcPr>
                <w:p w14:paraId="4FFD9175">
                  <w:pPr>
                    <w:jc w:val="center"/>
                    <w:rPr>
                      <w:color w:val="auto"/>
                      <w:szCs w:val="21"/>
                    </w:rPr>
                  </w:pPr>
                  <w:r>
                    <w:rPr>
                      <w:color w:val="auto"/>
                      <w:szCs w:val="21"/>
                    </w:rPr>
                    <w:t>噪声</w:t>
                  </w:r>
                </w:p>
              </w:tc>
              <w:tc>
                <w:tcPr>
                  <w:tcW w:w="435" w:type="pct"/>
                  <w:tcBorders>
                    <w:tl2br w:val="nil"/>
                    <w:tr2bl w:val="nil"/>
                  </w:tcBorders>
                  <w:vAlign w:val="center"/>
                </w:tcPr>
                <w:p w14:paraId="5ADCB2B9">
                  <w:pPr>
                    <w:jc w:val="center"/>
                    <w:rPr>
                      <w:color w:val="auto"/>
                      <w:szCs w:val="21"/>
                    </w:rPr>
                  </w:pPr>
                  <w:r>
                    <w:rPr>
                      <w:color w:val="auto"/>
                      <w:szCs w:val="21"/>
                    </w:rPr>
                    <w:t>连续</w:t>
                  </w:r>
                </w:p>
              </w:tc>
              <w:tc>
                <w:tcPr>
                  <w:tcW w:w="2302" w:type="pct"/>
                  <w:tcBorders>
                    <w:tl2br w:val="nil"/>
                    <w:tr2bl w:val="nil"/>
                  </w:tcBorders>
                  <w:vAlign w:val="center"/>
                </w:tcPr>
                <w:p w14:paraId="2B218E1B">
                  <w:pPr>
                    <w:jc w:val="center"/>
                    <w:rPr>
                      <w:color w:val="auto"/>
                      <w:szCs w:val="21"/>
                    </w:rPr>
                  </w:pPr>
                  <w:r>
                    <w:rPr>
                      <w:color w:val="auto"/>
                      <w:szCs w:val="21"/>
                    </w:rPr>
                    <w:t>基础减振、距离衰减</w:t>
                  </w:r>
                </w:p>
              </w:tc>
            </w:tr>
            <w:tr w14:paraId="06062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285" w:type="pct"/>
                  <w:vMerge w:val="continue"/>
                  <w:tcBorders>
                    <w:tl2br w:val="nil"/>
                    <w:tr2bl w:val="nil"/>
                  </w:tcBorders>
                  <w:vAlign w:val="center"/>
                </w:tcPr>
                <w:p w14:paraId="060EA989">
                  <w:pPr>
                    <w:jc w:val="center"/>
                    <w:rPr>
                      <w:color w:val="auto"/>
                      <w:szCs w:val="21"/>
                    </w:rPr>
                  </w:pPr>
                </w:p>
              </w:tc>
              <w:tc>
                <w:tcPr>
                  <w:tcW w:w="892" w:type="pct"/>
                  <w:tcBorders>
                    <w:tl2br w:val="nil"/>
                    <w:tr2bl w:val="nil"/>
                  </w:tcBorders>
                  <w:vAlign w:val="center"/>
                </w:tcPr>
                <w:p w14:paraId="133F01BF">
                  <w:pPr>
                    <w:jc w:val="center"/>
                    <w:rPr>
                      <w:color w:val="auto"/>
                      <w:szCs w:val="21"/>
                    </w:rPr>
                  </w:pPr>
                  <w:r>
                    <w:rPr>
                      <w:color w:val="auto"/>
                      <w:szCs w:val="21"/>
                    </w:rPr>
                    <w:t>输送</w:t>
                  </w:r>
                </w:p>
              </w:tc>
              <w:tc>
                <w:tcPr>
                  <w:tcW w:w="1085" w:type="pct"/>
                  <w:tcBorders>
                    <w:tl2br w:val="nil"/>
                    <w:tr2bl w:val="nil"/>
                  </w:tcBorders>
                  <w:vAlign w:val="center"/>
                </w:tcPr>
                <w:p w14:paraId="5397D3B3">
                  <w:pPr>
                    <w:jc w:val="center"/>
                    <w:rPr>
                      <w:color w:val="auto"/>
                      <w:szCs w:val="21"/>
                    </w:rPr>
                  </w:pPr>
                  <w:r>
                    <w:rPr>
                      <w:color w:val="auto"/>
                      <w:szCs w:val="21"/>
                    </w:rPr>
                    <w:t>噪声</w:t>
                  </w:r>
                </w:p>
              </w:tc>
              <w:tc>
                <w:tcPr>
                  <w:tcW w:w="435" w:type="pct"/>
                  <w:tcBorders>
                    <w:tl2br w:val="nil"/>
                    <w:tr2bl w:val="nil"/>
                  </w:tcBorders>
                  <w:vAlign w:val="center"/>
                </w:tcPr>
                <w:p w14:paraId="3FA456E7">
                  <w:pPr>
                    <w:jc w:val="center"/>
                    <w:rPr>
                      <w:color w:val="auto"/>
                      <w:szCs w:val="21"/>
                    </w:rPr>
                  </w:pPr>
                  <w:r>
                    <w:rPr>
                      <w:color w:val="auto"/>
                      <w:szCs w:val="21"/>
                    </w:rPr>
                    <w:t>连续</w:t>
                  </w:r>
                </w:p>
              </w:tc>
              <w:tc>
                <w:tcPr>
                  <w:tcW w:w="2302" w:type="pct"/>
                  <w:tcBorders>
                    <w:tl2br w:val="nil"/>
                    <w:tr2bl w:val="nil"/>
                  </w:tcBorders>
                  <w:vAlign w:val="center"/>
                </w:tcPr>
                <w:p w14:paraId="057452D4">
                  <w:pPr>
                    <w:jc w:val="center"/>
                    <w:rPr>
                      <w:color w:val="auto"/>
                      <w:szCs w:val="21"/>
                    </w:rPr>
                  </w:pPr>
                  <w:r>
                    <w:rPr>
                      <w:color w:val="auto"/>
                      <w:szCs w:val="21"/>
                    </w:rPr>
                    <w:t>基础减振、距离衰减</w:t>
                  </w:r>
                </w:p>
              </w:tc>
            </w:tr>
            <w:tr w14:paraId="53AA0B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285" w:type="pct"/>
                  <w:vMerge w:val="continue"/>
                  <w:tcBorders>
                    <w:tl2br w:val="nil"/>
                    <w:tr2bl w:val="nil"/>
                  </w:tcBorders>
                  <w:vAlign w:val="center"/>
                </w:tcPr>
                <w:p w14:paraId="14F0ADF6">
                  <w:pPr>
                    <w:jc w:val="center"/>
                    <w:rPr>
                      <w:color w:val="auto"/>
                      <w:szCs w:val="21"/>
                    </w:rPr>
                  </w:pPr>
                </w:p>
              </w:tc>
              <w:tc>
                <w:tcPr>
                  <w:tcW w:w="892" w:type="pct"/>
                  <w:tcBorders>
                    <w:tl2br w:val="nil"/>
                    <w:tr2bl w:val="nil"/>
                  </w:tcBorders>
                  <w:vAlign w:val="center"/>
                </w:tcPr>
                <w:p w14:paraId="04677B80">
                  <w:pPr>
                    <w:jc w:val="center"/>
                    <w:rPr>
                      <w:color w:val="auto"/>
                      <w:szCs w:val="21"/>
                    </w:rPr>
                  </w:pPr>
                  <w:r>
                    <w:rPr>
                      <w:color w:val="auto"/>
                      <w:szCs w:val="21"/>
                    </w:rPr>
                    <w:t>烘干</w:t>
                  </w:r>
                </w:p>
              </w:tc>
              <w:tc>
                <w:tcPr>
                  <w:tcW w:w="1085" w:type="pct"/>
                  <w:tcBorders>
                    <w:tl2br w:val="nil"/>
                    <w:tr2bl w:val="nil"/>
                  </w:tcBorders>
                  <w:vAlign w:val="center"/>
                </w:tcPr>
                <w:p w14:paraId="6CFCE0ED">
                  <w:pPr>
                    <w:jc w:val="center"/>
                    <w:rPr>
                      <w:color w:val="auto"/>
                      <w:szCs w:val="21"/>
                    </w:rPr>
                  </w:pPr>
                  <w:r>
                    <w:rPr>
                      <w:color w:val="auto"/>
                      <w:szCs w:val="21"/>
                    </w:rPr>
                    <w:t>噪声</w:t>
                  </w:r>
                </w:p>
              </w:tc>
              <w:tc>
                <w:tcPr>
                  <w:tcW w:w="435" w:type="pct"/>
                  <w:tcBorders>
                    <w:tl2br w:val="nil"/>
                    <w:tr2bl w:val="nil"/>
                  </w:tcBorders>
                  <w:vAlign w:val="center"/>
                </w:tcPr>
                <w:p w14:paraId="1678371E">
                  <w:pPr>
                    <w:jc w:val="center"/>
                    <w:rPr>
                      <w:color w:val="auto"/>
                      <w:szCs w:val="21"/>
                    </w:rPr>
                  </w:pPr>
                  <w:r>
                    <w:rPr>
                      <w:color w:val="auto"/>
                      <w:szCs w:val="21"/>
                    </w:rPr>
                    <w:t>连续</w:t>
                  </w:r>
                </w:p>
              </w:tc>
              <w:tc>
                <w:tcPr>
                  <w:tcW w:w="2302" w:type="pct"/>
                  <w:tcBorders>
                    <w:tl2br w:val="nil"/>
                    <w:tr2bl w:val="nil"/>
                  </w:tcBorders>
                  <w:vAlign w:val="center"/>
                </w:tcPr>
                <w:p w14:paraId="0F3A8E10">
                  <w:pPr>
                    <w:jc w:val="center"/>
                    <w:rPr>
                      <w:color w:val="auto"/>
                      <w:szCs w:val="21"/>
                    </w:rPr>
                  </w:pPr>
                  <w:r>
                    <w:rPr>
                      <w:color w:val="auto"/>
                      <w:szCs w:val="21"/>
                    </w:rPr>
                    <w:t>基础减振、距离衰减</w:t>
                  </w:r>
                </w:p>
              </w:tc>
            </w:tr>
            <w:tr w14:paraId="70C4BD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285" w:type="pct"/>
                  <w:vMerge w:val="continue"/>
                  <w:tcBorders>
                    <w:tl2br w:val="nil"/>
                    <w:tr2bl w:val="nil"/>
                  </w:tcBorders>
                  <w:vAlign w:val="center"/>
                </w:tcPr>
                <w:p w14:paraId="359A9815">
                  <w:pPr>
                    <w:jc w:val="center"/>
                    <w:rPr>
                      <w:color w:val="auto"/>
                      <w:szCs w:val="21"/>
                    </w:rPr>
                  </w:pPr>
                </w:p>
              </w:tc>
              <w:tc>
                <w:tcPr>
                  <w:tcW w:w="892" w:type="pct"/>
                  <w:tcBorders>
                    <w:tl2br w:val="nil"/>
                    <w:tr2bl w:val="nil"/>
                  </w:tcBorders>
                  <w:vAlign w:val="center"/>
                </w:tcPr>
                <w:p w14:paraId="2DA3B868">
                  <w:pPr>
                    <w:jc w:val="center"/>
                    <w:rPr>
                      <w:color w:val="auto"/>
                      <w:szCs w:val="21"/>
                    </w:rPr>
                  </w:pPr>
                  <w:r>
                    <w:rPr>
                      <w:color w:val="auto"/>
                      <w:szCs w:val="21"/>
                    </w:rPr>
                    <w:t>冷却</w:t>
                  </w:r>
                </w:p>
              </w:tc>
              <w:tc>
                <w:tcPr>
                  <w:tcW w:w="1085" w:type="pct"/>
                  <w:tcBorders>
                    <w:tl2br w:val="nil"/>
                    <w:tr2bl w:val="nil"/>
                  </w:tcBorders>
                  <w:vAlign w:val="center"/>
                </w:tcPr>
                <w:p w14:paraId="2AFAACC7">
                  <w:pPr>
                    <w:jc w:val="center"/>
                    <w:rPr>
                      <w:color w:val="auto"/>
                      <w:szCs w:val="21"/>
                    </w:rPr>
                  </w:pPr>
                  <w:r>
                    <w:rPr>
                      <w:color w:val="auto"/>
                      <w:szCs w:val="21"/>
                    </w:rPr>
                    <w:t>噪声</w:t>
                  </w:r>
                </w:p>
              </w:tc>
              <w:tc>
                <w:tcPr>
                  <w:tcW w:w="435" w:type="pct"/>
                  <w:tcBorders>
                    <w:tl2br w:val="nil"/>
                    <w:tr2bl w:val="nil"/>
                  </w:tcBorders>
                  <w:vAlign w:val="center"/>
                </w:tcPr>
                <w:p w14:paraId="4992C95A">
                  <w:pPr>
                    <w:jc w:val="center"/>
                    <w:rPr>
                      <w:color w:val="auto"/>
                      <w:szCs w:val="21"/>
                    </w:rPr>
                  </w:pPr>
                  <w:r>
                    <w:rPr>
                      <w:color w:val="auto"/>
                      <w:szCs w:val="21"/>
                    </w:rPr>
                    <w:t>连续</w:t>
                  </w:r>
                </w:p>
              </w:tc>
              <w:tc>
                <w:tcPr>
                  <w:tcW w:w="2302" w:type="pct"/>
                  <w:tcBorders>
                    <w:tl2br w:val="nil"/>
                    <w:tr2bl w:val="nil"/>
                  </w:tcBorders>
                  <w:vAlign w:val="center"/>
                </w:tcPr>
                <w:p w14:paraId="18EF3201">
                  <w:pPr>
                    <w:jc w:val="center"/>
                    <w:rPr>
                      <w:color w:val="auto"/>
                      <w:szCs w:val="21"/>
                    </w:rPr>
                  </w:pPr>
                  <w:r>
                    <w:rPr>
                      <w:color w:val="auto"/>
                      <w:szCs w:val="21"/>
                    </w:rPr>
                    <w:t>基础减振、距离衰减</w:t>
                  </w:r>
                </w:p>
              </w:tc>
            </w:tr>
            <w:tr w14:paraId="1940C5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vMerge w:val="restart"/>
                  <w:tcBorders>
                    <w:tl2br w:val="nil"/>
                    <w:tr2bl w:val="nil"/>
                  </w:tcBorders>
                  <w:vAlign w:val="center"/>
                </w:tcPr>
                <w:p w14:paraId="02E7BE7A">
                  <w:pPr>
                    <w:jc w:val="center"/>
                    <w:rPr>
                      <w:color w:val="auto"/>
                      <w:szCs w:val="21"/>
                    </w:rPr>
                  </w:pPr>
                  <w:r>
                    <w:rPr>
                      <w:color w:val="auto"/>
                      <w:szCs w:val="21"/>
                    </w:rPr>
                    <w:t>固体废物</w:t>
                  </w:r>
                </w:p>
              </w:tc>
              <w:tc>
                <w:tcPr>
                  <w:tcW w:w="892" w:type="pct"/>
                  <w:tcBorders>
                    <w:tl2br w:val="nil"/>
                    <w:tr2bl w:val="nil"/>
                  </w:tcBorders>
                  <w:vAlign w:val="center"/>
                </w:tcPr>
                <w:p w14:paraId="3833AC41">
                  <w:pPr>
                    <w:jc w:val="center"/>
                    <w:rPr>
                      <w:color w:val="auto"/>
                      <w:szCs w:val="21"/>
                    </w:rPr>
                  </w:pPr>
                  <w:r>
                    <w:rPr>
                      <w:color w:val="auto"/>
                      <w:szCs w:val="21"/>
                    </w:rPr>
                    <w:t>布袋除尘器</w:t>
                  </w:r>
                </w:p>
              </w:tc>
              <w:tc>
                <w:tcPr>
                  <w:tcW w:w="1085" w:type="pct"/>
                  <w:tcBorders>
                    <w:tl2br w:val="nil"/>
                    <w:tr2bl w:val="nil"/>
                  </w:tcBorders>
                  <w:vAlign w:val="center"/>
                </w:tcPr>
                <w:p w14:paraId="65DB5931">
                  <w:pPr>
                    <w:jc w:val="center"/>
                    <w:rPr>
                      <w:color w:val="auto"/>
                      <w:szCs w:val="21"/>
                    </w:rPr>
                  </w:pPr>
                  <w:r>
                    <w:rPr>
                      <w:color w:val="auto"/>
                      <w:szCs w:val="21"/>
                    </w:rPr>
                    <w:t>废布袋</w:t>
                  </w:r>
                </w:p>
              </w:tc>
              <w:tc>
                <w:tcPr>
                  <w:tcW w:w="435" w:type="pct"/>
                  <w:tcBorders>
                    <w:tl2br w:val="nil"/>
                    <w:tr2bl w:val="nil"/>
                  </w:tcBorders>
                  <w:vAlign w:val="center"/>
                </w:tcPr>
                <w:p w14:paraId="4939865D">
                  <w:pPr>
                    <w:jc w:val="center"/>
                    <w:rPr>
                      <w:color w:val="auto"/>
                      <w:szCs w:val="21"/>
                    </w:rPr>
                  </w:pPr>
                  <w:r>
                    <w:rPr>
                      <w:color w:val="auto"/>
                      <w:szCs w:val="21"/>
                    </w:rPr>
                    <w:t>连续</w:t>
                  </w:r>
                </w:p>
              </w:tc>
              <w:tc>
                <w:tcPr>
                  <w:tcW w:w="2302" w:type="pct"/>
                  <w:tcBorders>
                    <w:tl2br w:val="nil"/>
                    <w:tr2bl w:val="nil"/>
                  </w:tcBorders>
                  <w:vAlign w:val="center"/>
                </w:tcPr>
                <w:p w14:paraId="1B3DDE19">
                  <w:pPr>
                    <w:jc w:val="center"/>
                    <w:rPr>
                      <w:color w:val="auto"/>
                      <w:szCs w:val="21"/>
                    </w:rPr>
                  </w:pPr>
                  <w:r>
                    <w:rPr>
                      <w:color w:val="auto"/>
                      <w:szCs w:val="21"/>
                    </w:rPr>
                    <w:t>厂家回收</w:t>
                  </w:r>
                </w:p>
              </w:tc>
            </w:tr>
            <w:tr w14:paraId="0E7A16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vMerge w:val="continue"/>
                  <w:tcBorders>
                    <w:tl2br w:val="nil"/>
                    <w:tr2bl w:val="nil"/>
                  </w:tcBorders>
                  <w:vAlign w:val="center"/>
                </w:tcPr>
                <w:p w14:paraId="39B0935C">
                  <w:pPr>
                    <w:jc w:val="center"/>
                    <w:rPr>
                      <w:color w:val="auto"/>
                      <w:szCs w:val="21"/>
                    </w:rPr>
                  </w:pPr>
                </w:p>
              </w:tc>
              <w:tc>
                <w:tcPr>
                  <w:tcW w:w="892" w:type="pct"/>
                  <w:vMerge w:val="restart"/>
                  <w:tcBorders>
                    <w:tl2br w:val="nil"/>
                    <w:tr2bl w:val="nil"/>
                  </w:tcBorders>
                  <w:vAlign w:val="center"/>
                </w:tcPr>
                <w:p w14:paraId="0BB1F433">
                  <w:pPr>
                    <w:jc w:val="center"/>
                    <w:rPr>
                      <w:color w:val="auto"/>
                      <w:szCs w:val="21"/>
                    </w:rPr>
                  </w:pPr>
                  <w:r>
                    <w:rPr>
                      <w:color w:val="auto"/>
                      <w:szCs w:val="21"/>
                    </w:rPr>
                    <w:t>筛分</w:t>
                  </w:r>
                </w:p>
              </w:tc>
              <w:tc>
                <w:tcPr>
                  <w:tcW w:w="1085" w:type="pct"/>
                  <w:tcBorders>
                    <w:tl2br w:val="nil"/>
                    <w:tr2bl w:val="nil"/>
                  </w:tcBorders>
                  <w:vAlign w:val="center"/>
                </w:tcPr>
                <w:p w14:paraId="264C147C">
                  <w:pPr>
                    <w:jc w:val="center"/>
                    <w:rPr>
                      <w:color w:val="auto"/>
                      <w:szCs w:val="21"/>
                    </w:rPr>
                  </w:pPr>
                  <w:r>
                    <w:rPr>
                      <w:color w:val="auto"/>
                      <w:szCs w:val="21"/>
                    </w:rPr>
                    <w:t>杂质</w:t>
                  </w:r>
                </w:p>
              </w:tc>
              <w:tc>
                <w:tcPr>
                  <w:tcW w:w="435" w:type="pct"/>
                  <w:tcBorders>
                    <w:tl2br w:val="nil"/>
                    <w:tr2bl w:val="nil"/>
                  </w:tcBorders>
                  <w:vAlign w:val="center"/>
                </w:tcPr>
                <w:p w14:paraId="00AF89EC">
                  <w:pPr>
                    <w:jc w:val="center"/>
                    <w:rPr>
                      <w:color w:val="auto"/>
                      <w:szCs w:val="21"/>
                    </w:rPr>
                  </w:pPr>
                  <w:r>
                    <w:rPr>
                      <w:color w:val="auto"/>
                      <w:szCs w:val="21"/>
                    </w:rPr>
                    <w:t>连续</w:t>
                  </w:r>
                </w:p>
              </w:tc>
              <w:tc>
                <w:tcPr>
                  <w:tcW w:w="2302" w:type="pct"/>
                  <w:vMerge w:val="restart"/>
                  <w:tcBorders>
                    <w:tl2br w:val="nil"/>
                    <w:tr2bl w:val="nil"/>
                  </w:tcBorders>
                  <w:vAlign w:val="center"/>
                </w:tcPr>
                <w:p w14:paraId="4FDD4238">
                  <w:pPr>
                    <w:jc w:val="center"/>
                    <w:rPr>
                      <w:color w:val="auto"/>
                      <w:szCs w:val="21"/>
                    </w:rPr>
                  </w:pPr>
                  <w:r>
                    <w:rPr>
                      <w:rFonts w:hint="eastAsia"/>
                      <w:color w:val="auto"/>
                      <w:szCs w:val="21"/>
                    </w:rPr>
                    <w:t>环卫部门清运</w:t>
                  </w:r>
                </w:p>
              </w:tc>
            </w:tr>
            <w:tr w14:paraId="249FC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vMerge w:val="continue"/>
                  <w:tcBorders>
                    <w:tl2br w:val="nil"/>
                    <w:tr2bl w:val="nil"/>
                  </w:tcBorders>
                  <w:vAlign w:val="center"/>
                </w:tcPr>
                <w:p w14:paraId="5A42991A">
                  <w:pPr>
                    <w:jc w:val="center"/>
                    <w:rPr>
                      <w:color w:val="auto"/>
                      <w:szCs w:val="21"/>
                    </w:rPr>
                  </w:pPr>
                </w:p>
              </w:tc>
              <w:tc>
                <w:tcPr>
                  <w:tcW w:w="892" w:type="pct"/>
                  <w:vMerge w:val="continue"/>
                  <w:tcBorders>
                    <w:tl2br w:val="nil"/>
                    <w:tr2bl w:val="nil"/>
                  </w:tcBorders>
                  <w:vAlign w:val="center"/>
                </w:tcPr>
                <w:p w14:paraId="49AE94A2">
                  <w:pPr>
                    <w:jc w:val="center"/>
                    <w:rPr>
                      <w:color w:val="auto"/>
                      <w:szCs w:val="21"/>
                    </w:rPr>
                  </w:pPr>
                </w:p>
              </w:tc>
              <w:tc>
                <w:tcPr>
                  <w:tcW w:w="1085" w:type="pct"/>
                  <w:tcBorders>
                    <w:tl2br w:val="nil"/>
                    <w:tr2bl w:val="nil"/>
                  </w:tcBorders>
                  <w:vAlign w:val="center"/>
                </w:tcPr>
                <w:p w14:paraId="696069AA">
                  <w:pPr>
                    <w:jc w:val="center"/>
                    <w:rPr>
                      <w:color w:val="auto"/>
                      <w:szCs w:val="21"/>
                    </w:rPr>
                  </w:pPr>
                  <w:r>
                    <w:rPr>
                      <w:color w:val="auto"/>
                      <w:szCs w:val="21"/>
                    </w:rPr>
                    <w:t>收尘</w:t>
                  </w:r>
                </w:p>
              </w:tc>
              <w:tc>
                <w:tcPr>
                  <w:tcW w:w="435" w:type="pct"/>
                  <w:tcBorders>
                    <w:bottom w:val="single" w:color="000000" w:sz="4" w:space="0"/>
                    <w:tl2br w:val="nil"/>
                    <w:tr2bl w:val="nil"/>
                  </w:tcBorders>
                  <w:vAlign w:val="center"/>
                </w:tcPr>
                <w:p w14:paraId="0315FA9A">
                  <w:pPr>
                    <w:jc w:val="center"/>
                    <w:rPr>
                      <w:color w:val="auto"/>
                      <w:szCs w:val="21"/>
                    </w:rPr>
                  </w:pPr>
                  <w:r>
                    <w:rPr>
                      <w:color w:val="auto"/>
                      <w:szCs w:val="21"/>
                    </w:rPr>
                    <w:t>连续</w:t>
                  </w:r>
                </w:p>
              </w:tc>
              <w:tc>
                <w:tcPr>
                  <w:tcW w:w="2302" w:type="pct"/>
                  <w:vMerge w:val="continue"/>
                  <w:tcBorders>
                    <w:bottom w:val="single" w:color="000000" w:sz="4" w:space="0"/>
                    <w:tl2br w:val="nil"/>
                    <w:tr2bl w:val="nil"/>
                  </w:tcBorders>
                  <w:vAlign w:val="center"/>
                </w:tcPr>
                <w:p w14:paraId="27CD3D93">
                  <w:pPr>
                    <w:jc w:val="center"/>
                    <w:rPr>
                      <w:color w:val="auto"/>
                      <w:szCs w:val="21"/>
                    </w:rPr>
                  </w:pPr>
                </w:p>
              </w:tc>
            </w:tr>
            <w:tr w14:paraId="183EC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vMerge w:val="continue"/>
                  <w:tcBorders>
                    <w:tl2br w:val="nil"/>
                    <w:tr2bl w:val="nil"/>
                  </w:tcBorders>
                  <w:vAlign w:val="center"/>
                </w:tcPr>
                <w:p w14:paraId="2D59B551">
                  <w:pPr>
                    <w:jc w:val="center"/>
                    <w:rPr>
                      <w:color w:val="auto"/>
                      <w:szCs w:val="21"/>
                    </w:rPr>
                  </w:pPr>
                </w:p>
              </w:tc>
              <w:tc>
                <w:tcPr>
                  <w:tcW w:w="892" w:type="pct"/>
                  <w:vMerge w:val="restart"/>
                  <w:tcBorders>
                    <w:tl2br w:val="nil"/>
                    <w:tr2bl w:val="nil"/>
                  </w:tcBorders>
                  <w:vAlign w:val="center"/>
                </w:tcPr>
                <w:p w14:paraId="5262216F">
                  <w:pPr>
                    <w:jc w:val="center"/>
                    <w:rPr>
                      <w:color w:val="auto"/>
                      <w:szCs w:val="21"/>
                    </w:rPr>
                  </w:pPr>
                  <w:r>
                    <w:rPr>
                      <w:color w:val="auto"/>
                      <w:szCs w:val="21"/>
                    </w:rPr>
                    <w:t>热风炉</w:t>
                  </w:r>
                </w:p>
              </w:tc>
              <w:tc>
                <w:tcPr>
                  <w:tcW w:w="1085" w:type="pct"/>
                  <w:tcBorders>
                    <w:tl2br w:val="nil"/>
                    <w:tr2bl w:val="nil"/>
                  </w:tcBorders>
                  <w:vAlign w:val="center"/>
                </w:tcPr>
                <w:p w14:paraId="635A0AEF">
                  <w:pPr>
                    <w:jc w:val="center"/>
                    <w:rPr>
                      <w:color w:val="auto"/>
                      <w:szCs w:val="21"/>
                    </w:rPr>
                  </w:pPr>
                  <w:r>
                    <w:rPr>
                      <w:color w:val="auto"/>
                      <w:szCs w:val="21"/>
                    </w:rPr>
                    <w:t>炉渣</w:t>
                  </w:r>
                </w:p>
              </w:tc>
              <w:tc>
                <w:tcPr>
                  <w:tcW w:w="435" w:type="pct"/>
                  <w:tcBorders>
                    <w:top w:val="single" w:color="000000" w:sz="4" w:space="0"/>
                    <w:tl2br w:val="nil"/>
                    <w:tr2bl w:val="nil"/>
                  </w:tcBorders>
                  <w:vAlign w:val="center"/>
                </w:tcPr>
                <w:p w14:paraId="3B9EDB47">
                  <w:pPr>
                    <w:jc w:val="center"/>
                    <w:rPr>
                      <w:color w:val="auto"/>
                      <w:szCs w:val="21"/>
                    </w:rPr>
                  </w:pPr>
                  <w:r>
                    <w:rPr>
                      <w:color w:val="auto"/>
                      <w:szCs w:val="21"/>
                    </w:rPr>
                    <w:t>连续</w:t>
                  </w:r>
                </w:p>
              </w:tc>
              <w:tc>
                <w:tcPr>
                  <w:tcW w:w="2302" w:type="pct"/>
                  <w:vMerge w:val="restart"/>
                  <w:tcBorders>
                    <w:top w:val="single" w:color="000000" w:sz="4" w:space="0"/>
                    <w:tl2br w:val="nil"/>
                    <w:tr2bl w:val="nil"/>
                  </w:tcBorders>
                  <w:vAlign w:val="center"/>
                </w:tcPr>
                <w:p w14:paraId="5B443DB2">
                  <w:pPr>
                    <w:jc w:val="center"/>
                    <w:rPr>
                      <w:color w:val="auto"/>
                      <w:szCs w:val="21"/>
                    </w:rPr>
                  </w:pPr>
                  <w:r>
                    <w:rPr>
                      <w:color w:val="auto"/>
                      <w:szCs w:val="21"/>
                    </w:rPr>
                    <w:t>外售至制肥厂</w:t>
                  </w:r>
                </w:p>
              </w:tc>
            </w:tr>
            <w:tr w14:paraId="50F94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vMerge w:val="continue"/>
                  <w:tcBorders>
                    <w:tl2br w:val="nil"/>
                    <w:tr2bl w:val="nil"/>
                  </w:tcBorders>
                  <w:vAlign w:val="center"/>
                </w:tcPr>
                <w:p w14:paraId="5AB5C8E6">
                  <w:pPr>
                    <w:jc w:val="center"/>
                    <w:rPr>
                      <w:color w:val="auto"/>
                      <w:szCs w:val="21"/>
                    </w:rPr>
                  </w:pPr>
                </w:p>
              </w:tc>
              <w:tc>
                <w:tcPr>
                  <w:tcW w:w="892" w:type="pct"/>
                  <w:vMerge w:val="continue"/>
                  <w:tcBorders>
                    <w:tl2br w:val="nil"/>
                    <w:tr2bl w:val="nil"/>
                  </w:tcBorders>
                  <w:vAlign w:val="center"/>
                </w:tcPr>
                <w:p w14:paraId="19C00682">
                  <w:pPr>
                    <w:jc w:val="center"/>
                    <w:rPr>
                      <w:color w:val="auto"/>
                      <w:szCs w:val="21"/>
                    </w:rPr>
                  </w:pPr>
                </w:p>
              </w:tc>
              <w:tc>
                <w:tcPr>
                  <w:tcW w:w="1085" w:type="pct"/>
                  <w:tcBorders>
                    <w:tl2br w:val="nil"/>
                    <w:tr2bl w:val="nil"/>
                  </w:tcBorders>
                  <w:vAlign w:val="center"/>
                </w:tcPr>
                <w:p w14:paraId="087DD1A4">
                  <w:pPr>
                    <w:jc w:val="center"/>
                    <w:rPr>
                      <w:color w:val="auto"/>
                      <w:szCs w:val="21"/>
                    </w:rPr>
                  </w:pPr>
                  <w:r>
                    <w:rPr>
                      <w:color w:val="auto"/>
                      <w:szCs w:val="21"/>
                    </w:rPr>
                    <w:t>收尘</w:t>
                  </w:r>
                </w:p>
              </w:tc>
              <w:tc>
                <w:tcPr>
                  <w:tcW w:w="435" w:type="pct"/>
                  <w:tcBorders>
                    <w:bottom w:val="single" w:color="000000" w:sz="4" w:space="0"/>
                    <w:tl2br w:val="nil"/>
                    <w:tr2bl w:val="nil"/>
                  </w:tcBorders>
                  <w:vAlign w:val="center"/>
                </w:tcPr>
                <w:p w14:paraId="1C1AE466">
                  <w:pPr>
                    <w:jc w:val="center"/>
                    <w:rPr>
                      <w:color w:val="auto"/>
                      <w:szCs w:val="21"/>
                    </w:rPr>
                  </w:pPr>
                  <w:r>
                    <w:rPr>
                      <w:color w:val="auto"/>
                      <w:szCs w:val="21"/>
                    </w:rPr>
                    <w:t>连续</w:t>
                  </w:r>
                </w:p>
              </w:tc>
              <w:tc>
                <w:tcPr>
                  <w:tcW w:w="2302" w:type="pct"/>
                  <w:vMerge w:val="continue"/>
                  <w:tcBorders>
                    <w:bottom w:val="single" w:color="000000" w:sz="4" w:space="0"/>
                    <w:tl2br w:val="nil"/>
                    <w:tr2bl w:val="nil"/>
                  </w:tcBorders>
                  <w:vAlign w:val="center"/>
                </w:tcPr>
                <w:p w14:paraId="0E71E42A">
                  <w:pPr>
                    <w:jc w:val="center"/>
                    <w:rPr>
                      <w:color w:val="auto"/>
                      <w:szCs w:val="21"/>
                    </w:rPr>
                  </w:pPr>
                </w:p>
              </w:tc>
            </w:tr>
            <w:tr w14:paraId="160D84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285" w:type="pct"/>
                  <w:vMerge w:val="continue"/>
                  <w:tcBorders>
                    <w:tl2br w:val="nil"/>
                    <w:tr2bl w:val="nil"/>
                  </w:tcBorders>
                  <w:vAlign w:val="center"/>
                </w:tcPr>
                <w:p w14:paraId="662E1F09">
                  <w:pPr>
                    <w:jc w:val="center"/>
                    <w:rPr>
                      <w:color w:val="auto"/>
                      <w:szCs w:val="21"/>
                    </w:rPr>
                  </w:pPr>
                </w:p>
              </w:tc>
              <w:tc>
                <w:tcPr>
                  <w:tcW w:w="892" w:type="pct"/>
                  <w:tcBorders>
                    <w:tl2br w:val="nil"/>
                    <w:tr2bl w:val="nil"/>
                  </w:tcBorders>
                  <w:vAlign w:val="center"/>
                </w:tcPr>
                <w:p w14:paraId="101D112E">
                  <w:pPr>
                    <w:jc w:val="center"/>
                    <w:rPr>
                      <w:color w:val="auto"/>
                      <w:szCs w:val="21"/>
                    </w:rPr>
                  </w:pPr>
                  <w:r>
                    <w:rPr>
                      <w:color w:val="auto"/>
                      <w:szCs w:val="21"/>
                    </w:rPr>
                    <w:t>烘干塔</w:t>
                  </w:r>
                </w:p>
              </w:tc>
              <w:tc>
                <w:tcPr>
                  <w:tcW w:w="1085" w:type="pct"/>
                  <w:tcBorders>
                    <w:tl2br w:val="nil"/>
                    <w:tr2bl w:val="nil"/>
                  </w:tcBorders>
                  <w:vAlign w:val="center"/>
                </w:tcPr>
                <w:p w14:paraId="08EDE8B1">
                  <w:pPr>
                    <w:jc w:val="center"/>
                    <w:rPr>
                      <w:color w:val="auto"/>
                      <w:szCs w:val="21"/>
                    </w:rPr>
                  </w:pPr>
                  <w:r>
                    <w:rPr>
                      <w:color w:val="auto"/>
                      <w:szCs w:val="21"/>
                    </w:rPr>
                    <w:t>收尘</w:t>
                  </w:r>
                </w:p>
              </w:tc>
              <w:tc>
                <w:tcPr>
                  <w:tcW w:w="435" w:type="pct"/>
                  <w:tcBorders>
                    <w:top w:val="single" w:color="000000" w:sz="4" w:space="0"/>
                    <w:tl2br w:val="nil"/>
                    <w:tr2bl w:val="nil"/>
                  </w:tcBorders>
                  <w:vAlign w:val="center"/>
                </w:tcPr>
                <w:p w14:paraId="5F773649">
                  <w:pPr>
                    <w:jc w:val="center"/>
                    <w:rPr>
                      <w:color w:val="auto"/>
                      <w:szCs w:val="21"/>
                    </w:rPr>
                  </w:pPr>
                  <w:r>
                    <w:rPr>
                      <w:color w:val="auto"/>
                      <w:szCs w:val="21"/>
                    </w:rPr>
                    <w:t>连续</w:t>
                  </w:r>
                </w:p>
              </w:tc>
              <w:tc>
                <w:tcPr>
                  <w:tcW w:w="2302" w:type="pct"/>
                  <w:tcBorders>
                    <w:top w:val="single" w:color="000000" w:sz="4" w:space="0"/>
                    <w:tl2br w:val="nil"/>
                    <w:tr2bl w:val="nil"/>
                  </w:tcBorders>
                  <w:vAlign w:val="center"/>
                </w:tcPr>
                <w:p w14:paraId="197072C3">
                  <w:pPr>
                    <w:jc w:val="center"/>
                    <w:rPr>
                      <w:color w:val="auto"/>
                      <w:szCs w:val="21"/>
                    </w:rPr>
                  </w:pPr>
                  <w:r>
                    <w:rPr>
                      <w:rFonts w:hint="eastAsia"/>
                      <w:color w:val="auto"/>
                      <w:szCs w:val="21"/>
                    </w:rPr>
                    <w:t>环卫部门清运</w:t>
                  </w:r>
                </w:p>
              </w:tc>
            </w:tr>
            <w:tr w14:paraId="6FF96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5" w:type="pct"/>
                  <w:vMerge w:val="continue"/>
                  <w:tcBorders>
                    <w:tl2br w:val="nil"/>
                    <w:tr2bl w:val="nil"/>
                  </w:tcBorders>
                  <w:vAlign w:val="center"/>
                </w:tcPr>
                <w:p w14:paraId="507D1231">
                  <w:pPr>
                    <w:jc w:val="center"/>
                    <w:rPr>
                      <w:color w:val="auto"/>
                      <w:szCs w:val="21"/>
                    </w:rPr>
                  </w:pPr>
                </w:p>
              </w:tc>
              <w:tc>
                <w:tcPr>
                  <w:tcW w:w="892" w:type="pct"/>
                  <w:tcBorders>
                    <w:tl2br w:val="nil"/>
                    <w:tr2bl w:val="nil"/>
                  </w:tcBorders>
                  <w:vAlign w:val="center"/>
                </w:tcPr>
                <w:p w14:paraId="5A405E3A">
                  <w:pPr>
                    <w:jc w:val="center"/>
                    <w:rPr>
                      <w:color w:val="auto"/>
                      <w:szCs w:val="21"/>
                    </w:rPr>
                  </w:pPr>
                  <w:r>
                    <w:rPr>
                      <w:color w:val="auto"/>
                      <w:szCs w:val="21"/>
                    </w:rPr>
                    <w:t>员工生活</w:t>
                  </w:r>
                </w:p>
              </w:tc>
              <w:tc>
                <w:tcPr>
                  <w:tcW w:w="1085" w:type="pct"/>
                  <w:tcBorders>
                    <w:tl2br w:val="nil"/>
                    <w:tr2bl w:val="nil"/>
                  </w:tcBorders>
                  <w:vAlign w:val="center"/>
                </w:tcPr>
                <w:p w14:paraId="1A35702C">
                  <w:pPr>
                    <w:jc w:val="center"/>
                    <w:rPr>
                      <w:color w:val="auto"/>
                      <w:szCs w:val="21"/>
                    </w:rPr>
                  </w:pPr>
                  <w:r>
                    <w:rPr>
                      <w:color w:val="auto"/>
                      <w:szCs w:val="21"/>
                    </w:rPr>
                    <w:t>生活垃圾</w:t>
                  </w:r>
                </w:p>
              </w:tc>
              <w:tc>
                <w:tcPr>
                  <w:tcW w:w="435" w:type="pct"/>
                  <w:tcBorders>
                    <w:tl2br w:val="nil"/>
                    <w:tr2bl w:val="nil"/>
                  </w:tcBorders>
                  <w:vAlign w:val="center"/>
                </w:tcPr>
                <w:p w14:paraId="78125C88">
                  <w:pPr>
                    <w:jc w:val="center"/>
                    <w:rPr>
                      <w:color w:val="auto"/>
                      <w:szCs w:val="21"/>
                    </w:rPr>
                  </w:pPr>
                  <w:r>
                    <w:rPr>
                      <w:color w:val="auto"/>
                      <w:szCs w:val="21"/>
                    </w:rPr>
                    <w:t>连续</w:t>
                  </w:r>
                </w:p>
              </w:tc>
              <w:tc>
                <w:tcPr>
                  <w:tcW w:w="2302" w:type="pct"/>
                  <w:tcBorders>
                    <w:tl2br w:val="nil"/>
                    <w:tr2bl w:val="nil"/>
                  </w:tcBorders>
                  <w:vAlign w:val="center"/>
                </w:tcPr>
                <w:p w14:paraId="38C97278">
                  <w:pPr>
                    <w:jc w:val="center"/>
                    <w:rPr>
                      <w:color w:val="auto"/>
                      <w:szCs w:val="21"/>
                    </w:rPr>
                  </w:pPr>
                  <w:r>
                    <w:rPr>
                      <w:rFonts w:hint="eastAsia"/>
                      <w:color w:val="auto"/>
                      <w:szCs w:val="21"/>
                    </w:rPr>
                    <w:t>市政部门处理</w:t>
                  </w:r>
                </w:p>
              </w:tc>
            </w:tr>
          </w:tbl>
          <w:p w14:paraId="192517A4">
            <w:pPr>
              <w:spacing w:line="360" w:lineRule="auto"/>
              <w:ind w:firstLine="422" w:firstLineChars="200"/>
              <w:jc w:val="center"/>
              <w:rPr>
                <w:b/>
                <w:bCs/>
                <w:color w:val="auto"/>
                <w:szCs w:val="21"/>
              </w:rPr>
            </w:pPr>
          </w:p>
        </w:tc>
      </w:tr>
      <w:tr w14:paraId="42366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23" w:type="dxa"/>
            <w:vAlign w:val="center"/>
          </w:tcPr>
          <w:p w14:paraId="0186A063">
            <w:pPr>
              <w:pStyle w:val="30"/>
              <w:adjustRightInd w:val="0"/>
              <w:snapToGrid w:val="0"/>
              <w:spacing w:before="0" w:beforeAutospacing="0" w:after="0" w:afterAutospacing="0" w:line="360" w:lineRule="auto"/>
              <w:jc w:val="center"/>
              <w:rPr>
                <w:rFonts w:ascii="Times New Roman" w:hAnsi="Times New Roman"/>
                <w:color w:val="auto"/>
                <w:szCs w:val="24"/>
              </w:rPr>
            </w:pPr>
            <w:r>
              <w:rPr>
                <w:rFonts w:ascii="Times New Roman" w:hAnsi="Times New Roman"/>
                <w:bCs/>
                <w:color w:val="auto"/>
                <w:kern w:val="2"/>
                <w:szCs w:val="24"/>
              </w:rPr>
              <w:t>与项目有关的原有环境污染问题</w:t>
            </w:r>
          </w:p>
        </w:tc>
        <w:tc>
          <w:tcPr>
            <w:tcW w:w="8161" w:type="dxa"/>
            <w:vAlign w:val="center"/>
          </w:tcPr>
          <w:p w14:paraId="4AA247B3">
            <w:pPr>
              <w:spacing w:line="360" w:lineRule="auto"/>
              <w:ind w:firstLine="480" w:firstLineChars="200"/>
              <w:jc w:val="left"/>
              <w:rPr>
                <w:bCs/>
                <w:color w:val="auto"/>
                <w:sz w:val="24"/>
              </w:rPr>
            </w:pPr>
            <w:r>
              <w:rPr>
                <w:color w:val="auto"/>
                <w:sz w:val="24"/>
              </w:rPr>
              <w:t>本项目为新建项目</w:t>
            </w:r>
            <w:r>
              <w:rPr>
                <w:rFonts w:hint="eastAsia"/>
                <w:color w:val="auto"/>
                <w:sz w:val="24"/>
              </w:rPr>
              <w:t>，</w:t>
            </w:r>
            <w:r>
              <w:rPr>
                <w:color w:val="auto"/>
                <w:sz w:val="24"/>
              </w:rPr>
              <w:t>位于</w:t>
            </w:r>
            <w:r>
              <w:rPr>
                <w:rFonts w:hint="eastAsia"/>
                <w:color w:val="auto"/>
                <w:sz w:val="24"/>
              </w:rPr>
              <w:t>黑龙江省佳木斯市桦川县东河乡兴华屯，</w:t>
            </w:r>
            <w:r>
              <w:rPr>
                <w:color w:val="auto"/>
                <w:sz w:val="24"/>
              </w:rPr>
              <w:t>无废气、废水、噪声排放等环境问题</w:t>
            </w:r>
            <w:r>
              <w:rPr>
                <w:rFonts w:hint="eastAsia"/>
                <w:color w:val="auto"/>
                <w:sz w:val="24"/>
              </w:rPr>
              <w:t>，未造成环境污染后果，现依法办理环评手续。</w:t>
            </w:r>
          </w:p>
        </w:tc>
      </w:tr>
    </w:tbl>
    <w:p w14:paraId="1DA95111">
      <w:pPr>
        <w:pStyle w:val="30"/>
        <w:jc w:val="center"/>
        <w:rPr>
          <w:rFonts w:ascii="Times New Roman" w:hAnsi="Times New Roman"/>
          <w:snapToGrid w:val="0"/>
          <w:color w:val="auto"/>
          <w:sz w:val="36"/>
          <w:szCs w:val="36"/>
        </w:rPr>
        <w:sectPr>
          <w:pgSz w:w="11906" w:h="16838"/>
          <w:pgMar w:top="1701" w:right="1531" w:bottom="1701" w:left="1531" w:header="851" w:footer="851" w:gutter="0"/>
          <w:cols w:space="720" w:num="1"/>
          <w:docGrid w:linePitch="312" w:charSpace="0"/>
        </w:sectPr>
      </w:pPr>
    </w:p>
    <w:p w14:paraId="319B939C">
      <w:pPr>
        <w:pStyle w:val="30"/>
        <w:adjustRightInd w:val="0"/>
        <w:snapToGrid w:val="0"/>
        <w:spacing w:before="0" w:beforeAutospacing="0" w:after="0" w:afterAutospacing="0" w:line="14" w:lineRule="auto"/>
        <w:jc w:val="center"/>
        <w:rPr>
          <w:rFonts w:ascii="Times New Roman" w:hAnsi="Times New Roman"/>
          <w:snapToGrid w:val="0"/>
          <w:color w:val="auto"/>
          <w:sz w:val="30"/>
          <w:szCs w:val="30"/>
        </w:rPr>
      </w:pPr>
    </w:p>
    <w:p w14:paraId="1D1FBD94">
      <w:pPr>
        <w:pStyle w:val="30"/>
        <w:jc w:val="center"/>
        <w:outlineLvl w:val="0"/>
        <w:rPr>
          <w:rFonts w:ascii="Times New Roman" w:hAnsi="Times New Roman"/>
          <w:snapToGrid w:val="0"/>
          <w:color w:val="auto"/>
          <w:sz w:val="30"/>
          <w:szCs w:val="30"/>
        </w:rPr>
      </w:pPr>
      <w:bookmarkStart w:id="5" w:name="_Toc17295"/>
      <w:bookmarkStart w:id="6" w:name="_Toc4060"/>
      <w:r>
        <w:rPr>
          <w:rFonts w:ascii="Times New Roman" w:hAnsi="Times New Roman"/>
          <w:snapToGrid w:val="0"/>
          <w:color w:val="auto"/>
          <w:sz w:val="30"/>
          <w:szCs w:val="30"/>
        </w:rPr>
        <w:t>三、区域环境质量现状、环境保护目标及评价标准</w:t>
      </w:r>
      <w:bookmarkEnd w:id="5"/>
      <w:bookmarkEnd w:id="6"/>
    </w:p>
    <w:tbl>
      <w:tblPr>
        <w:tblStyle w:val="35"/>
        <w:tblW w:w="90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4"/>
        <w:gridCol w:w="8233"/>
      </w:tblGrid>
      <w:tr w14:paraId="30426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63" w:hRule="atLeast"/>
          <w:jc w:val="center"/>
        </w:trPr>
        <w:tc>
          <w:tcPr>
            <w:tcW w:w="824" w:type="dxa"/>
            <w:tcBorders>
              <w:tl2br w:val="nil"/>
              <w:tr2bl w:val="nil"/>
            </w:tcBorders>
            <w:vAlign w:val="center"/>
          </w:tcPr>
          <w:p w14:paraId="5ABD2A9C">
            <w:pPr>
              <w:adjustRightInd w:val="0"/>
              <w:snapToGrid w:val="0"/>
              <w:jc w:val="center"/>
              <w:rPr>
                <w:color w:val="auto"/>
                <w:kern w:val="0"/>
                <w:szCs w:val="21"/>
              </w:rPr>
            </w:pPr>
            <w:r>
              <w:rPr>
                <w:color w:val="auto"/>
                <w:kern w:val="0"/>
                <w:szCs w:val="21"/>
              </w:rPr>
              <w:t>区域</w:t>
            </w:r>
          </w:p>
          <w:p w14:paraId="230B2375">
            <w:pPr>
              <w:adjustRightInd w:val="0"/>
              <w:snapToGrid w:val="0"/>
              <w:jc w:val="center"/>
              <w:rPr>
                <w:color w:val="auto"/>
                <w:kern w:val="0"/>
                <w:szCs w:val="21"/>
              </w:rPr>
            </w:pPr>
            <w:r>
              <w:rPr>
                <w:color w:val="auto"/>
                <w:kern w:val="0"/>
                <w:szCs w:val="21"/>
              </w:rPr>
              <w:t>环境</w:t>
            </w:r>
          </w:p>
          <w:p w14:paraId="19BEC5C3">
            <w:pPr>
              <w:adjustRightInd w:val="0"/>
              <w:snapToGrid w:val="0"/>
              <w:jc w:val="center"/>
              <w:rPr>
                <w:color w:val="auto"/>
                <w:kern w:val="0"/>
                <w:szCs w:val="21"/>
              </w:rPr>
            </w:pPr>
            <w:r>
              <w:rPr>
                <w:color w:val="auto"/>
                <w:kern w:val="0"/>
                <w:szCs w:val="21"/>
              </w:rPr>
              <w:t>质量</w:t>
            </w:r>
          </w:p>
          <w:p w14:paraId="4C40C187">
            <w:pPr>
              <w:adjustRightInd w:val="0"/>
              <w:snapToGrid w:val="0"/>
              <w:jc w:val="center"/>
              <w:rPr>
                <w:color w:val="auto"/>
                <w:kern w:val="0"/>
                <w:szCs w:val="21"/>
              </w:rPr>
            </w:pPr>
            <w:r>
              <w:rPr>
                <w:color w:val="auto"/>
                <w:kern w:val="0"/>
                <w:szCs w:val="21"/>
              </w:rPr>
              <w:t>现状</w:t>
            </w:r>
          </w:p>
        </w:tc>
        <w:tc>
          <w:tcPr>
            <w:tcW w:w="8233" w:type="dxa"/>
            <w:tcBorders>
              <w:tl2br w:val="nil"/>
              <w:tr2bl w:val="nil"/>
            </w:tcBorders>
            <w:vAlign w:val="center"/>
          </w:tcPr>
          <w:p w14:paraId="5DECA708">
            <w:pPr>
              <w:adjustRightInd w:val="0"/>
              <w:snapToGrid w:val="0"/>
              <w:spacing w:line="360" w:lineRule="auto"/>
              <w:ind w:firstLine="482" w:firstLineChars="200"/>
              <w:rPr>
                <w:color w:val="auto"/>
              </w:rPr>
            </w:pPr>
            <w:r>
              <w:rPr>
                <w:b/>
                <w:color w:val="auto"/>
                <w:sz w:val="24"/>
              </w:rPr>
              <w:t>1、环境空气</w:t>
            </w:r>
          </w:p>
          <w:p w14:paraId="091569E2">
            <w:pPr>
              <w:spacing w:line="360" w:lineRule="auto"/>
              <w:ind w:firstLine="600" w:firstLineChars="250"/>
              <w:rPr>
                <w:color w:val="auto"/>
                <w:sz w:val="24"/>
              </w:rPr>
            </w:pPr>
            <w:r>
              <w:rPr>
                <w:color w:val="auto"/>
                <w:kern w:val="0"/>
                <w:sz w:val="24"/>
                <w:lang w:bidi="ar"/>
              </w:rPr>
              <w:t>根据《2025年黑龙江省环境质量状况》中佳木斯市环境质量状况，2025年佳木斯市环境空气质量级别达</w:t>
            </w:r>
            <w:r>
              <w:rPr>
                <w:rFonts w:hint="eastAsia"/>
                <w:color w:val="auto"/>
                <w:kern w:val="0"/>
                <w:sz w:val="24"/>
                <w:lang w:val="en-US" w:eastAsia="zh-CN" w:bidi="ar"/>
              </w:rPr>
              <w:t>到</w:t>
            </w:r>
            <w:r>
              <w:rPr>
                <w:color w:val="auto"/>
                <w:kern w:val="0"/>
                <w:sz w:val="24"/>
                <w:lang w:bidi="ar"/>
              </w:rPr>
              <w:t>二级标准，达标天数为335天(91.8%)，PM</w:t>
            </w:r>
            <w:r>
              <w:rPr>
                <w:color w:val="auto"/>
                <w:kern w:val="0"/>
                <w:sz w:val="24"/>
                <w:vertAlign w:val="subscript"/>
                <w:lang w:bidi="ar"/>
              </w:rPr>
              <w:t>2.5</w:t>
            </w:r>
            <w:r>
              <w:rPr>
                <w:color w:val="auto"/>
                <w:kern w:val="0"/>
                <w:sz w:val="24"/>
                <w:lang w:bidi="ar"/>
              </w:rPr>
              <w:t>、PM</w:t>
            </w:r>
            <w:r>
              <w:rPr>
                <w:color w:val="auto"/>
                <w:kern w:val="0"/>
                <w:sz w:val="24"/>
                <w:vertAlign w:val="subscript"/>
                <w:lang w:bidi="ar"/>
              </w:rPr>
              <w:t>10</w:t>
            </w:r>
            <w:r>
              <w:rPr>
                <w:color w:val="auto"/>
                <w:kern w:val="0"/>
                <w:sz w:val="24"/>
                <w:lang w:bidi="ar"/>
              </w:rPr>
              <w:t>、SO</w:t>
            </w:r>
            <w:r>
              <w:rPr>
                <w:color w:val="auto"/>
                <w:kern w:val="0"/>
                <w:sz w:val="24"/>
                <w:vertAlign w:val="subscript"/>
                <w:lang w:bidi="ar"/>
              </w:rPr>
              <w:t>2</w:t>
            </w:r>
            <w:r>
              <w:rPr>
                <w:color w:val="auto"/>
                <w:kern w:val="0"/>
                <w:sz w:val="24"/>
                <w:lang w:bidi="ar"/>
              </w:rPr>
              <w:t>、NO</w:t>
            </w:r>
            <w:r>
              <w:rPr>
                <w:color w:val="auto"/>
                <w:kern w:val="0"/>
                <w:sz w:val="24"/>
                <w:vertAlign w:val="subscript"/>
                <w:lang w:bidi="ar"/>
              </w:rPr>
              <w:t>2</w:t>
            </w:r>
            <w:r>
              <w:rPr>
                <w:color w:val="auto"/>
                <w:kern w:val="0"/>
                <w:sz w:val="24"/>
                <w:lang w:bidi="ar"/>
              </w:rPr>
              <w:t>、CO-95per和O</w:t>
            </w:r>
            <w:r>
              <w:rPr>
                <w:color w:val="auto"/>
                <w:kern w:val="0"/>
                <w:sz w:val="24"/>
                <w:vertAlign w:val="subscript"/>
                <w:lang w:bidi="ar"/>
              </w:rPr>
              <w:t>3</w:t>
            </w:r>
            <w:r>
              <w:rPr>
                <w:color w:val="auto"/>
                <w:kern w:val="0"/>
                <w:sz w:val="24"/>
                <w:lang w:bidi="ar"/>
              </w:rPr>
              <w:t>-8h-90per年均浓度分别为29μg/m³、41μg/m³、6μg/m³、19μg/m³、1.0mg/m³和107μg/m³。</w:t>
            </w:r>
            <w:r>
              <w:rPr>
                <w:color w:val="auto"/>
                <w:sz w:val="24"/>
              </w:rPr>
              <w:t>具体见表3-1。</w:t>
            </w:r>
          </w:p>
          <w:p w14:paraId="61B0837B">
            <w:pPr>
              <w:snapToGrid w:val="0"/>
              <w:jc w:val="center"/>
              <w:rPr>
                <w:b/>
                <w:bCs/>
                <w:color w:val="auto"/>
                <w:kern w:val="0"/>
                <w:sz w:val="24"/>
              </w:rPr>
            </w:pPr>
            <w:r>
              <w:rPr>
                <w:b/>
                <w:bCs/>
                <w:color w:val="auto"/>
                <w:kern w:val="0"/>
                <w:sz w:val="24"/>
              </w:rPr>
              <w:t>表3-1</w:t>
            </w:r>
            <w:r>
              <w:rPr>
                <w:rFonts w:hint="eastAsia"/>
                <w:b/>
                <w:bCs/>
                <w:color w:val="auto"/>
                <w:kern w:val="0"/>
                <w:sz w:val="24"/>
              </w:rPr>
              <w:t xml:space="preserve"> </w:t>
            </w:r>
            <w:r>
              <w:rPr>
                <w:b/>
                <w:bCs/>
                <w:color w:val="auto"/>
                <w:kern w:val="0"/>
                <w:sz w:val="24"/>
              </w:rPr>
              <w:t xml:space="preserve"> </w:t>
            </w:r>
            <w:r>
              <w:rPr>
                <w:b/>
                <w:bCs/>
                <w:color w:val="auto"/>
                <w:kern w:val="0"/>
                <w:szCs w:val="21"/>
              </w:rPr>
              <w:t>区域空气质量现状评价表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2"/>
              <w:gridCol w:w="1434"/>
              <w:gridCol w:w="1327"/>
              <w:gridCol w:w="1042"/>
              <w:gridCol w:w="819"/>
              <w:gridCol w:w="883"/>
            </w:tblGrid>
            <w:tr w14:paraId="0474DB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5" w:type="pct"/>
                  <w:tcBorders>
                    <w:tl2br w:val="nil"/>
                    <w:tr2bl w:val="nil"/>
                  </w:tcBorders>
                  <w:vAlign w:val="center"/>
                </w:tcPr>
                <w:p w14:paraId="4D2E1475">
                  <w:pPr>
                    <w:jc w:val="center"/>
                    <w:rPr>
                      <w:color w:val="auto"/>
                    </w:rPr>
                  </w:pPr>
                  <w:r>
                    <w:rPr>
                      <w:color w:val="auto"/>
                    </w:rPr>
                    <w:t>污染物</w:t>
                  </w:r>
                </w:p>
              </w:tc>
              <w:tc>
                <w:tcPr>
                  <w:tcW w:w="893" w:type="pct"/>
                  <w:tcBorders>
                    <w:tl2br w:val="nil"/>
                    <w:tr2bl w:val="nil"/>
                  </w:tcBorders>
                  <w:vAlign w:val="center"/>
                </w:tcPr>
                <w:p w14:paraId="59644724">
                  <w:pPr>
                    <w:jc w:val="center"/>
                    <w:rPr>
                      <w:color w:val="auto"/>
                    </w:rPr>
                  </w:pPr>
                  <w:r>
                    <w:rPr>
                      <w:rFonts w:hint="eastAsia"/>
                      <w:color w:val="auto"/>
                    </w:rPr>
                    <w:t>年平均质量浓度（</w:t>
                  </w:r>
                  <w:r>
                    <w:rPr>
                      <w:color w:val="auto"/>
                    </w:rPr>
                    <w:t>μg/m</w:t>
                  </w:r>
                  <w:r>
                    <w:rPr>
                      <w:color w:val="auto"/>
                      <w:vertAlign w:val="superscript"/>
                    </w:rPr>
                    <w:t>3</w:t>
                  </w:r>
                  <w:r>
                    <w:rPr>
                      <w:rFonts w:hint="eastAsia"/>
                      <w:color w:val="auto"/>
                    </w:rPr>
                    <w:t>）</w:t>
                  </w:r>
                </w:p>
              </w:tc>
              <w:tc>
                <w:tcPr>
                  <w:tcW w:w="827" w:type="pct"/>
                  <w:tcBorders>
                    <w:tl2br w:val="nil"/>
                    <w:tr2bl w:val="nil"/>
                  </w:tcBorders>
                  <w:vAlign w:val="center"/>
                </w:tcPr>
                <w:p w14:paraId="5419D40B">
                  <w:pPr>
                    <w:jc w:val="center"/>
                    <w:rPr>
                      <w:color w:val="auto"/>
                    </w:rPr>
                  </w:pPr>
                  <w:r>
                    <w:rPr>
                      <w:rFonts w:hint="eastAsia"/>
                      <w:color w:val="auto"/>
                    </w:rPr>
                    <w:t>标准值/（</w:t>
                  </w:r>
                  <w:r>
                    <w:rPr>
                      <w:color w:val="auto"/>
                    </w:rPr>
                    <w:t>μg/m</w:t>
                  </w:r>
                  <w:r>
                    <w:rPr>
                      <w:color w:val="auto"/>
                      <w:vertAlign w:val="superscript"/>
                    </w:rPr>
                    <w:t>3</w:t>
                  </w:r>
                  <w:r>
                    <w:rPr>
                      <w:rFonts w:hint="eastAsia"/>
                      <w:color w:val="auto"/>
                    </w:rPr>
                    <w:t>）</w:t>
                  </w:r>
                </w:p>
              </w:tc>
              <w:tc>
                <w:tcPr>
                  <w:tcW w:w="650" w:type="pct"/>
                  <w:tcBorders>
                    <w:tl2br w:val="nil"/>
                    <w:tr2bl w:val="nil"/>
                  </w:tcBorders>
                  <w:vAlign w:val="center"/>
                </w:tcPr>
                <w:p w14:paraId="40213C7A">
                  <w:pPr>
                    <w:jc w:val="center"/>
                    <w:rPr>
                      <w:color w:val="auto"/>
                    </w:rPr>
                  </w:pPr>
                  <w:r>
                    <w:rPr>
                      <w:rFonts w:hint="eastAsia"/>
                      <w:color w:val="auto"/>
                    </w:rPr>
                    <w:t>占标率%</w:t>
                  </w:r>
                </w:p>
              </w:tc>
              <w:tc>
                <w:tcPr>
                  <w:tcW w:w="511" w:type="pct"/>
                  <w:tcBorders>
                    <w:tl2br w:val="nil"/>
                    <w:tr2bl w:val="nil"/>
                  </w:tcBorders>
                  <w:vAlign w:val="center"/>
                </w:tcPr>
                <w:p w14:paraId="70B7CB84">
                  <w:pPr>
                    <w:jc w:val="center"/>
                    <w:rPr>
                      <w:color w:val="auto"/>
                    </w:rPr>
                  </w:pPr>
                  <w:r>
                    <w:rPr>
                      <w:rFonts w:hint="eastAsia"/>
                      <w:color w:val="auto"/>
                    </w:rPr>
                    <w:t>超标倍数</w:t>
                  </w:r>
                </w:p>
              </w:tc>
              <w:tc>
                <w:tcPr>
                  <w:tcW w:w="551" w:type="pct"/>
                  <w:tcBorders>
                    <w:tl2br w:val="nil"/>
                    <w:tr2bl w:val="nil"/>
                  </w:tcBorders>
                  <w:vAlign w:val="center"/>
                </w:tcPr>
                <w:p w14:paraId="132FA634">
                  <w:pPr>
                    <w:jc w:val="center"/>
                    <w:rPr>
                      <w:color w:val="auto"/>
                    </w:rPr>
                  </w:pPr>
                  <w:r>
                    <w:rPr>
                      <w:color w:val="auto"/>
                    </w:rPr>
                    <w:t>达标情况</w:t>
                  </w:r>
                </w:p>
              </w:tc>
            </w:tr>
            <w:tr w14:paraId="53223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65" w:type="pct"/>
                  <w:tcBorders>
                    <w:tl2br w:val="nil"/>
                    <w:tr2bl w:val="nil"/>
                  </w:tcBorders>
                  <w:vAlign w:val="center"/>
                </w:tcPr>
                <w:p w14:paraId="52701B33">
                  <w:pPr>
                    <w:jc w:val="center"/>
                    <w:rPr>
                      <w:color w:val="auto"/>
                    </w:rPr>
                  </w:pPr>
                  <w:r>
                    <w:rPr>
                      <w:color w:val="auto"/>
                    </w:rPr>
                    <w:t>SO</w:t>
                  </w:r>
                  <w:r>
                    <w:rPr>
                      <w:color w:val="auto"/>
                      <w:vertAlign w:val="subscript"/>
                    </w:rPr>
                    <w:t>2</w:t>
                  </w:r>
                </w:p>
              </w:tc>
              <w:tc>
                <w:tcPr>
                  <w:tcW w:w="893" w:type="pct"/>
                  <w:tcBorders>
                    <w:tl2br w:val="nil"/>
                    <w:tr2bl w:val="nil"/>
                  </w:tcBorders>
                  <w:vAlign w:val="center"/>
                </w:tcPr>
                <w:p w14:paraId="1AD2E90E">
                  <w:pPr>
                    <w:jc w:val="center"/>
                    <w:rPr>
                      <w:color w:val="auto"/>
                    </w:rPr>
                  </w:pPr>
                  <w:r>
                    <w:rPr>
                      <w:rFonts w:hint="eastAsia"/>
                      <w:color w:val="auto"/>
                    </w:rPr>
                    <w:t>6</w:t>
                  </w:r>
                </w:p>
              </w:tc>
              <w:tc>
                <w:tcPr>
                  <w:tcW w:w="827" w:type="pct"/>
                  <w:tcBorders>
                    <w:tl2br w:val="nil"/>
                    <w:tr2bl w:val="nil"/>
                  </w:tcBorders>
                  <w:vAlign w:val="center"/>
                </w:tcPr>
                <w:p w14:paraId="07B94C08">
                  <w:pPr>
                    <w:jc w:val="center"/>
                    <w:rPr>
                      <w:color w:val="auto"/>
                    </w:rPr>
                  </w:pPr>
                  <w:r>
                    <w:rPr>
                      <w:rFonts w:hint="eastAsia"/>
                      <w:color w:val="auto"/>
                    </w:rPr>
                    <w:t>60</w:t>
                  </w:r>
                </w:p>
              </w:tc>
              <w:tc>
                <w:tcPr>
                  <w:tcW w:w="650" w:type="pct"/>
                  <w:tcBorders>
                    <w:tl2br w:val="nil"/>
                    <w:tr2bl w:val="nil"/>
                  </w:tcBorders>
                  <w:vAlign w:val="center"/>
                </w:tcPr>
                <w:p w14:paraId="2DD44A2E">
                  <w:pPr>
                    <w:jc w:val="center"/>
                    <w:rPr>
                      <w:color w:val="auto"/>
                    </w:rPr>
                  </w:pPr>
                  <w:r>
                    <w:rPr>
                      <w:rFonts w:hint="eastAsia"/>
                      <w:color w:val="auto"/>
                    </w:rPr>
                    <w:t>10.00</w:t>
                  </w:r>
                </w:p>
              </w:tc>
              <w:tc>
                <w:tcPr>
                  <w:tcW w:w="511" w:type="pct"/>
                  <w:tcBorders>
                    <w:tl2br w:val="nil"/>
                    <w:tr2bl w:val="nil"/>
                  </w:tcBorders>
                  <w:vAlign w:val="center"/>
                </w:tcPr>
                <w:p w14:paraId="0FCC02B6">
                  <w:pPr>
                    <w:jc w:val="center"/>
                    <w:rPr>
                      <w:color w:val="auto"/>
                    </w:rPr>
                  </w:pPr>
                  <w:r>
                    <w:rPr>
                      <w:rFonts w:hint="eastAsia"/>
                      <w:color w:val="auto"/>
                    </w:rPr>
                    <w:t>0</w:t>
                  </w:r>
                </w:p>
              </w:tc>
              <w:tc>
                <w:tcPr>
                  <w:tcW w:w="551" w:type="pct"/>
                  <w:tcBorders>
                    <w:tl2br w:val="nil"/>
                    <w:tr2bl w:val="nil"/>
                  </w:tcBorders>
                  <w:vAlign w:val="center"/>
                </w:tcPr>
                <w:p w14:paraId="7018EE99">
                  <w:pPr>
                    <w:jc w:val="center"/>
                    <w:rPr>
                      <w:color w:val="auto"/>
                    </w:rPr>
                  </w:pPr>
                  <w:r>
                    <w:rPr>
                      <w:color w:val="auto"/>
                    </w:rPr>
                    <w:t>达标</w:t>
                  </w:r>
                </w:p>
              </w:tc>
            </w:tr>
            <w:tr w14:paraId="06DDE5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65" w:type="pct"/>
                  <w:tcBorders>
                    <w:tl2br w:val="nil"/>
                    <w:tr2bl w:val="nil"/>
                  </w:tcBorders>
                  <w:vAlign w:val="center"/>
                </w:tcPr>
                <w:p w14:paraId="078453EB">
                  <w:pPr>
                    <w:jc w:val="center"/>
                    <w:rPr>
                      <w:color w:val="auto"/>
                    </w:rPr>
                  </w:pPr>
                  <w:r>
                    <w:rPr>
                      <w:color w:val="auto"/>
                    </w:rPr>
                    <w:t>NO</w:t>
                  </w:r>
                  <w:r>
                    <w:rPr>
                      <w:color w:val="auto"/>
                      <w:vertAlign w:val="subscript"/>
                    </w:rPr>
                    <w:t>2</w:t>
                  </w:r>
                </w:p>
              </w:tc>
              <w:tc>
                <w:tcPr>
                  <w:tcW w:w="893" w:type="pct"/>
                  <w:tcBorders>
                    <w:tl2br w:val="nil"/>
                    <w:tr2bl w:val="nil"/>
                  </w:tcBorders>
                  <w:vAlign w:val="center"/>
                </w:tcPr>
                <w:p w14:paraId="5C5379DC">
                  <w:pPr>
                    <w:jc w:val="center"/>
                    <w:rPr>
                      <w:color w:val="auto"/>
                    </w:rPr>
                  </w:pPr>
                  <w:r>
                    <w:rPr>
                      <w:rFonts w:hint="eastAsia"/>
                      <w:color w:val="auto"/>
                    </w:rPr>
                    <w:t>19</w:t>
                  </w:r>
                </w:p>
              </w:tc>
              <w:tc>
                <w:tcPr>
                  <w:tcW w:w="827" w:type="pct"/>
                  <w:tcBorders>
                    <w:tl2br w:val="nil"/>
                    <w:tr2bl w:val="nil"/>
                  </w:tcBorders>
                  <w:vAlign w:val="center"/>
                </w:tcPr>
                <w:p w14:paraId="3FAC0CF9">
                  <w:pPr>
                    <w:jc w:val="center"/>
                    <w:rPr>
                      <w:color w:val="auto"/>
                    </w:rPr>
                  </w:pPr>
                  <w:r>
                    <w:rPr>
                      <w:rFonts w:hint="eastAsia"/>
                      <w:color w:val="auto"/>
                    </w:rPr>
                    <w:t>40</w:t>
                  </w:r>
                </w:p>
              </w:tc>
              <w:tc>
                <w:tcPr>
                  <w:tcW w:w="650" w:type="pct"/>
                  <w:tcBorders>
                    <w:tl2br w:val="nil"/>
                    <w:tr2bl w:val="nil"/>
                  </w:tcBorders>
                  <w:vAlign w:val="center"/>
                </w:tcPr>
                <w:p w14:paraId="6DC890C9">
                  <w:pPr>
                    <w:jc w:val="center"/>
                    <w:rPr>
                      <w:color w:val="auto"/>
                    </w:rPr>
                  </w:pPr>
                  <w:r>
                    <w:rPr>
                      <w:rFonts w:hint="eastAsia"/>
                      <w:color w:val="auto"/>
                    </w:rPr>
                    <w:t>47.50</w:t>
                  </w:r>
                </w:p>
              </w:tc>
              <w:tc>
                <w:tcPr>
                  <w:tcW w:w="511" w:type="pct"/>
                  <w:tcBorders>
                    <w:tl2br w:val="nil"/>
                    <w:tr2bl w:val="nil"/>
                  </w:tcBorders>
                  <w:vAlign w:val="center"/>
                </w:tcPr>
                <w:p w14:paraId="6D4B0947">
                  <w:pPr>
                    <w:jc w:val="center"/>
                    <w:rPr>
                      <w:color w:val="auto"/>
                    </w:rPr>
                  </w:pPr>
                  <w:r>
                    <w:rPr>
                      <w:rFonts w:hint="eastAsia"/>
                      <w:color w:val="auto"/>
                    </w:rPr>
                    <w:t>0</w:t>
                  </w:r>
                </w:p>
              </w:tc>
              <w:tc>
                <w:tcPr>
                  <w:tcW w:w="551" w:type="pct"/>
                  <w:tcBorders>
                    <w:tl2br w:val="nil"/>
                    <w:tr2bl w:val="nil"/>
                  </w:tcBorders>
                  <w:vAlign w:val="center"/>
                </w:tcPr>
                <w:p w14:paraId="347FA381">
                  <w:pPr>
                    <w:jc w:val="center"/>
                    <w:rPr>
                      <w:color w:val="auto"/>
                    </w:rPr>
                  </w:pPr>
                  <w:r>
                    <w:rPr>
                      <w:color w:val="auto"/>
                    </w:rPr>
                    <w:t>达标</w:t>
                  </w:r>
                </w:p>
              </w:tc>
            </w:tr>
            <w:tr w14:paraId="7DB618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65" w:type="pct"/>
                  <w:tcBorders>
                    <w:tl2br w:val="nil"/>
                    <w:tr2bl w:val="nil"/>
                  </w:tcBorders>
                  <w:vAlign w:val="center"/>
                </w:tcPr>
                <w:p w14:paraId="3017F607">
                  <w:pPr>
                    <w:jc w:val="center"/>
                    <w:rPr>
                      <w:color w:val="auto"/>
                    </w:rPr>
                  </w:pPr>
                  <w:r>
                    <w:rPr>
                      <w:color w:val="auto"/>
                    </w:rPr>
                    <w:t>PM</w:t>
                  </w:r>
                  <w:r>
                    <w:rPr>
                      <w:color w:val="auto"/>
                      <w:vertAlign w:val="subscript"/>
                    </w:rPr>
                    <w:t>10</w:t>
                  </w:r>
                </w:p>
              </w:tc>
              <w:tc>
                <w:tcPr>
                  <w:tcW w:w="893" w:type="pct"/>
                  <w:tcBorders>
                    <w:tl2br w:val="nil"/>
                    <w:tr2bl w:val="nil"/>
                  </w:tcBorders>
                  <w:vAlign w:val="center"/>
                </w:tcPr>
                <w:p w14:paraId="20CFDA78">
                  <w:pPr>
                    <w:jc w:val="center"/>
                    <w:rPr>
                      <w:color w:val="auto"/>
                    </w:rPr>
                  </w:pPr>
                  <w:r>
                    <w:rPr>
                      <w:rFonts w:hint="eastAsia"/>
                      <w:color w:val="auto"/>
                    </w:rPr>
                    <w:t>41</w:t>
                  </w:r>
                </w:p>
              </w:tc>
              <w:tc>
                <w:tcPr>
                  <w:tcW w:w="827" w:type="pct"/>
                  <w:tcBorders>
                    <w:tl2br w:val="nil"/>
                    <w:tr2bl w:val="nil"/>
                  </w:tcBorders>
                  <w:vAlign w:val="center"/>
                </w:tcPr>
                <w:p w14:paraId="3A28B9AC">
                  <w:pPr>
                    <w:jc w:val="center"/>
                    <w:rPr>
                      <w:color w:val="auto"/>
                    </w:rPr>
                  </w:pPr>
                  <w:r>
                    <w:rPr>
                      <w:rFonts w:hint="eastAsia"/>
                      <w:color w:val="auto"/>
                    </w:rPr>
                    <w:t>60</w:t>
                  </w:r>
                </w:p>
              </w:tc>
              <w:tc>
                <w:tcPr>
                  <w:tcW w:w="650" w:type="pct"/>
                  <w:tcBorders>
                    <w:tl2br w:val="nil"/>
                    <w:tr2bl w:val="nil"/>
                  </w:tcBorders>
                  <w:vAlign w:val="center"/>
                </w:tcPr>
                <w:p w14:paraId="2D59B2DD">
                  <w:pPr>
                    <w:jc w:val="center"/>
                    <w:rPr>
                      <w:color w:val="auto"/>
                    </w:rPr>
                  </w:pPr>
                  <w:r>
                    <w:rPr>
                      <w:rFonts w:hint="eastAsia"/>
                      <w:color w:val="auto"/>
                    </w:rPr>
                    <w:t>68.33</w:t>
                  </w:r>
                </w:p>
              </w:tc>
              <w:tc>
                <w:tcPr>
                  <w:tcW w:w="511" w:type="pct"/>
                  <w:tcBorders>
                    <w:tl2br w:val="nil"/>
                    <w:tr2bl w:val="nil"/>
                  </w:tcBorders>
                  <w:vAlign w:val="center"/>
                </w:tcPr>
                <w:p w14:paraId="02534804">
                  <w:pPr>
                    <w:jc w:val="center"/>
                    <w:rPr>
                      <w:color w:val="auto"/>
                    </w:rPr>
                  </w:pPr>
                  <w:r>
                    <w:rPr>
                      <w:rFonts w:hint="eastAsia"/>
                      <w:color w:val="auto"/>
                    </w:rPr>
                    <w:t>0</w:t>
                  </w:r>
                </w:p>
              </w:tc>
              <w:tc>
                <w:tcPr>
                  <w:tcW w:w="551" w:type="pct"/>
                  <w:tcBorders>
                    <w:tl2br w:val="nil"/>
                    <w:tr2bl w:val="nil"/>
                  </w:tcBorders>
                  <w:vAlign w:val="center"/>
                </w:tcPr>
                <w:p w14:paraId="7988FB59">
                  <w:pPr>
                    <w:jc w:val="center"/>
                    <w:rPr>
                      <w:color w:val="auto"/>
                    </w:rPr>
                  </w:pPr>
                  <w:r>
                    <w:rPr>
                      <w:color w:val="auto"/>
                    </w:rPr>
                    <w:t>达标</w:t>
                  </w:r>
                </w:p>
              </w:tc>
            </w:tr>
            <w:tr w14:paraId="550973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65" w:type="pct"/>
                  <w:tcBorders>
                    <w:tl2br w:val="nil"/>
                    <w:tr2bl w:val="nil"/>
                  </w:tcBorders>
                  <w:vAlign w:val="center"/>
                </w:tcPr>
                <w:p w14:paraId="0DBB8A54">
                  <w:pPr>
                    <w:jc w:val="center"/>
                    <w:rPr>
                      <w:color w:val="auto"/>
                    </w:rPr>
                  </w:pPr>
                  <w:r>
                    <w:rPr>
                      <w:color w:val="auto"/>
                    </w:rPr>
                    <w:t>PM</w:t>
                  </w:r>
                  <w:r>
                    <w:rPr>
                      <w:color w:val="auto"/>
                      <w:vertAlign w:val="subscript"/>
                    </w:rPr>
                    <w:t>2.5</w:t>
                  </w:r>
                </w:p>
              </w:tc>
              <w:tc>
                <w:tcPr>
                  <w:tcW w:w="893" w:type="pct"/>
                  <w:tcBorders>
                    <w:tl2br w:val="nil"/>
                    <w:tr2bl w:val="nil"/>
                  </w:tcBorders>
                  <w:vAlign w:val="center"/>
                </w:tcPr>
                <w:p w14:paraId="3860E936">
                  <w:pPr>
                    <w:jc w:val="center"/>
                    <w:rPr>
                      <w:color w:val="auto"/>
                    </w:rPr>
                  </w:pPr>
                  <w:r>
                    <w:rPr>
                      <w:rFonts w:hint="eastAsia"/>
                      <w:color w:val="auto"/>
                    </w:rPr>
                    <w:t>29</w:t>
                  </w:r>
                </w:p>
              </w:tc>
              <w:tc>
                <w:tcPr>
                  <w:tcW w:w="827" w:type="pct"/>
                  <w:tcBorders>
                    <w:tl2br w:val="nil"/>
                    <w:tr2bl w:val="nil"/>
                  </w:tcBorders>
                  <w:vAlign w:val="center"/>
                </w:tcPr>
                <w:p w14:paraId="56208132">
                  <w:pPr>
                    <w:jc w:val="center"/>
                    <w:rPr>
                      <w:color w:val="auto"/>
                    </w:rPr>
                  </w:pPr>
                  <w:r>
                    <w:rPr>
                      <w:rFonts w:hint="eastAsia"/>
                      <w:color w:val="auto"/>
                    </w:rPr>
                    <w:t>30</w:t>
                  </w:r>
                </w:p>
              </w:tc>
              <w:tc>
                <w:tcPr>
                  <w:tcW w:w="650" w:type="pct"/>
                  <w:tcBorders>
                    <w:tl2br w:val="nil"/>
                    <w:tr2bl w:val="nil"/>
                  </w:tcBorders>
                  <w:vAlign w:val="center"/>
                </w:tcPr>
                <w:p w14:paraId="629A1F33">
                  <w:pPr>
                    <w:jc w:val="center"/>
                    <w:rPr>
                      <w:color w:val="auto"/>
                    </w:rPr>
                  </w:pPr>
                  <w:r>
                    <w:rPr>
                      <w:rFonts w:hint="eastAsia"/>
                      <w:color w:val="auto"/>
                    </w:rPr>
                    <w:t>96.67</w:t>
                  </w:r>
                </w:p>
              </w:tc>
              <w:tc>
                <w:tcPr>
                  <w:tcW w:w="511" w:type="pct"/>
                  <w:tcBorders>
                    <w:tl2br w:val="nil"/>
                    <w:tr2bl w:val="nil"/>
                  </w:tcBorders>
                  <w:vAlign w:val="center"/>
                </w:tcPr>
                <w:p w14:paraId="2C0FD496">
                  <w:pPr>
                    <w:jc w:val="center"/>
                    <w:rPr>
                      <w:color w:val="auto"/>
                    </w:rPr>
                  </w:pPr>
                  <w:r>
                    <w:rPr>
                      <w:color w:val="auto"/>
                    </w:rPr>
                    <w:t>0</w:t>
                  </w:r>
                </w:p>
              </w:tc>
              <w:tc>
                <w:tcPr>
                  <w:tcW w:w="551" w:type="pct"/>
                  <w:tcBorders>
                    <w:tl2br w:val="nil"/>
                    <w:tr2bl w:val="nil"/>
                  </w:tcBorders>
                  <w:vAlign w:val="center"/>
                </w:tcPr>
                <w:p w14:paraId="4364D1A2">
                  <w:pPr>
                    <w:jc w:val="center"/>
                    <w:rPr>
                      <w:color w:val="auto"/>
                    </w:rPr>
                  </w:pPr>
                  <w:r>
                    <w:rPr>
                      <w:color w:val="auto"/>
                    </w:rPr>
                    <w:t>达标</w:t>
                  </w:r>
                </w:p>
              </w:tc>
            </w:tr>
            <w:tr w14:paraId="44D1C4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65" w:type="pct"/>
                  <w:tcBorders>
                    <w:tl2br w:val="nil"/>
                    <w:tr2bl w:val="nil"/>
                  </w:tcBorders>
                  <w:vAlign w:val="center"/>
                </w:tcPr>
                <w:p w14:paraId="445622CC">
                  <w:pPr>
                    <w:jc w:val="center"/>
                    <w:rPr>
                      <w:color w:val="auto"/>
                    </w:rPr>
                  </w:pPr>
                  <w:r>
                    <w:rPr>
                      <w:color w:val="auto"/>
                    </w:rPr>
                    <w:t>CO第95百分位数</w:t>
                  </w:r>
                </w:p>
              </w:tc>
              <w:tc>
                <w:tcPr>
                  <w:tcW w:w="893" w:type="pct"/>
                  <w:tcBorders>
                    <w:tl2br w:val="nil"/>
                    <w:tr2bl w:val="nil"/>
                  </w:tcBorders>
                  <w:vAlign w:val="center"/>
                </w:tcPr>
                <w:p w14:paraId="224F0767">
                  <w:pPr>
                    <w:jc w:val="center"/>
                    <w:rPr>
                      <w:color w:val="auto"/>
                    </w:rPr>
                  </w:pPr>
                  <w:r>
                    <w:rPr>
                      <w:rFonts w:hint="eastAsia"/>
                      <w:color w:val="auto"/>
                    </w:rPr>
                    <w:t>1000</w:t>
                  </w:r>
                </w:p>
              </w:tc>
              <w:tc>
                <w:tcPr>
                  <w:tcW w:w="827" w:type="pct"/>
                  <w:tcBorders>
                    <w:tl2br w:val="nil"/>
                    <w:tr2bl w:val="nil"/>
                  </w:tcBorders>
                  <w:vAlign w:val="center"/>
                </w:tcPr>
                <w:p w14:paraId="58EA5532">
                  <w:pPr>
                    <w:jc w:val="center"/>
                    <w:rPr>
                      <w:color w:val="auto"/>
                    </w:rPr>
                  </w:pPr>
                  <w:r>
                    <w:rPr>
                      <w:rFonts w:hint="eastAsia"/>
                      <w:color w:val="auto"/>
                    </w:rPr>
                    <w:t>4000</w:t>
                  </w:r>
                </w:p>
              </w:tc>
              <w:tc>
                <w:tcPr>
                  <w:tcW w:w="650" w:type="pct"/>
                  <w:tcBorders>
                    <w:tl2br w:val="nil"/>
                    <w:tr2bl w:val="nil"/>
                  </w:tcBorders>
                  <w:vAlign w:val="center"/>
                </w:tcPr>
                <w:p w14:paraId="68612F4E">
                  <w:pPr>
                    <w:jc w:val="center"/>
                    <w:rPr>
                      <w:color w:val="auto"/>
                    </w:rPr>
                  </w:pPr>
                  <w:r>
                    <w:rPr>
                      <w:rFonts w:hint="eastAsia"/>
                      <w:color w:val="auto"/>
                    </w:rPr>
                    <w:t>25.00</w:t>
                  </w:r>
                </w:p>
              </w:tc>
              <w:tc>
                <w:tcPr>
                  <w:tcW w:w="511" w:type="pct"/>
                  <w:tcBorders>
                    <w:tl2br w:val="nil"/>
                    <w:tr2bl w:val="nil"/>
                  </w:tcBorders>
                  <w:vAlign w:val="center"/>
                </w:tcPr>
                <w:p w14:paraId="4C518B06">
                  <w:pPr>
                    <w:jc w:val="center"/>
                    <w:rPr>
                      <w:color w:val="auto"/>
                    </w:rPr>
                  </w:pPr>
                  <w:r>
                    <w:rPr>
                      <w:color w:val="auto"/>
                    </w:rPr>
                    <w:t>0</w:t>
                  </w:r>
                </w:p>
              </w:tc>
              <w:tc>
                <w:tcPr>
                  <w:tcW w:w="551" w:type="pct"/>
                  <w:tcBorders>
                    <w:tl2br w:val="nil"/>
                    <w:tr2bl w:val="nil"/>
                  </w:tcBorders>
                  <w:vAlign w:val="center"/>
                </w:tcPr>
                <w:p w14:paraId="594A27B4">
                  <w:pPr>
                    <w:jc w:val="center"/>
                    <w:rPr>
                      <w:color w:val="auto"/>
                    </w:rPr>
                  </w:pPr>
                  <w:r>
                    <w:rPr>
                      <w:color w:val="auto"/>
                    </w:rPr>
                    <w:t>达标</w:t>
                  </w:r>
                </w:p>
              </w:tc>
            </w:tr>
            <w:tr w14:paraId="499EEB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1565" w:type="pct"/>
                  <w:tcBorders>
                    <w:tl2br w:val="nil"/>
                    <w:tr2bl w:val="nil"/>
                  </w:tcBorders>
                  <w:vAlign w:val="center"/>
                </w:tcPr>
                <w:p w14:paraId="585B7D0A">
                  <w:pPr>
                    <w:jc w:val="center"/>
                    <w:rPr>
                      <w:color w:val="auto"/>
                    </w:rPr>
                  </w:pPr>
                  <w:r>
                    <w:rPr>
                      <w:color w:val="auto"/>
                    </w:rPr>
                    <w:t>O</w:t>
                  </w:r>
                  <w:r>
                    <w:rPr>
                      <w:color w:val="auto"/>
                      <w:vertAlign w:val="subscript"/>
                    </w:rPr>
                    <w:t>3</w:t>
                  </w:r>
                  <w:r>
                    <w:rPr>
                      <w:color w:val="auto"/>
                    </w:rPr>
                    <w:t>第90百分位数</w:t>
                  </w:r>
                  <w:r>
                    <w:rPr>
                      <w:rFonts w:hint="eastAsia"/>
                      <w:color w:val="auto"/>
                    </w:rPr>
                    <w:t>浓度</w:t>
                  </w:r>
                </w:p>
              </w:tc>
              <w:tc>
                <w:tcPr>
                  <w:tcW w:w="893" w:type="pct"/>
                  <w:tcBorders>
                    <w:tl2br w:val="nil"/>
                    <w:tr2bl w:val="nil"/>
                  </w:tcBorders>
                  <w:vAlign w:val="center"/>
                </w:tcPr>
                <w:p w14:paraId="008D1366">
                  <w:pPr>
                    <w:jc w:val="center"/>
                    <w:rPr>
                      <w:color w:val="auto"/>
                    </w:rPr>
                  </w:pPr>
                  <w:r>
                    <w:rPr>
                      <w:color w:val="auto"/>
                    </w:rPr>
                    <w:t>10</w:t>
                  </w:r>
                  <w:r>
                    <w:rPr>
                      <w:rFonts w:hint="eastAsia"/>
                      <w:color w:val="auto"/>
                    </w:rPr>
                    <w:t>7</w:t>
                  </w:r>
                </w:p>
              </w:tc>
              <w:tc>
                <w:tcPr>
                  <w:tcW w:w="827" w:type="pct"/>
                  <w:tcBorders>
                    <w:tl2br w:val="nil"/>
                    <w:tr2bl w:val="nil"/>
                  </w:tcBorders>
                  <w:vAlign w:val="center"/>
                </w:tcPr>
                <w:p w14:paraId="0773DE80">
                  <w:pPr>
                    <w:jc w:val="center"/>
                    <w:rPr>
                      <w:color w:val="auto"/>
                    </w:rPr>
                  </w:pPr>
                  <w:r>
                    <w:rPr>
                      <w:rFonts w:hint="eastAsia"/>
                      <w:color w:val="auto"/>
                    </w:rPr>
                    <w:t>160</w:t>
                  </w:r>
                </w:p>
              </w:tc>
              <w:tc>
                <w:tcPr>
                  <w:tcW w:w="650" w:type="pct"/>
                  <w:tcBorders>
                    <w:tl2br w:val="nil"/>
                    <w:tr2bl w:val="nil"/>
                  </w:tcBorders>
                  <w:vAlign w:val="center"/>
                </w:tcPr>
                <w:p w14:paraId="327B7D44">
                  <w:pPr>
                    <w:jc w:val="center"/>
                    <w:rPr>
                      <w:color w:val="auto"/>
                    </w:rPr>
                  </w:pPr>
                  <w:r>
                    <w:rPr>
                      <w:rFonts w:hint="eastAsia"/>
                      <w:color w:val="auto"/>
                    </w:rPr>
                    <w:t>66.88</w:t>
                  </w:r>
                </w:p>
              </w:tc>
              <w:tc>
                <w:tcPr>
                  <w:tcW w:w="511" w:type="pct"/>
                  <w:tcBorders>
                    <w:tl2br w:val="nil"/>
                    <w:tr2bl w:val="nil"/>
                  </w:tcBorders>
                  <w:vAlign w:val="center"/>
                </w:tcPr>
                <w:p w14:paraId="39EAA8B1">
                  <w:pPr>
                    <w:jc w:val="center"/>
                    <w:rPr>
                      <w:color w:val="auto"/>
                    </w:rPr>
                  </w:pPr>
                  <w:r>
                    <w:rPr>
                      <w:rFonts w:hint="eastAsia"/>
                      <w:color w:val="auto"/>
                    </w:rPr>
                    <w:t>0</w:t>
                  </w:r>
                </w:p>
              </w:tc>
              <w:tc>
                <w:tcPr>
                  <w:tcW w:w="551" w:type="pct"/>
                  <w:tcBorders>
                    <w:tl2br w:val="nil"/>
                    <w:tr2bl w:val="nil"/>
                  </w:tcBorders>
                  <w:vAlign w:val="center"/>
                </w:tcPr>
                <w:p w14:paraId="62B7FD34">
                  <w:pPr>
                    <w:jc w:val="center"/>
                    <w:rPr>
                      <w:color w:val="auto"/>
                    </w:rPr>
                  </w:pPr>
                  <w:r>
                    <w:rPr>
                      <w:color w:val="auto"/>
                    </w:rPr>
                    <w:t>达标</w:t>
                  </w:r>
                </w:p>
              </w:tc>
            </w:tr>
          </w:tbl>
          <w:p w14:paraId="4B642868">
            <w:pPr>
              <w:widowControl/>
              <w:snapToGrid w:val="0"/>
              <w:spacing w:line="360" w:lineRule="auto"/>
              <w:ind w:firstLine="480" w:firstLineChars="200"/>
              <w:rPr>
                <w:color w:val="auto"/>
                <w:sz w:val="24"/>
              </w:rPr>
            </w:pPr>
            <w:r>
              <w:rPr>
                <w:color w:val="auto"/>
                <w:sz w:val="24"/>
              </w:rPr>
              <w:t>由上表可以看出，</w:t>
            </w:r>
            <w:r>
              <w:rPr>
                <w:rFonts w:hint="eastAsia" w:ascii="宋体" w:hAnsi="宋体" w:cs="宋体"/>
                <w:color w:val="auto"/>
                <w:kern w:val="0"/>
                <w:sz w:val="24"/>
                <w:lang w:bidi="ar"/>
              </w:rPr>
              <w:t>各污染物</w:t>
            </w:r>
            <w:r>
              <w:rPr>
                <w:rFonts w:hint="eastAsia" w:ascii="宋体" w:hAnsi="宋体" w:cs="宋体"/>
                <w:color w:val="auto"/>
                <w:kern w:val="0"/>
                <w:sz w:val="24"/>
                <w:lang w:val="en-US" w:eastAsia="zh-CN" w:bidi="ar"/>
              </w:rPr>
              <w:t>年</w:t>
            </w:r>
            <w:r>
              <w:rPr>
                <w:rFonts w:hint="eastAsia" w:ascii="宋体" w:hAnsi="宋体" w:cs="宋体"/>
                <w:color w:val="auto"/>
                <w:kern w:val="0"/>
                <w:sz w:val="24"/>
                <w:lang w:bidi="ar"/>
              </w:rPr>
              <w:t>平均浓度均符合《环境空气质量标准》</w:t>
            </w:r>
            <w:r>
              <w:rPr>
                <w:rFonts w:hint="eastAsia"/>
                <w:color w:val="auto"/>
                <w:kern w:val="0"/>
                <w:sz w:val="24"/>
                <w:lang w:bidi="ar"/>
              </w:rPr>
              <w:t>（GB3095-2026）表1中过滤阶段浓度限值</w:t>
            </w:r>
            <w:r>
              <w:rPr>
                <w:rFonts w:hint="eastAsia" w:ascii="宋体" w:hAnsi="宋体" w:cs="宋体"/>
                <w:color w:val="auto"/>
                <w:kern w:val="0"/>
                <w:sz w:val="24"/>
                <w:lang w:bidi="ar"/>
              </w:rPr>
              <w:t>二级标准。综上所述，判定本项目所在区域属于达标区。</w:t>
            </w:r>
          </w:p>
          <w:p w14:paraId="3A2433E9">
            <w:pPr>
              <w:adjustRightInd w:val="0"/>
              <w:snapToGrid w:val="0"/>
              <w:spacing w:line="360" w:lineRule="auto"/>
              <w:ind w:firstLine="480" w:firstLineChars="200"/>
              <w:rPr>
                <w:color w:val="auto"/>
                <w:sz w:val="24"/>
              </w:rPr>
            </w:pPr>
            <w:r>
              <w:rPr>
                <w:color w:val="auto"/>
                <w:sz w:val="24"/>
              </w:rPr>
              <w:t>（2）特征污染物</w:t>
            </w:r>
          </w:p>
          <w:p w14:paraId="7856EFC8">
            <w:pPr>
              <w:spacing w:line="360" w:lineRule="auto"/>
              <w:ind w:firstLine="480" w:firstLineChars="200"/>
              <w:rPr>
                <w:color w:val="auto"/>
                <w:sz w:val="24"/>
                <w:lang w:val="zh-CN"/>
              </w:rPr>
            </w:pPr>
            <w:r>
              <w:rPr>
                <w:color w:val="auto"/>
                <w:sz w:val="24"/>
                <w:lang w:val="zh-CN"/>
              </w:rPr>
              <w:t>本项目的特征污染物为TSP，根据《建设项目环境影响报告表编制技术指南》（污染影响类）（试行）区域环境质量现状，大气环境可引用建设项目周边5千米范围内近三年的现有监测数据。本次引用</w:t>
            </w:r>
            <w:r>
              <w:rPr>
                <w:rFonts w:hint="eastAsia"/>
                <w:color w:val="auto"/>
                <w:sz w:val="24"/>
                <w:lang w:val="zh-CN"/>
              </w:rPr>
              <w:t>《桦川县金龙粮食贸易有限公司建设项目》</w:t>
            </w:r>
            <w:r>
              <w:rPr>
                <w:rFonts w:hint="eastAsia"/>
                <w:color w:val="auto"/>
                <w:sz w:val="24"/>
              </w:rPr>
              <w:t>检测报告，监测点距本项目4.675km，环境质量现状监测委托</w:t>
            </w:r>
            <w:r>
              <w:rPr>
                <w:color w:val="auto"/>
                <w:sz w:val="24"/>
                <w:lang w:val="zh-CN"/>
              </w:rPr>
              <w:t>黑龙江中邺检测技术有限公司</w:t>
            </w:r>
            <w:r>
              <w:rPr>
                <w:rFonts w:hint="eastAsia"/>
                <w:color w:val="auto"/>
                <w:sz w:val="24"/>
                <w:lang w:val="zh-CN"/>
              </w:rPr>
              <w:t>，</w:t>
            </w:r>
            <w:r>
              <w:rPr>
                <w:rFonts w:hint="eastAsia"/>
                <w:color w:val="auto"/>
                <w:sz w:val="24"/>
              </w:rPr>
              <w:t>检测时间为</w:t>
            </w:r>
            <w:r>
              <w:rPr>
                <w:color w:val="auto"/>
                <w:sz w:val="24"/>
                <w:lang w:val="zh-CN"/>
              </w:rPr>
              <w:t>202</w:t>
            </w:r>
            <w:r>
              <w:rPr>
                <w:color w:val="auto"/>
                <w:sz w:val="24"/>
              </w:rPr>
              <w:t>5</w:t>
            </w:r>
            <w:r>
              <w:rPr>
                <w:color w:val="auto"/>
                <w:sz w:val="24"/>
                <w:lang w:val="zh-CN"/>
              </w:rPr>
              <w:t>年</w:t>
            </w:r>
            <w:r>
              <w:rPr>
                <w:rFonts w:hint="eastAsia"/>
                <w:color w:val="auto"/>
                <w:sz w:val="24"/>
              </w:rPr>
              <w:t>4</w:t>
            </w:r>
            <w:r>
              <w:rPr>
                <w:color w:val="auto"/>
                <w:sz w:val="24"/>
                <w:lang w:val="zh-CN"/>
              </w:rPr>
              <w:t>月</w:t>
            </w:r>
            <w:r>
              <w:rPr>
                <w:rFonts w:hint="eastAsia"/>
                <w:color w:val="auto"/>
                <w:sz w:val="24"/>
              </w:rPr>
              <w:t>28</w:t>
            </w:r>
            <w:r>
              <w:rPr>
                <w:color w:val="auto"/>
                <w:sz w:val="24"/>
                <w:lang w:val="zh-CN"/>
              </w:rPr>
              <w:t>日</w:t>
            </w:r>
            <w:r>
              <w:rPr>
                <w:color w:val="auto"/>
                <w:sz w:val="24"/>
              </w:rPr>
              <w:t>~</w:t>
            </w:r>
            <w:r>
              <w:rPr>
                <w:rFonts w:hint="eastAsia"/>
                <w:color w:val="auto"/>
                <w:sz w:val="24"/>
              </w:rPr>
              <w:t>4</w:t>
            </w:r>
            <w:r>
              <w:rPr>
                <w:color w:val="auto"/>
                <w:sz w:val="24"/>
                <w:lang w:val="zh-CN"/>
              </w:rPr>
              <w:t>月</w:t>
            </w:r>
            <w:r>
              <w:rPr>
                <w:rFonts w:hint="eastAsia"/>
                <w:color w:val="auto"/>
                <w:sz w:val="24"/>
              </w:rPr>
              <w:t>30</w:t>
            </w:r>
            <w:r>
              <w:rPr>
                <w:color w:val="auto"/>
                <w:sz w:val="24"/>
                <w:lang w:val="zh-CN"/>
              </w:rPr>
              <w:t>日</w:t>
            </w:r>
            <w:r>
              <w:rPr>
                <w:rFonts w:hint="eastAsia"/>
                <w:color w:val="auto"/>
                <w:sz w:val="24"/>
                <w:lang w:val="zh-CN"/>
              </w:rPr>
              <w:t>，</w:t>
            </w:r>
            <w:r>
              <w:rPr>
                <w:rFonts w:hint="eastAsia"/>
                <w:color w:val="auto"/>
                <w:sz w:val="24"/>
              </w:rPr>
              <w:t>检测报告见附件3，引用监测数据为周边5千米范围内近3年的现有监测数据，引用可行，</w:t>
            </w:r>
            <w:r>
              <w:rPr>
                <w:color w:val="auto"/>
                <w:sz w:val="24"/>
                <w:lang w:val="zh-CN"/>
              </w:rPr>
              <w:t>检测结果</w:t>
            </w:r>
            <w:r>
              <w:rPr>
                <w:color w:val="auto"/>
                <w:sz w:val="24"/>
              </w:rPr>
              <w:t>如</w:t>
            </w:r>
            <w:r>
              <w:rPr>
                <w:color w:val="auto"/>
                <w:sz w:val="24"/>
                <w:lang w:val="zh-CN"/>
              </w:rPr>
              <w:t>下：</w:t>
            </w:r>
          </w:p>
          <w:p w14:paraId="4639F166">
            <w:pPr>
              <w:jc w:val="center"/>
              <w:rPr>
                <w:color w:val="auto"/>
              </w:rPr>
            </w:pPr>
            <w:r>
              <w:rPr>
                <w:color w:val="auto"/>
              </w:rPr>
              <w:drawing>
                <wp:inline distT="0" distB="0" distL="114300" distR="114300">
                  <wp:extent cx="5088890" cy="5088890"/>
                  <wp:effectExtent l="0" t="0" r="16510" b="16510"/>
                  <wp:docPr id="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pic:cNvPicPr>
                            <a:picLocks noChangeAspect="1"/>
                          </pic:cNvPicPr>
                        </pic:nvPicPr>
                        <pic:blipFill>
                          <a:blip r:embed="rId32"/>
                          <a:stretch>
                            <a:fillRect/>
                          </a:stretch>
                        </pic:blipFill>
                        <pic:spPr>
                          <a:xfrm>
                            <a:off x="0" y="0"/>
                            <a:ext cx="5088890" cy="5088890"/>
                          </a:xfrm>
                          <a:prstGeom prst="rect">
                            <a:avLst/>
                          </a:prstGeom>
                          <a:noFill/>
                          <a:ln>
                            <a:noFill/>
                          </a:ln>
                        </pic:spPr>
                      </pic:pic>
                    </a:graphicData>
                  </a:graphic>
                </wp:inline>
              </w:drawing>
            </w:r>
          </w:p>
          <w:p w14:paraId="2BF4F38B">
            <w:pPr>
              <w:spacing w:line="360" w:lineRule="auto"/>
              <w:ind w:firstLine="422" w:firstLineChars="200"/>
              <w:jc w:val="center"/>
              <w:rPr>
                <w:color w:val="auto"/>
                <w:sz w:val="24"/>
                <w:lang w:val="zh-CN"/>
              </w:rPr>
            </w:pPr>
            <w:r>
              <w:rPr>
                <w:b/>
                <w:bCs/>
                <w:color w:val="auto"/>
                <w:szCs w:val="21"/>
              </w:rPr>
              <w:t>图3-1环境质量现状监测布点图</w:t>
            </w:r>
          </w:p>
          <w:p w14:paraId="127914F4">
            <w:pPr>
              <w:spacing w:line="360" w:lineRule="auto"/>
              <w:jc w:val="center"/>
              <w:rPr>
                <w:b/>
                <w:bCs/>
                <w:color w:val="auto"/>
                <w:szCs w:val="21"/>
              </w:rPr>
            </w:pPr>
            <w:r>
              <w:rPr>
                <w:b/>
                <w:bCs/>
                <w:color w:val="auto"/>
                <w:szCs w:val="21"/>
              </w:rPr>
              <w:t>表3-2项目环境空气现状监测布点一览表</w:t>
            </w:r>
          </w:p>
          <w:tbl>
            <w:tblPr>
              <w:tblStyle w:val="35"/>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1665"/>
              <w:gridCol w:w="1112"/>
              <w:gridCol w:w="1308"/>
              <w:gridCol w:w="1164"/>
              <w:gridCol w:w="1461"/>
            </w:tblGrid>
            <w:tr w14:paraId="50E80A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07" w:type="dxa"/>
                  <w:tcBorders>
                    <w:tl2br w:val="nil"/>
                    <w:tr2bl w:val="nil"/>
                  </w:tcBorders>
                  <w:vAlign w:val="center"/>
                </w:tcPr>
                <w:p w14:paraId="65D94F54">
                  <w:pPr>
                    <w:jc w:val="center"/>
                    <w:rPr>
                      <w:color w:val="auto"/>
                      <w:szCs w:val="21"/>
                    </w:rPr>
                  </w:pPr>
                  <w:r>
                    <w:rPr>
                      <w:color w:val="auto"/>
                      <w:kern w:val="0"/>
                      <w:szCs w:val="21"/>
                    </w:rPr>
                    <w:t>名称</w:t>
                  </w:r>
                </w:p>
              </w:tc>
              <w:tc>
                <w:tcPr>
                  <w:tcW w:w="1665" w:type="dxa"/>
                  <w:tcBorders>
                    <w:tl2br w:val="nil"/>
                    <w:tr2bl w:val="nil"/>
                  </w:tcBorders>
                  <w:vAlign w:val="center"/>
                </w:tcPr>
                <w:p w14:paraId="3F54179A">
                  <w:pPr>
                    <w:jc w:val="center"/>
                    <w:rPr>
                      <w:color w:val="auto"/>
                      <w:szCs w:val="21"/>
                    </w:rPr>
                  </w:pPr>
                  <w:r>
                    <w:rPr>
                      <w:color w:val="auto"/>
                      <w:kern w:val="0"/>
                      <w:szCs w:val="21"/>
                    </w:rPr>
                    <w:t>坐标</w:t>
                  </w:r>
                </w:p>
              </w:tc>
              <w:tc>
                <w:tcPr>
                  <w:tcW w:w="1112" w:type="dxa"/>
                  <w:tcBorders>
                    <w:tl2br w:val="nil"/>
                    <w:tr2bl w:val="nil"/>
                  </w:tcBorders>
                  <w:vAlign w:val="center"/>
                </w:tcPr>
                <w:p w14:paraId="4C9930A7">
                  <w:pPr>
                    <w:jc w:val="center"/>
                    <w:rPr>
                      <w:color w:val="auto"/>
                      <w:szCs w:val="21"/>
                    </w:rPr>
                  </w:pPr>
                  <w:r>
                    <w:rPr>
                      <w:color w:val="auto"/>
                      <w:kern w:val="0"/>
                      <w:szCs w:val="21"/>
                    </w:rPr>
                    <w:t>监测因子</w:t>
                  </w:r>
                </w:p>
              </w:tc>
              <w:tc>
                <w:tcPr>
                  <w:tcW w:w="1308" w:type="dxa"/>
                  <w:tcBorders>
                    <w:tl2br w:val="nil"/>
                    <w:tr2bl w:val="nil"/>
                  </w:tcBorders>
                  <w:vAlign w:val="center"/>
                </w:tcPr>
                <w:p w14:paraId="11ED6C89">
                  <w:pPr>
                    <w:jc w:val="center"/>
                    <w:rPr>
                      <w:color w:val="auto"/>
                      <w:szCs w:val="21"/>
                    </w:rPr>
                  </w:pPr>
                  <w:r>
                    <w:rPr>
                      <w:color w:val="auto"/>
                      <w:kern w:val="0"/>
                      <w:szCs w:val="21"/>
                    </w:rPr>
                    <w:t>监测时段</w:t>
                  </w:r>
                </w:p>
              </w:tc>
              <w:tc>
                <w:tcPr>
                  <w:tcW w:w="1164" w:type="dxa"/>
                  <w:tcBorders>
                    <w:tl2br w:val="nil"/>
                    <w:tr2bl w:val="nil"/>
                  </w:tcBorders>
                  <w:vAlign w:val="center"/>
                </w:tcPr>
                <w:p w14:paraId="240218D5">
                  <w:pPr>
                    <w:jc w:val="center"/>
                    <w:rPr>
                      <w:color w:val="auto"/>
                      <w:szCs w:val="21"/>
                    </w:rPr>
                  </w:pPr>
                  <w:r>
                    <w:rPr>
                      <w:color w:val="auto"/>
                      <w:kern w:val="0"/>
                      <w:szCs w:val="21"/>
                    </w:rPr>
                    <w:t>相对厂址方位</w:t>
                  </w:r>
                </w:p>
              </w:tc>
              <w:tc>
                <w:tcPr>
                  <w:tcW w:w="1461" w:type="dxa"/>
                  <w:tcBorders>
                    <w:tl2br w:val="nil"/>
                    <w:tr2bl w:val="nil"/>
                  </w:tcBorders>
                  <w:vAlign w:val="center"/>
                </w:tcPr>
                <w:p w14:paraId="44DC3350">
                  <w:pPr>
                    <w:jc w:val="center"/>
                    <w:rPr>
                      <w:color w:val="auto"/>
                      <w:szCs w:val="21"/>
                    </w:rPr>
                  </w:pPr>
                  <w:r>
                    <w:rPr>
                      <w:color w:val="auto"/>
                      <w:kern w:val="0"/>
                      <w:szCs w:val="21"/>
                    </w:rPr>
                    <w:t>相对厂界距离</w:t>
                  </w:r>
                </w:p>
              </w:tc>
            </w:tr>
            <w:tr w14:paraId="777EAD7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07" w:type="dxa"/>
                  <w:tcBorders>
                    <w:tl2br w:val="nil"/>
                    <w:tr2bl w:val="nil"/>
                  </w:tcBorders>
                  <w:vAlign w:val="center"/>
                </w:tcPr>
                <w:p w14:paraId="76EC7B4A">
                  <w:pPr>
                    <w:adjustRightInd w:val="0"/>
                    <w:snapToGrid w:val="0"/>
                    <w:jc w:val="center"/>
                    <w:rPr>
                      <w:color w:val="auto"/>
                      <w:szCs w:val="21"/>
                    </w:rPr>
                  </w:pPr>
                  <w:r>
                    <w:rPr>
                      <w:color w:val="auto"/>
                      <w:szCs w:val="21"/>
                    </w:rPr>
                    <w:t>下风向</w:t>
                  </w:r>
                </w:p>
              </w:tc>
              <w:tc>
                <w:tcPr>
                  <w:tcW w:w="1665" w:type="dxa"/>
                  <w:tcBorders>
                    <w:tl2br w:val="nil"/>
                    <w:tr2bl w:val="nil"/>
                  </w:tcBorders>
                  <w:vAlign w:val="center"/>
                </w:tcPr>
                <w:p w14:paraId="70498FB7">
                  <w:pPr>
                    <w:adjustRightInd w:val="0"/>
                    <w:snapToGrid w:val="0"/>
                    <w:jc w:val="center"/>
                    <w:rPr>
                      <w:color w:val="auto"/>
                      <w:szCs w:val="21"/>
                    </w:rPr>
                  </w:pPr>
                  <w:r>
                    <w:rPr>
                      <w:color w:val="auto"/>
                      <w:szCs w:val="21"/>
                    </w:rPr>
                    <w:t>E13</w:t>
                  </w:r>
                  <w:r>
                    <w:rPr>
                      <w:rFonts w:hint="eastAsia"/>
                      <w:color w:val="auto"/>
                      <w:szCs w:val="21"/>
                    </w:rPr>
                    <w:t>1.35</w:t>
                  </w:r>
                  <w:r>
                    <w:rPr>
                      <w:color w:val="auto"/>
                      <w:szCs w:val="21"/>
                    </w:rPr>
                    <w:t>857306°</w:t>
                  </w:r>
                </w:p>
                <w:p w14:paraId="5AA40B56">
                  <w:pPr>
                    <w:adjustRightInd w:val="0"/>
                    <w:snapToGrid w:val="0"/>
                    <w:jc w:val="center"/>
                    <w:rPr>
                      <w:color w:val="auto"/>
                      <w:szCs w:val="21"/>
                    </w:rPr>
                  </w:pPr>
                  <w:r>
                    <w:rPr>
                      <w:color w:val="auto"/>
                      <w:szCs w:val="21"/>
                    </w:rPr>
                    <w:t>N47.12619931°</w:t>
                  </w:r>
                </w:p>
              </w:tc>
              <w:tc>
                <w:tcPr>
                  <w:tcW w:w="1112" w:type="dxa"/>
                  <w:tcBorders>
                    <w:tl2br w:val="nil"/>
                    <w:tr2bl w:val="nil"/>
                  </w:tcBorders>
                  <w:vAlign w:val="center"/>
                </w:tcPr>
                <w:p w14:paraId="0AE11414">
                  <w:pPr>
                    <w:widowControl/>
                    <w:jc w:val="center"/>
                    <w:rPr>
                      <w:color w:val="auto"/>
                      <w:szCs w:val="21"/>
                    </w:rPr>
                  </w:pPr>
                  <w:r>
                    <w:rPr>
                      <w:color w:val="auto"/>
                      <w:kern w:val="0"/>
                      <w:szCs w:val="21"/>
                    </w:rPr>
                    <w:t>TSP</w:t>
                  </w:r>
                </w:p>
              </w:tc>
              <w:tc>
                <w:tcPr>
                  <w:tcW w:w="1308" w:type="dxa"/>
                  <w:tcBorders>
                    <w:tl2br w:val="nil"/>
                    <w:tr2bl w:val="nil"/>
                  </w:tcBorders>
                  <w:vAlign w:val="center"/>
                </w:tcPr>
                <w:p w14:paraId="6BC56784">
                  <w:pPr>
                    <w:widowControl/>
                    <w:jc w:val="center"/>
                    <w:rPr>
                      <w:color w:val="auto"/>
                      <w:szCs w:val="21"/>
                    </w:rPr>
                  </w:pPr>
                  <w:r>
                    <w:rPr>
                      <w:color w:val="auto"/>
                      <w:kern w:val="0"/>
                      <w:szCs w:val="21"/>
                    </w:rPr>
                    <w:t>24小时平均</w:t>
                  </w:r>
                </w:p>
              </w:tc>
              <w:tc>
                <w:tcPr>
                  <w:tcW w:w="1164" w:type="dxa"/>
                  <w:tcBorders>
                    <w:tl2br w:val="nil"/>
                    <w:tr2bl w:val="nil"/>
                  </w:tcBorders>
                  <w:vAlign w:val="center"/>
                </w:tcPr>
                <w:p w14:paraId="3DF3719C">
                  <w:pPr>
                    <w:adjustRightInd w:val="0"/>
                    <w:snapToGrid w:val="0"/>
                    <w:jc w:val="center"/>
                    <w:rPr>
                      <w:color w:val="auto"/>
                      <w:szCs w:val="21"/>
                    </w:rPr>
                  </w:pPr>
                  <w:r>
                    <w:rPr>
                      <w:rFonts w:hint="eastAsia"/>
                      <w:color w:val="auto"/>
                      <w:szCs w:val="21"/>
                    </w:rPr>
                    <w:t>N</w:t>
                  </w:r>
                  <w:r>
                    <w:rPr>
                      <w:color w:val="auto"/>
                      <w:szCs w:val="21"/>
                    </w:rPr>
                    <w:t>E</w:t>
                  </w:r>
                </w:p>
              </w:tc>
              <w:tc>
                <w:tcPr>
                  <w:tcW w:w="1461" w:type="dxa"/>
                  <w:tcBorders>
                    <w:tl2br w:val="nil"/>
                    <w:tr2bl w:val="nil"/>
                  </w:tcBorders>
                  <w:vAlign w:val="center"/>
                </w:tcPr>
                <w:p w14:paraId="15B6FFF3">
                  <w:pPr>
                    <w:adjustRightInd w:val="0"/>
                    <w:snapToGrid w:val="0"/>
                    <w:jc w:val="center"/>
                    <w:rPr>
                      <w:color w:val="auto"/>
                      <w:szCs w:val="21"/>
                    </w:rPr>
                  </w:pPr>
                  <w:r>
                    <w:rPr>
                      <w:rFonts w:hint="eastAsia"/>
                      <w:color w:val="auto"/>
                      <w:szCs w:val="21"/>
                    </w:rPr>
                    <w:t>4.675km</w:t>
                  </w:r>
                </w:p>
              </w:tc>
            </w:tr>
          </w:tbl>
          <w:p w14:paraId="6D80F097">
            <w:pPr>
              <w:spacing w:line="360" w:lineRule="auto"/>
              <w:rPr>
                <w:color w:val="auto"/>
                <w:sz w:val="24"/>
              </w:rPr>
            </w:pPr>
            <w:r>
              <w:rPr>
                <w:color w:val="auto"/>
                <w:sz w:val="24"/>
              </w:rPr>
              <w:t>环境空气质量现状监测结果见下表。</w:t>
            </w:r>
          </w:p>
          <w:p w14:paraId="4820AF03">
            <w:pPr>
              <w:spacing w:line="360" w:lineRule="auto"/>
              <w:jc w:val="center"/>
              <w:rPr>
                <w:b/>
                <w:bCs/>
                <w:color w:val="auto"/>
                <w:szCs w:val="21"/>
              </w:rPr>
            </w:pPr>
            <w:r>
              <w:rPr>
                <w:b/>
                <w:bCs/>
                <w:color w:val="auto"/>
                <w:szCs w:val="21"/>
              </w:rPr>
              <w:t>表3-3其他污染物环境质量现状监测结果表</w:t>
            </w:r>
          </w:p>
          <w:tbl>
            <w:tblPr>
              <w:tblStyle w:val="35"/>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968"/>
              <w:gridCol w:w="1227"/>
              <w:gridCol w:w="1063"/>
              <w:gridCol w:w="1145"/>
              <w:gridCol w:w="1145"/>
              <w:gridCol w:w="1147"/>
            </w:tblGrid>
            <w:tr w14:paraId="24A942D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12" w:hRule="atLeast"/>
                <w:jc w:val="center"/>
              </w:trPr>
              <w:tc>
                <w:tcPr>
                  <w:tcW w:w="1322" w:type="dxa"/>
                  <w:tcBorders>
                    <w:tl2br w:val="nil"/>
                    <w:tr2bl w:val="nil"/>
                  </w:tcBorders>
                  <w:vAlign w:val="center"/>
                </w:tcPr>
                <w:p w14:paraId="516D0E67">
                  <w:pPr>
                    <w:jc w:val="center"/>
                    <w:rPr>
                      <w:color w:val="auto"/>
                      <w:szCs w:val="21"/>
                    </w:rPr>
                  </w:pPr>
                  <w:r>
                    <w:rPr>
                      <w:color w:val="auto"/>
                      <w:kern w:val="0"/>
                      <w:szCs w:val="21"/>
                    </w:rPr>
                    <w:t>名称</w:t>
                  </w:r>
                </w:p>
              </w:tc>
              <w:tc>
                <w:tcPr>
                  <w:tcW w:w="968" w:type="dxa"/>
                  <w:tcBorders>
                    <w:tl2br w:val="nil"/>
                    <w:tr2bl w:val="nil"/>
                  </w:tcBorders>
                  <w:vAlign w:val="center"/>
                </w:tcPr>
                <w:p w14:paraId="5A17BAA3">
                  <w:pPr>
                    <w:jc w:val="center"/>
                    <w:rPr>
                      <w:color w:val="auto"/>
                      <w:szCs w:val="21"/>
                    </w:rPr>
                  </w:pPr>
                  <w:r>
                    <w:rPr>
                      <w:color w:val="auto"/>
                      <w:kern w:val="0"/>
                      <w:szCs w:val="21"/>
                    </w:rPr>
                    <w:t>污染物</w:t>
                  </w:r>
                </w:p>
              </w:tc>
              <w:tc>
                <w:tcPr>
                  <w:tcW w:w="1227" w:type="dxa"/>
                  <w:tcBorders>
                    <w:tl2br w:val="nil"/>
                    <w:tr2bl w:val="nil"/>
                  </w:tcBorders>
                  <w:vAlign w:val="center"/>
                </w:tcPr>
                <w:p w14:paraId="488A61B7">
                  <w:pPr>
                    <w:jc w:val="center"/>
                    <w:rPr>
                      <w:color w:val="auto"/>
                      <w:szCs w:val="21"/>
                    </w:rPr>
                  </w:pPr>
                  <w:r>
                    <w:rPr>
                      <w:color w:val="auto"/>
                      <w:kern w:val="0"/>
                      <w:szCs w:val="21"/>
                    </w:rPr>
                    <w:t>评价标准</w:t>
                  </w:r>
                  <w:r>
                    <w:rPr>
                      <w:rFonts w:hint="eastAsia"/>
                      <w:color w:val="auto"/>
                      <w:kern w:val="0"/>
                      <w:szCs w:val="21"/>
                      <w:lang w:eastAsia="zh-CN"/>
                    </w:rPr>
                    <w:t>（</w:t>
                  </w:r>
                  <w:r>
                    <w:rPr>
                      <w:rFonts w:hint="eastAsia"/>
                      <w:color w:val="auto"/>
                      <w:kern w:val="0"/>
                      <w:szCs w:val="21"/>
                      <w:lang w:val="en-US" w:eastAsia="zh-CN"/>
                    </w:rPr>
                    <w:t>日平均</w:t>
                  </w:r>
                  <w:r>
                    <w:rPr>
                      <w:rFonts w:hint="eastAsia"/>
                      <w:color w:val="auto"/>
                      <w:kern w:val="0"/>
                      <w:szCs w:val="21"/>
                      <w:lang w:eastAsia="zh-CN"/>
                    </w:rPr>
                    <w:t>）</w:t>
                  </w:r>
                  <w:r>
                    <w:rPr>
                      <w:color w:val="auto"/>
                      <w:kern w:val="0"/>
                      <w:szCs w:val="21"/>
                    </w:rPr>
                    <w:t>（μg/m</w:t>
                  </w:r>
                  <w:r>
                    <w:rPr>
                      <w:color w:val="auto"/>
                      <w:kern w:val="0"/>
                      <w:szCs w:val="21"/>
                      <w:vertAlign w:val="superscript"/>
                    </w:rPr>
                    <w:t>3</w:t>
                  </w:r>
                  <w:r>
                    <w:rPr>
                      <w:color w:val="auto"/>
                      <w:kern w:val="0"/>
                      <w:szCs w:val="21"/>
                    </w:rPr>
                    <w:t>）</w:t>
                  </w:r>
                </w:p>
              </w:tc>
              <w:tc>
                <w:tcPr>
                  <w:tcW w:w="1063" w:type="dxa"/>
                  <w:tcBorders>
                    <w:tl2br w:val="nil"/>
                    <w:tr2bl w:val="nil"/>
                  </w:tcBorders>
                  <w:vAlign w:val="center"/>
                </w:tcPr>
                <w:p w14:paraId="3F72CB06">
                  <w:pPr>
                    <w:jc w:val="center"/>
                    <w:rPr>
                      <w:color w:val="auto"/>
                      <w:szCs w:val="21"/>
                    </w:rPr>
                  </w:pPr>
                  <w:r>
                    <w:rPr>
                      <w:color w:val="auto"/>
                      <w:kern w:val="0"/>
                      <w:szCs w:val="21"/>
                    </w:rPr>
                    <w:t>浓度范围（μg/m</w:t>
                  </w:r>
                  <w:r>
                    <w:rPr>
                      <w:color w:val="auto"/>
                      <w:kern w:val="0"/>
                      <w:szCs w:val="21"/>
                      <w:vertAlign w:val="superscript"/>
                    </w:rPr>
                    <w:t>3</w:t>
                  </w:r>
                  <w:r>
                    <w:rPr>
                      <w:color w:val="auto"/>
                      <w:kern w:val="0"/>
                      <w:szCs w:val="21"/>
                    </w:rPr>
                    <w:t>）</w:t>
                  </w:r>
                </w:p>
              </w:tc>
              <w:tc>
                <w:tcPr>
                  <w:tcW w:w="1145" w:type="dxa"/>
                  <w:tcBorders>
                    <w:tl2br w:val="nil"/>
                    <w:tr2bl w:val="nil"/>
                  </w:tcBorders>
                  <w:vAlign w:val="center"/>
                </w:tcPr>
                <w:p w14:paraId="129C49D8">
                  <w:pPr>
                    <w:jc w:val="center"/>
                    <w:rPr>
                      <w:color w:val="auto"/>
                      <w:szCs w:val="21"/>
                    </w:rPr>
                  </w:pPr>
                  <w:r>
                    <w:rPr>
                      <w:color w:val="auto"/>
                      <w:kern w:val="0"/>
                      <w:szCs w:val="21"/>
                    </w:rPr>
                    <w:t>最大占标率%</w:t>
                  </w:r>
                </w:p>
              </w:tc>
              <w:tc>
                <w:tcPr>
                  <w:tcW w:w="1145" w:type="dxa"/>
                  <w:tcBorders>
                    <w:tl2br w:val="nil"/>
                    <w:tr2bl w:val="nil"/>
                  </w:tcBorders>
                  <w:vAlign w:val="center"/>
                </w:tcPr>
                <w:p w14:paraId="1324F9AA">
                  <w:pPr>
                    <w:jc w:val="center"/>
                    <w:rPr>
                      <w:color w:val="auto"/>
                      <w:szCs w:val="21"/>
                    </w:rPr>
                  </w:pPr>
                  <w:r>
                    <w:rPr>
                      <w:color w:val="auto"/>
                      <w:kern w:val="0"/>
                      <w:szCs w:val="21"/>
                    </w:rPr>
                    <w:t>超标率%</w:t>
                  </w:r>
                </w:p>
              </w:tc>
              <w:tc>
                <w:tcPr>
                  <w:tcW w:w="1147" w:type="dxa"/>
                  <w:tcBorders>
                    <w:tl2br w:val="nil"/>
                    <w:tr2bl w:val="nil"/>
                  </w:tcBorders>
                  <w:vAlign w:val="center"/>
                </w:tcPr>
                <w:p w14:paraId="700EF674">
                  <w:pPr>
                    <w:jc w:val="center"/>
                    <w:rPr>
                      <w:color w:val="auto"/>
                      <w:szCs w:val="21"/>
                    </w:rPr>
                  </w:pPr>
                  <w:r>
                    <w:rPr>
                      <w:color w:val="auto"/>
                      <w:kern w:val="0"/>
                      <w:szCs w:val="21"/>
                    </w:rPr>
                    <w:t>达标情况</w:t>
                  </w:r>
                </w:p>
              </w:tc>
            </w:tr>
            <w:tr w14:paraId="57F3B36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22" w:type="dxa"/>
                  <w:tcBorders>
                    <w:tl2br w:val="nil"/>
                    <w:tr2bl w:val="nil"/>
                  </w:tcBorders>
                  <w:vAlign w:val="center"/>
                </w:tcPr>
                <w:p w14:paraId="58704515">
                  <w:pPr>
                    <w:adjustRightInd w:val="0"/>
                    <w:snapToGrid w:val="0"/>
                    <w:jc w:val="center"/>
                    <w:rPr>
                      <w:color w:val="auto"/>
                      <w:szCs w:val="21"/>
                    </w:rPr>
                  </w:pPr>
                  <w:r>
                    <w:rPr>
                      <w:color w:val="auto"/>
                      <w:szCs w:val="21"/>
                    </w:rPr>
                    <w:t>下风向</w:t>
                  </w:r>
                </w:p>
              </w:tc>
              <w:tc>
                <w:tcPr>
                  <w:tcW w:w="968" w:type="dxa"/>
                  <w:tcBorders>
                    <w:tl2br w:val="nil"/>
                    <w:tr2bl w:val="nil"/>
                  </w:tcBorders>
                  <w:vAlign w:val="center"/>
                </w:tcPr>
                <w:p w14:paraId="7F0E2B8B">
                  <w:pPr>
                    <w:adjustRightInd w:val="0"/>
                    <w:snapToGrid w:val="0"/>
                    <w:jc w:val="center"/>
                    <w:rPr>
                      <w:color w:val="auto"/>
                      <w:szCs w:val="21"/>
                    </w:rPr>
                  </w:pPr>
                  <w:r>
                    <w:rPr>
                      <w:color w:val="auto"/>
                      <w:szCs w:val="21"/>
                    </w:rPr>
                    <w:t>TSP</w:t>
                  </w:r>
                </w:p>
              </w:tc>
              <w:tc>
                <w:tcPr>
                  <w:tcW w:w="1227" w:type="dxa"/>
                  <w:tcBorders>
                    <w:tl2br w:val="nil"/>
                    <w:tr2bl w:val="nil"/>
                  </w:tcBorders>
                  <w:vAlign w:val="center"/>
                </w:tcPr>
                <w:p w14:paraId="7EC13B10">
                  <w:pPr>
                    <w:adjustRightInd w:val="0"/>
                    <w:snapToGrid w:val="0"/>
                    <w:jc w:val="center"/>
                    <w:rPr>
                      <w:color w:val="auto"/>
                      <w:szCs w:val="21"/>
                    </w:rPr>
                  </w:pPr>
                  <w:r>
                    <w:rPr>
                      <w:color w:val="auto"/>
                      <w:szCs w:val="21"/>
                    </w:rPr>
                    <w:t>300</w:t>
                  </w:r>
                </w:p>
              </w:tc>
              <w:tc>
                <w:tcPr>
                  <w:tcW w:w="1063" w:type="dxa"/>
                  <w:tcBorders>
                    <w:tl2br w:val="nil"/>
                    <w:tr2bl w:val="nil"/>
                  </w:tcBorders>
                  <w:vAlign w:val="center"/>
                </w:tcPr>
                <w:p w14:paraId="6EA99FE6">
                  <w:pPr>
                    <w:adjustRightInd w:val="0"/>
                    <w:snapToGrid w:val="0"/>
                    <w:jc w:val="center"/>
                    <w:rPr>
                      <w:color w:val="auto"/>
                      <w:szCs w:val="21"/>
                    </w:rPr>
                  </w:pPr>
                  <w:r>
                    <w:rPr>
                      <w:color w:val="auto"/>
                      <w:szCs w:val="21"/>
                    </w:rPr>
                    <w:t>19</w:t>
                  </w:r>
                  <w:r>
                    <w:rPr>
                      <w:rFonts w:hint="eastAsia"/>
                      <w:color w:val="auto"/>
                      <w:szCs w:val="21"/>
                    </w:rPr>
                    <w:t>0</w:t>
                  </w:r>
                  <w:r>
                    <w:rPr>
                      <w:color w:val="auto"/>
                      <w:szCs w:val="21"/>
                    </w:rPr>
                    <w:t>-21</w:t>
                  </w:r>
                  <w:r>
                    <w:rPr>
                      <w:rFonts w:hint="eastAsia"/>
                      <w:color w:val="auto"/>
                      <w:szCs w:val="21"/>
                    </w:rPr>
                    <w:t>6</w:t>
                  </w:r>
                </w:p>
              </w:tc>
              <w:tc>
                <w:tcPr>
                  <w:tcW w:w="1145" w:type="dxa"/>
                  <w:tcBorders>
                    <w:tl2br w:val="nil"/>
                    <w:tr2bl w:val="nil"/>
                  </w:tcBorders>
                  <w:vAlign w:val="center"/>
                </w:tcPr>
                <w:p w14:paraId="46C5B3D5">
                  <w:pPr>
                    <w:adjustRightInd w:val="0"/>
                    <w:snapToGrid w:val="0"/>
                    <w:jc w:val="center"/>
                    <w:rPr>
                      <w:color w:val="auto"/>
                      <w:szCs w:val="21"/>
                    </w:rPr>
                  </w:pPr>
                  <w:r>
                    <w:rPr>
                      <w:rFonts w:hint="eastAsia"/>
                      <w:color w:val="auto"/>
                      <w:szCs w:val="21"/>
                    </w:rPr>
                    <w:t>72</w:t>
                  </w:r>
                </w:p>
              </w:tc>
              <w:tc>
                <w:tcPr>
                  <w:tcW w:w="1145" w:type="dxa"/>
                  <w:tcBorders>
                    <w:tl2br w:val="nil"/>
                    <w:tr2bl w:val="nil"/>
                  </w:tcBorders>
                  <w:vAlign w:val="center"/>
                </w:tcPr>
                <w:p w14:paraId="3AAF4795">
                  <w:pPr>
                    <w:adjustRightInd w:val="0"/>
                    <w:snapToGrid w:val="0"/>
                    <w:jc w:val="center"/>
                    <w:rPr>
                      <w:color w:val="auto"/>
                      <w:szCs w:val="21"/>
                    </w:rPr>
                  </w:pPr>
                  <w:r>
                    <w:rPr>
                      <w:color w:val="auto"/>
                      <w:szCs w:val="21"/>
                    </w:rPr>
                    <w:t>0</w:t>
                  </w:r>
                </w:p>
              </w:tc>
              <w:tc>
                <w:tcPr>
                  <w:tcW w:w="1147" w:type="dxa"/>
                  <w:tcBorders>
                    <w:tl2br w:val="nil"/>
                    <w:tr2bl w:val="nil"/>
                  </w:tcBorders>
                  <w:vAlign w:val="center"/>
                </w:tcPr>
                <w:p w14:paraId="3B6E44FB">
                  <w:pPr>
                    <w:adjustRightInd w:val="0"/>
                    <w:snapToGrid w:val="0"/>
                    <w:jc w:val="center"/>
                    <w:rPr>
                      <w:color w:val="auto"/>
                      <w:szCs w:val="21"/>
                    </w:rPr>
                  </w:pPr>
                  <w:r>
                    <w:rPr>
                      <w:color w:val="auto"/>
                      <w:szCs w:val="21"/>
                    </w:rPr>
                    <w:t>达标</w:t>
                  </w:r>
                </w:p>
              </w:tc>
            </w:tr>
          </w:tbl>
          <w:p w14:paraId="73F84F0A">
            <w:pPr>
              <w:adjustRightInd w:val="0"/>
              <w:snapToGrid w:val="0"/>
              <w:spacing w:line="360" w:lineRule="auto"/>
              <w:ind w:firstLine="480" w:firstLineChars="200"/>
              <w:rPr>
                <w:bCs/>
                <w:color w:val="auto"/>
                <w:sz w:val="24"/>
              </w:rPr>
            </w:pPr>
            <w:r>
              <w:rPr>
                <w:color w:val="auto"/>
                <w:sz w:val="24"/>
              </w:rPr>
              <w:t>由上表可知，本项目所在区域在监测时段内特征污染物总悬浮颗粒物监测结果无超标现象，达到了《环境空气质量标准》</w:t>
            </w:r>
            <w:r>
              <w:rPr>
                <w:rFonts w:hint="eastAsia"/>
                <w:color w:val="auto"/>
                <w:sz w:val="24"/>
              </w:rPr>
              <w:t>（GB3095-2026）表2中</w:t>
            </w:r>
            <w:r>
              <w:rPr>
                <w:rFonts w:hint="eastAsia"/>
                <w:color w:val="auto"/>
                <w:sz w:val="24"/>
                <w:lang w:val="en-US" w:eastAsia="zh-CN"/>
              </w:rPr>
              <w:t>日平均</w:t>
            </w:r>
            <w:r>
              <w:rPr>
                <w:rFonts w:hint="eastAsia"/>
                <w:color w:val="auto"/>
                <w:sz w:val="24"/>
              </w:rPr>
              <w:t>浓度限值</w:t>
            </w:r>
            <w:r>
              <w:rPr>
                <w:color w:val="auto"/>
                <w:sz w:val="24"/>
              </w:rPr>
              <w:t>二级标准要求</w:t>
            </w:r>
            <w:r>
              <w:rPr>
                <w:bCs/>
                <w:color w:val="auto"/>
                <w:sz w:val="24"/>
              </w:rPr>
              <w:t>。</w:t>
            </w:r>
          </w:p>
          <w:p w14:paraId="7EE5ABE3">
            <w:pPr>
              <w:adjustRightInd w:val="0"/>
              <w:snapToGrid w:val="0"/>
              <w:spacing w:line="360" w:lineRule="auto"/>
              <w:ind w:firstLine="482" w:firstLineChars="200"/>
              <w:rPr>
                <w:b/>
                <w:bCs/>
                <w:color w:val="auto"/>
                <w:sz w:val="24"/>
              </w:rPr>
            </w:pPr>
            <w:r>
              <w:rPr>
                <w:b/>
                <w:bCs/>
                <w:color w:val="auto"/>
                <w:sz w:val="24"/>
              </w:rPr>
              <w:t>2、地表水环境</w:t>
            </w:r>
          </w:p>
          <w:p w14:paraId="3FDFF591">
            <w:pPr>
              <w:adjustRightInd w:val="0"/>
              <w:snapToGrid w:val="0"/>
              <w:spacing w:line="360" w:lineRule="auto"/>
              <w:ind w:firstLine="480" w:firstLineChars="200"/>
              <w:rPr>
                <w:bCs/>
                <w:color w:val="auto"/>
                <w:kern w:val="0"/>
                <w:sz w:val="24"/>
              </w:rPr>
            </w:pPr>
            <w:r>
              <w:rPr>
                <w:bCs/>
                <w:color w:val="auto"/>
                <w:kern w:val="0"/>
                <w:sz w:val="24"/>
              </w:rPr>
              <w:t>本评价所在区域地表水为松花江。根据《2025年黑龙江省环境质量状况》，佳木斯市参与国家考核计算的断面共10个，Ⅰ~Ⅲ类水质比例为80.0%，无劣V类水质断面。与上年同期相比，Ⅰ~Ⅲ类水质比例保持不变，均无劣V类水质断面。水质状况为优，因此，本项目所在河段符合《地表水环境质量标准》（GB3838-2002）Ⅲ类标准。</w:t>
            </w:r>
          </w:p>
          <w:p w14:paraId="7ACDEF57">
            <w:pPr>
              <w:adjustRightInd w:val="0"/>
              <w:snapToGrid w:val="0"/>
              <w:spacing w:line="360" w:lineRule="auto"/>
              <w:ind w:firstLine="482" w:firstLineChars="200"/>
              <w:rPr>
                <w:b/>
                <w:color w:val="auto"/>
                <w:sz w:val="24"/>
              </w:rPr>
            </w:pPr>
            <w:r>
              <w:rPr>
                <w:b/>
                <w:color w:val="auto"/>
                <w:sz w:val="24"/>
              </w:rPr>
              <w:t>3、声环境</w:t>
            </w:r>
          </w:p>
          <w:p w14:paraId="3A6E2168">
            <w:pPr>
              <w:adjustRightInd w:val="0"/>
              <w:snapToGrid w:val="0"/>
              <w:spacing w:line="360" w:lineRule="auto"/>
              <w:ind w:firstLine="480" w:firstLineChars="200"/>
              <w:jc w:val="left"/>
              <w:rPr>
                <w:bCs/>
                <w:color w:val="auto"/>
                <w:kern w:val="0"/>
                <w:sz w:val="24"/>
              </w:rPr>
            </w:pPr>
            <w:r>
              <w:rPr>
                <w:bCs/>
                <w:color w:val="auto"/>
                <w:kern w:val="0"/>
                <w:sz w:val="24"/>
              </w:rPr>
              <w:t>本项目位于</w:t>
            </w:r>
            <w:r>
              <w:rPr>
                <w:rFonts w:hint="eastAsia"/>
                <w:bCs/>
                <w:color w:val="auto"/>
                <w:kern w:val="0"/>
                <w:sz w:val="24"/>
              </w:rPr>
              <w:t>黑龙江省佳木斯市桦川县</w:t>
            </w:r>
            <w:r>
              <w:rPr>
                <w:bCs/>
                <w:color w:val="auto"/>
                <w:kern w:val="0"/>
                <w:sz w:val="24"/>
              </w:rPr>
              <w:t>，项目所在区域声环境质量良好，满足《声环境质量标准》（GB3096-2008）</w:t>
            </w:r>
            <w:r>
              <w:rPr>
                <w:rFonts w:hint="eastAsia"/>
                <w:bCs/>
                <w:color w:val="auto"/>
                <w:kern w:val="0"/>
                <w:sz w:val="24"/>
              </w:rPr>
              <w:t>2</w:t>
            </w:r>
            <w:r>
              <w:rPr>
                <w:bCs/>
                <w:color w:val="auto"/>
                <w:kern w:val="0"/>
                <w:sz w:val="24"/>
              </w:rPr>
              <w:t>类标准。</w:t>
            </w:r>
          </w:p>
          <w:p w14:paraId="1F50BCC7">
            <w:pPr>
              <w:adjustRightInd w:val="0"/>
              <w:snapToGrid w:val="0"/>
              <w:spacing w:line="360" w:lineRule="auto"/>
              <w:ind w:firstLine="482" w:firstLineChars="200"/>
              <w:rPr>
                <w:b/>
                <w:color w:val="auto"/>
                <w:sz w:val="24"/>
              </w:rPr>
            </w:pPr>
            <w:r>
              <w:rPr>
                <w:b/>
                <w:color w:val="auto"/>
                <w:sz w:val="24"/>
              </w:rPr>
              <w:t>4、生态环境</w:t>
            </w:r>
          </w:p>
          <w:p w14:paraId="7DC22D83">
            <w:pPr>
              <w:adjustRightInd w:val="0"/>
              <w:snapToGrid w:val="0"/>
              <w:spacing w:line="360" w:lineRule="auto"/>
              <w:ind w:firstLine="480" w:firstLineChars="200"/>
              <w:rPr>
                <w:bCs/>
                <w:color w:val="auto"/>
                <w:kern w:val="0"/>
                <w:sz w:val="24"/>
              </w:rPr>
            </w:pPr>
            <w:r>
              <w:rPr>
                <w:color w:val="auto"/>
                <w:sz w:val="24"/>
              </w:rPr>
              <w:t>本项目</w:t>
            </w:r>
            <w:r>
              <w:rPr>
                <w:rFonts w:hint="eastAsia"/>
                <w:color w:val="auto"/>
                <w:sz w:val="24"/>
              </w:rPr>
              <w:t>占用设施农用地，环境现状无可剥离表土，不需要剥离表土情况及生态减缓措施，项目</w:t>
            </w:r>
            <w:r>
              <w:rPr>
                <w:color w:val="auto"/>
                <w:sz w:val="24"/>
              </w:rPr>
              <w:t>占地范围内无特殊生态敏感区及重要生态敏感区等生态环境保护目标，项目所在地无国家级、省、市级自然保护区、风景名胜区、文物保护对象</w:t>
            </w:r>
            <w:r>
              <w:rPr>
                <w:bCs/>
                <w:color w:val="auto"/>
                <w:kern w:val="0"/>
                <w:sz w:val="24"/>
              </w:rPr>
              <w:t>，故不需进行生态现状调查。</w:t>
            </w:r>
          </w:p>
          <w:p w14:paraId="1AED77E3">
            <w:pPr>
              <w:adjustRightInd w:val="0"/>
              <w:snapToGrid w:val="0"/>
              <w:spacing w:line="360" w:lineRule="auto"/>
              <w:ind w:firstLine="482" w:firstLineChars="200"/>
              <w:rPr>
                <w:b/>
                <w:color w:val="auto"/>
                <w:sz w:val="24"/>
              </w:rPr>
            </w:pPr>
            <w:r>
              <w:rPr>
                <w:b/>
                <w:color w:val="auto"/>
                <w:sz w:val="24"/>
              </w:rPr>
              <w:t>5、地下水、土壤环境</w:t>
            </w:r>
          </w:p>
          <w:p w14:paraId="52AF1AB4">
            <w:pPr>
              <w:adjustRightInd w:val="0"/>
              <w:snapToGrid w:val="0"/>
              <w:spacing w:line="360" w:lineRule="auto"/>
              <w:ind w:firstLine="480" w:firstLineChars="200"/>
              <w:jc w:val="left"/>
              <w:rPr>
                <w:bCs/>
                <w:color w:val="auto"/>
                <w:kern w:val="0"/>
                <w:sz w:val="24"/>
              </w:rPr>
            </w:pPr>
            <w:r>
              <w:rPr>
                <w:bCs/>
                <w:color w:val="auto"/>
                <w:kern w:val="0"/>
                <w:sz w:val="24"/>
              </w:rPr>
              <w:t>厂区内区域采取简单防渗，采用水泥硬化</w:t>
            </w:r>
            <w:r>
              <w:rPr>
                <w:color w:val="auto"/>
                <w:sz w:val="24"/>
              </w:rPr>
              <w:t>，</w:t>
            </w:r>
            <w:r>
              <w:rPr>
                <w:bCs/>
                <w:color w:val="auto"/>
                <w:kern w:val="0"/>
                <w:sz w:val="24"/>
              </w:rPr>
              <w:t>不存在土壤、地下水环境污染途径，因此，不进行土壤、地下水环境质量现状监测。</w:t>
            </w:r>
          </w:p>
          <w:p w14:paraId="69D058BA">
            <w:pPr>
              <w:adjustRightInd w:val="0"/>
              <w:snapToGrid w:val="0"/>
              <w:spacing w:line="360" w:lineRule="auto"/>
              <w:ind w:firstLine="420" w:firstLineChars="200"/>
              <w:jc w:val="left"/>
              <w:rPr>
                <w:color w:val="auto"/>
                <w:kern w:val="0"/>
                <w:szCs w:val="21"/>
              </w:rPr>
            </w:pPr>
          </w:p>
        </w:tc>
      </w:tr>
      <w:tr w14:paraId="4B5B87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7" w:hRule="atLeast"/>
          <w:jc w:val="center"/>
        </w:trPr>
        <w:tc>
          <w:tcPr>
            <w:tcW w:w="824" w:type="dxa"/>
            <w:tcBorders>
              <w:tl2br w:val="nil"/>
              <w:tr2bl w:val="nil"/>
            </w:tcBorders>
            <w:vAlign w:val="center"/>
          </w:tcPr>
          <w:p w14:paraId="333D3AB6">
            <w:pPr>
              <w:adjustRightInd w:val="0"/>
              <w:snapToGrid w:val="0"/>
              <w:jc w:val="center"/>
              <w:rPr>
                <w:color w:val="auto"/>
                <w:kern w:val="0"/>
                <w:szCs w:val="21"/>
              </w:rPr>
            </w:pPr>
            <w:r>
              <w:rPr>
                <w:color w:val="auto"/>
                <w:kern w:val="0"/>
                <w:szCs w:val="21"/>
              </w:rPr>
              <w:t>环境</w:t>
            </w:r>
          </w:p>
          <w:p w14:paraId="0FFE0EDC">
            <w:pPr>
              <w:adjustRightInd w:val="0"/>
              <w:snapToGrid w:val="0"/>
              <w:jc w:val="center"/>
              <w:rPr>
                <w:color w:val="auto"/>
                <w:kern w:val="0"/>
                <w:szCs w:val="21"/>
              </w:rPr>
            </w:pPr>
            <w:r>
              <w:rPr>
                <w:color w:val="auto"/>
                <w:kern w:val="0"/>
                <w:szCs w:val="21"/>
              </w:rPr>
              <w:t>保护</w:t>
            </w:r>
          </w:p>
          <w:p w14:paraId="7AD7FB04">
            <w:pPr>
              <w:adjustRightInd w:val="0"/>
              <w:snapToGrid w:val="0"/>
              <w:jc w:val="center"/>
              <w:rPr>
                <w:color w:val="auto"/>
                <w:kern w:val="0"/>
                <w:szCs w:val="21"/>
              </w:rPr>
            </w:pPr>
            <w:r>
              <w:rPr>
                <w:color w:val="auto"/>
                <w:kern w:val="0"/>
                <w:szCs w:val="21"/>
              </w:rPr>
              <w:t>目标</w:t>
            </w:r>
          </w:p>
        </w:tc>
        <w:tc>
          <w:tcPr>
            <w:tcW w:w="8233" w:type="dxa"/>
            <w:tcBorders>
              <w:tl2br w:val="nil"/>
              <w:tr2bl w:val="nil"/>
            </w:tcBorders>
            <w:vAlign w:val="center"/>
          </w:tcPr>
          <w:p w14:paraId="5E999B96">
            <w:pPr>
              <w:adjustRightInd w:val="0"/>
              <w:snapToGrid w:val="0"/>
              <w:spacing w:line="360" w:lineRule="auto"/>
              <w:ind w:firstLine="482" w:firstLineChars="200"/>
              <w:rPr>
                <w:b/>
                <w:color w:val="auto"/>
                <w:sz w:val="24"/>
              </w:rPr>
            </w:pPr>
            <w:r>
              <w:rPr>
                <w:b/>
                <w:color w:val="auto"/>
                <w:sz w:val="24"/>
              </w:rPr>
              <w:t>1、大气环境保护目标</w:t>
            </w:r>
          </w:p>
          <w:p w14:paraId="0EADDEEE">
            <w:pPr>
              <w:pStyle w:val="57"/>
              <w:spacing w:line="360" w:lineRule="auto"/>
              <w:ind w:firstLine="480"/>
              <w:rPr>
                <w:color w:val="auto"/>
              </w:rPr>
            </w:pPr>
            <w:r>
              <w:rPr>
                <w:color w:val="auto"/>
                <w:lang w:bidi="ar"/>
              </w:rPr>
              <w:t>本项目大气环境保护目标见下表</w:t>
            </w:r>
            <w:r>
              <w:rPr>
                <w:color w:val="auto"/>
              </w:rPr>
              <w:t>。</w:t>
            </w:r>
          </w:p>
          <w:p w14:paraId="6559FBCB">
            <w:pPr>
              <w:spacing w:line="360" w:lineRule="auto"/>
              <w:jc w:val="center"/>
              <w:textAlignment w:val="center"/>
              <w:rPr>
                <w:b/>
                <w:bCs/>
                <w:color w:val="auto"/>
              </w:rPr>
            </w:pPr>
            <w:r>
              <w:rPr>
                <w:b/>
                <w:bCs/>
                <w:color w:val="auto"/>
              </w:rPr>
              <w:t>表3-</w:t>
            </w:r>
            <w:r>
              <w:rPr>
                <w:rFonts w:hint="eastAsia"/>
                <w:b/>
                <w:bCs/>
                <w:color w:val="auto"/>
                <w:lang w:val="en-US" w:eastAsia="zh-CN"/>
              </w:rPr>
              <w:t>4</w:t>
            </w:r>
            <w:r>
              <w:rPr>
                <w:b/>
                <w:bCs/>
                <w:color w:val="auto"/>
              </w:rPr>
              <w:t>大气环境保护目标</w:t>
            </w:r>
          </w:p>
          <w:tbl>
            <w:tblPr>
              <w:tblStyle w:val="35"/>
              <w:tblW w:w="8114"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660"/>
              <w:gridCol w:w="675"/>
              <w:gridCol w:w="664"/>
              <w:gridCol w:w="955"/>
              <w:gridCol w:w="589"/>
              <w:gridCol w:w="1244"/>
              <w:gridCol w:w="1100"/>
              <w:gridCol w:w="1600"/>
              <w:gridCol w:w="627"/>
            </w:tblGrid>
            <w:tr w14:paraId="6C6C42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720" w:hRule="exact"/>
                <w:jc w:val="center"/>
              </w:trPr>
              <w:tc>
                <w:tcPr>
                  <w:tcW w:w="660" w:type="dxa"/>
                  <w:vMerge w:val="restart"/>
                  <w:tcBorders>
                    <w:tl2br w:val="nil"/>
                    <w:tr2bl w:val="nil"/>
                  </w:tcBorders>
                  <w:vAlign w:val="center"/>
                </w:tcPr>
                <w:p w14:paraId="05C46BE4">
                  <w:pPr>
                    <w:jc w:val="center"/>
                    <w:rPr>
                      <w:color w:val="auto"/>
                    </w:rPr>
                  </w:pPr>
                  <w:r>
                    <w:rPr>
                      <w:color w:val="auto"/>
                    </w:rPr>
                    <w:t>环境保护对象</w:t>
                  </w:r>
                </w:p>
              </w:tc>
              <w:tc>
                <w:tcPr>
                  <w:tcW w:w="1339" w:type="dxa"/>
                  <w:gridSpan w:val="2"/>
                  <w:tcBorders>
                    <w:tl2br w:val="nil"/>
                    <w:tr2bl w:val="nil"/>
                  </w:tcBorders>
                  <w:vAlign w:val="center"/>
                </w:tcPr>
                <w:p w14:paraId="4EEA1D68">
                  <w:pPr>
                    <w:jc w:val="center"/>
                    <w:rPr>
                      <w:color w:val="auto"/>
                    </w:rPr>
                  </w:pPr>
                  <w:r>
                    <w:rPr>
                      <w:color w:val="auto"/>
                    </w:rPr>
                    <w:t>坐标/°</w:t>
                  </w:r>
                </w:p>
              </w:tc>
              <w:tc>
                <w:tcPr>
                  <w:tcW w:w="955" w:type="dxa"/>
                  <w:vMerge w:val="restart"/>
                  <w:tcBorders>
                    <w:tl2br w:val="nil"/>
                    <w:tr2bl w:val="nil"/>
                  </w:tcBorders>
                  <w:vAlign w:val="center"/>
                </w:tcPr>
                <w:p w14:paraId="0456748A">
                  <w:pPr>
                    <w:jc w:val="center"/>
                    <w:rPr>
                      <w:color w:val="auto"/>
                    </w:rPr>
                  </w:pPr>
                  <w:r>
                    <w:rPr>
                      <w:color w:val="auto"/>
                    </w:rPr>
                    <w:t>保护</w:t>
                  </w:r>
                </w:p>
                <w:p w14:paraId="4417C72D">
                  <w:pPr>
                    <w:jc w:val="center"/>
                    <w:rPr>
                      <w:color w:val="auto"/>
                    </w:rPr>
                  </w:pPr>
                  <w:r>
                    <w:rPr>
                      <w:color w:val="auto"/>
                    </w:rPr>
                    <w:t>对象</w:t>
                  </w:r>
                </w:p>
              </w:tc>
              <w:tc>
                <w:tcPr>
                  <w:tcW w:w="589" w:type="dxa"/>
                  <w:vMerge w:val="restart"/>
                  <w:tcBorders>
                    <w:tl2br w:val="nil"/>
                    <w:tr2bl w:val="nil"/>
                  </w:tcBorders>
                  <w:vAlign w:val="center"/>
                </w:tcPr>
                <w:p w14:paraId="75A75451">
                  <w:pPr>
                    <w:jc w:val="center"/>
                    <w:rPr>
                      <w:color w:val="auto"/>
                    </w:rPr>
                  </w:pPr>
                  <w:r>
                    <w:rPr>
                      <w:color w:val="auto"/>
                    </w:rPr>
                    <w:t>保护内容</w:t>
                  </w:r>
                </w:p>
              </w:tc>
              <w:tc>
                <w:tcPr>
                  <w:tcW w:w="1244" w:type="dxa"/>
                  <w:vMerge w:val="restart"/>
                  <w:tcBorders>
                    <w:tl2br w:val="nil"/>
                    <w:tr2bl w:val="nil"/>
                  </w:tcBorders>
                  <w:vAlign w:val="center"/>
                </w:tcPr>
                <w:p w14:paraId="0CD8D340">
                  <w:pPr>
                    <w:jc w:val="center"/>
                    <w:rPr>
                      <w:color w:val="auto"/>
                    </w:rPr>
                  </w:pPr>
                  <w:r>
                    <w:rPr>
                      <w:color w:val="auto"/>
                    </w:rPr>
                    <w:t>保护功能区</w:t>
                  </w:r>
                </w:p>
              </w:tc>
              <w:tc>
                <w:tcPr>
                  <w:tcW w:w="2700" w:type="dxa"/>
                  <w:gridSpan w:val="2"/>
                  <w:tcBorders>
                    <w:tl2br w:val="nil"/>
                    <w:tr2bl w:val="nil"/>
                  </w:tcBorders>
                  <w:vAlign w:val="center"/>
                </w:tcPr>
                <w:p w14:paraId="0E5F5665">
                  <w:pPr>
                    <w:pStyle w:val="50"/>
                    <w:rPr>
                      <w:rFonts w:ascii="Times New Roman" w:hAnsi="Times New Roman" w:cs="Times New Roman"/>
                      <w:color w:val="auto"/>
                    </w:rPr>
                  </w:pPr>
                  <w:r>
                    <w:rPr>
                      <w:rFonts w:ascii="Times New Roman" w:hAnsi="Times New Roman" w:cs="Times New Roman"/>
                      <w:color w:val="auto"/>
                      <w:sz w:val="21"/>
                      <w:szCs w:val="21"/>
                    </w:rPr>
                    <w:t>（</w:t>
                  </w:r>
                  <w:r>
                    <w:rPr>
                      <w:rFonts w:hint="eastAsia" w:ascii="Times New Roman" w:hAnsi="Times New Roman" w:cs="Times New Roman"/>
                      <w:color w:val="auto"/>
                      <w:sz w:val="21"/>
                      <w:szCs w:val="21"/>
                    </w:rPr>
                    <w:t>桦川县恒恒升水稻种植专业合作社</w:t>
                  </w:r>
                  <w:r>
                    <w:rPr>
                      <w:rFonts w:ascii="Times New Roman" w:hAnsi="Times New Roman" w:cs="Times New Roman"/>
                      <w:color w:val="auto"/>
                      <w:sz w:val="21"/>
                      <w:szCs w:val="21"/>
                    </w:rPr>
                    <w:t>厂界）</w:t>
                  </w:r>
                </w:p>
              </w:tc>
              <w:tc>
                <w:tcPr>
                  <w:tcW w:w="627" w:type="dxa"/>
                  <w:vMerge w:val="restart"/>
                  <w:tcBorders>
                    <w:tl2br w:val="nil"/>
                    <w:tr2bl w:val="nil"/>
                  </w:tcBorders>
                  <w:vAlign w:val="center"/>
                </w:tcPr>
                <w:p w14:paraId="23B85037">
                  <w:pPr>
                    <w:jc w:val="center"/>
                    <w:rPr>
                      <w:color w:val="auto"/>
                    </w:rPr>
                  </w:pPr>
                  <w:r>
                    <w:rPr>
                      <w:color w:val="auto"/>
                    </w:rPr>
                    <w:t>人数</w:t>
                  </w:r>
                </w:p>
              </w:tc>
            </w:tr>
            <w:tr w14:paraId="20742E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558" w:hRule="exact"/>
                <w:jc w:val="center"/>
              </w:trPr>
              <w:tc>
                <w:tcPr>
                  <w:tcW w:w="660" w:type="dxa"/>
                  <w:vMerge w:val="continue"/>
                  <w:tcBorders>
                    <w:tl2br w:val="nil"/>
                    <w:tr2bl w:val="nil"/>
                  </w:tcBorders>
                  <w:vAlign w:val="center"/>
                </w:tcPr>
                <w:p w14:paraId="35F13BF5">
                  <w:pPr>
                    <w:jc w:val="center"/>
                    <w:rPr>
                      <w:color w:val="auto"/>
                    </w:rPr>
                  </w:pPr>
                </w:p>
              </w:tc>
              <w:tc>
                <w:tcPr>
                  <w:tcW w:w="675" w:type="dxa"/>
                  <w:tcBorders>
                    <w:tl2br w:val="nil"/>
                    <w:tr2bl w:val="nil"/>
                  </w:tcBorders>
                  <w:vAlign w:val="center"/>
                </w:tcPr>
                <w:p w14:paraId="39233C05">
                  <w:pPr>
                    <w:jc w:val="center"/>
                    <w:rPr>
                      <w:color w:val="auto"/>
                    </w:rPr>
                  </w:pPr>
                  <w:r>
                    <w:rPr>
                      <w:color w:val="auto"/>
                    </w:rPr>
                    <w:t>东经</w:t>
                  </w:r>
                </w:p>
              </w:tc>
              <w:tc>
                <w:tcPr>
                  <w:tcW w:w="664" w:type="dxa"/>
                  <w:tcBorders>
                    <w:tl2br w:val="nil"/>
                    <w:tr2bl w:val="nil"/>
                  </w:tcBorders>
                  <w:vAlign w:val="center"/>
                </w:tcPr>
                <w:p w14:paraId="537ED6E1">
                  <w:pPr>
                    <w:jc w:val="center"/>
                    <w:rPr>
                      <w:color w:val="auto"/>
                    </w:rPr>
                  </w:pPr>
                  <w:r>
                    <w:rPr>
                      <w:color w:val="auto"/>
                    </w:rPr>
                    <w:t xml:space="preserve">北纬 </w:t>
                  </w:r>
                </w:p>
              </w:tc>
              <w:tc>
                <w:tcPr>
                  <w:tcW w:w="955" w:type="dxa"/>
                  <w:vMerge w:val="continue"/>
                  <w:tcBorders>
                    <w:tl2br w:val="nil"/>
                    <w:tr2bl w:val="nil"/>
                  </w:tcBorders>
                  <w:vAlign w:val="center"/>
                </w:tcPr>
                <w:p w14:paraId="685FB4BC">
                  <w:pPr>
                    <w:jc w:val="center"/>
                    <w:rPr>
                      <w:color w:val="auto"/>
                    </w:rPr>
                  </w:pPr>
                </w:p>
              </w:tc>
              <w:tc>
                <w:tcPr>
                  <w:tcW w:w="589" w:type="dxa"/>
                  <w:vMerge w:val="continue"/>
                  <w:tcBorders>
                    <w:tl2br w:val="nil"/>
                    <w:tr2bl w:val="nil"/>
                  </w:tcBorders>
                  <w:vAlign w:val="center"/>
                </w:tcPr>
                <w:p w14:paraId="1250B0AE">
                  <w:pPr>
                    <w:jc w:val="center"/>
                    <w:rPr>
                      <w:color w:val="auto"/>
                    </w:rPr>
                  </w:pPr>
                </w:p>
              </w:tc>
              <w:tc>
                <w:tcPr>
                  <w:tcW w:w="1244" w:type="dxa"/>
                  <w:vMerge w:val="continue"/>
                  <w:tcBorders>
                    <w:tl2br w:val="nil"/>
                    <w:tr2bl w:val="nil"/>
                  </w:tcBorders>
                  <w:vAlign w:val="center"/>
                </w:tcPr>
                <w:p w14:paraId="51AEFA2C">
                  <w:pPr>
                    <w:jc w:val="center"/>
                    <w:rPr>
                      <w:color w:val="auto"/>
                    </w:rPr>
                  </w:pPr>
                </w:p>
              </w:tc>
              <w:tc>
                <w:tcPr>
                  <w:tcW w:w="1100" w:type="dxa"/>
                  <w:tcBorders>
                    <w:tl2br w:val="nil"/>
                    <w:tr2bl w:val="nil"/>
                  </w:tcBorders>
                  <w:vAlign w:val="center"/>
                </w:tcPr>
                <w:p w14:paraId="1FEE30FF">
                  <w:pPr>
                    <w:jc w:val="center"/>
                    <w:rPr>
                      <w:color w:val="auto"/>
                    </w:rPr>
                  </w:pPr>
                  <w:r>
                    <w:rPr>
                      <w:color w:val="auto"/>
                    </w:rPr>
                    <w:t>相对厂址方位</w:t>
                  </w:r>
                </w:p>
              </w:tc>
              <w:tc>
                <w:tcPr>
                  <w:tcW w:w="1600" w:type="dxa"/>
                  <w:tcBorders>
                    <w:tl2br w:val="nil"/>
                    <w:tr2bl w:val="nil"/>
                  </w:tcBorders>
                  <w:vAlign w:val="center"/>
                </w:tcPr>
                <w:p w14:paraId="405C1F9B">
                  <w:pPr>
                    <w:pStyle w:val="50"/>
                    <w:rPr>
                      <w:rFonts w:ascii="Times New Roman" w:hAnsi="Times New Roman" w:cs="Times New Roman"/>
                      <w:color w:val="auto"/>
                    </w:rPr>
                  </w:pPr>
                  <w:r>
                    <w:rPr>
                      <w:rFonts w:ascii="Times New Roman" w:hAnsi="Times New Roman" w:cs="Times New Roman"/>
                      <w:color w:val="auto"/>
                      <w:sz w:val="21"/>
                      <w:szCs w:val="21"/>
                    </w:rPr>
                    <w:t>最近保护目标相对厂界距离</w:t>
                  </w:r>
                </w:p>
              </w:tc>
              <w:tc>
                <w:tcPr>
                  <w:tcW w:w="627" w:type="dxa"/>
                  <w:vMerge w:val="continue"/>
                  <w:tcBorders>
                    <w:tl2br w:val="nil"/>
                    <w:tr2bl w:val="nil"/>
                  </w:tcBorders>
                  <w:vAlign w:val="center"/>
                </w:tcPr>
                <w:p w14:paraId="7C6AC358">
                  <w:pPr>
                    <w:jc w:val="center"/>
                    <w:rPr>
                      <w:color w:val="auto"/>
                    </w:rPr>
                  </w:pPr>
                </w:p>
              </w:tc>
            </w:tr>
            <w:tr w14:paraId="2FA156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782" w:hRule="atLeast"/>
                <w:jc w:val="center"/>
              </w:trPr>
              <w:tc>
                <w:tcPr>
                  <w:tcW w:w="660" w:type="dxa"/>
                  <w:tcBorders>
                    <w:tl2br w:val="nil"/>
                    <w:tr2bl w:val="nil"/>
                  </w:tcBorders>
                  <w:vAlign w:val="center"/>
                </w:tcPr>
                <w:p w14:paraId="37778ACB">
                  <w:pPr>
                    <w:jc w:val="center"/>
                    <w:rPr>
                      <w:color w:val="auto"/>
                    </w:rPr>
                  </w:pPr>
                  <w:r>
                    <w:rPr>
                      <w:rFonts w:hint="eastAsia"/>
                      <w:color w:val="auto"/>
                    </w:rPr>
                    <w:t>兴国村</w:t>
                  </w:r>
                  <w:r>
                    <w:rPr>
                      <w:color w:val="auto"/>
                    </w:rPr>
                    <w:t>居民</w:t>
                  </w:r>
                </w:p>
              </w:tc>
              <w:tc>
                <w:tcPr>
                  <w:tcW w:w="675" w:type="dxa"/>
                  <w:tcBorders>
                    <w:tl2br w:val="nil"/>
                    <w:tr2bl w:val="nil"/>
                  </w:tcBorders>
                  <w:vAlign w:val="center"/>
                </w:tcPr>
                <w:p w14:paraId="6ADE19AC">
                  <w:pPr>
                    <w:jc w:val="center"/>
                    <w:rPr>
                      <w:color w:val="auto"/>
                    </w:rPr>
                  </w:pPr>
                  <w:r>
                    <w:rPr>
                      <w:color w:val="auto"/>
                    </w:rPr>
                    <w:t>131.326228</w:t>
                  </w:r>
                </w:p>
              </w:tc>
              <w:tc>
                <w:tcPr>
                  <w:tcW w:w="664" w:type="dxa"/>
                  <w:tcBorders>
                    <w:tl2br w:val="nil"/>
                    <w:tr2bl w:val="nil"/>
                  </w:tcBorders>
                  <w:vAlign w:val="center"/>
                </w:tcPr>
                <w:p w14:paraId="6997ADDD">
                  <w:pPr>
                    <w:jc w:val="center"/>
                    <w:rPr>
                      <w:color w:val="auto"/>
                    </w:rPr>
                  </w:pPr>
                  <w:r>
                    <w:rPr>
                      <w:color w:val="auto"/>
                    </w:rPr>
                    <w:t>47.089300</w:t>
                  </w:r>
                </w:p>
              </w:tc>
              <w:tc>
                <w:tcPr>
                  <w:tcW w:w="955" w:type="dxa"/>
                  <w:tcBorders>
                    <w:tl2br w:val="nil"/>
                    <w:tr2bl w:val="nil"/>
                  </w:tcBorders>
                  <w:vAlign w:val="center"/>
                </w:tcPr>
                <w:p w14:paraId="77A6708A">
                  <w:pPr>
                    <w:jc w:val="center"/>
                    <w:rPr>
                      <w:color w:val="auto"/>
                    </w:rPr>
                  </w:pPr>
                  <w:r>
                    <w:rPr>
                      <w:rFonts w:hint="eastAsia"/>
                      <w:color w:val="auto"/>
                    </w:rPr>
                    <w:t>兴国村</w:t>
                  </w:r>
                  <w:r>
                    <w:rPr>
                      <w:color w:val="auto"/>
                    </w:rPr>
                    <w:t>居民</w:t>
                  </w:r>
                </w:p>
              </w:tc>
              <w:tc>
                <w:tcPr>
                  <w:tcW w:w="589" w:type="dxa"/>
                  <w:tcBorders>
                    <w:tl2br w:val="nil"/>
                    <w:tr2bl w:val="nil"/>
                  </w:tcBorders>
                  <w:vAlign w:val="center"/>
                </w:tcPr>
                <w:p w14:paraId="6CE46985">
                  <w:pPr>
                    <w:jc w:val="center"/>
                    <w:rPr>
                      <w:color w:val="auto"/>
                    </w:rPr>
                  </w:pPr>
                  <w:r>
                    <w:rPr>
                      <w:color w:val="auto"/>
                    </w:rPr>
                    <w:t>居民</w:t>
                  </w:r>
                </w:p>
              </w:tc>
              <w:tc>
                <w:tcPr>
                  <w:tcW w:w="1244" w:type="dxa"/>
                  <w:tcBorders>
                    <w:tl2br w:val="nil"/>
                    <w:tr2bl w:val="nil"/>
                  </w:tcBorders>
                  <w:vAlign w:val="center"/>
                </w:tcPr>
                <w:p w14:paraId="206872D0">
                  <w:pPr>
                    <w:rPr>
                      <w:color w:val="auto"/>
                    </w:rPr>
                  </w:pPr>
                  <w:r>
                    <w:rPr>
                      <w:rFonts w:hint="eastAsia"/>
                      <w:color w:val="auto"/>
                    </w:rPr>
                    <w:t>《环境空气质量标准》（GB3095-2026）二级浓度限值</w:t>
                  </w:r>
                </w:p>
              </w:tc>
              <w:tc>
                <w:tcPr>
                  <w:tcW w:w="1100" w:type="dxa"/>
                  <w:tcBorders>
                    <w:tl2br w:val="nil"/>
                    <w:tr2bl w:val="nil"/>
                  </w:tcBorders>
                  <w:vAlign w:val="center"/>
                </w:tcPr>
                <w:p w14:paraId="755D31EA">
                  <w:pPr>
                    <w:jc w:val="center"/>
                    <w:rPr>
                      <w:color w:val="auto"/>
                    </w:rPr>
                  </w:pPr>
                  <w:r>
                    <w:rPr>
                      <w:rFonts w:hint="eastAsia"/>
                      <w:color w:val="auto"/>
                    </w:rPr>
                    <w:t>E</w:t>
                  </w:r>
                </w:p>
              </w:tc>
              <w:tc>
                <w:tcPr>
                  <w:tcW w:w="1600" w:type="dxa"/>
                  <w:tcBorders>
                    <w:tl2br w:val="nil"/>
                    <w:tr2bl w:val="nil"/>
                  </w:tcBorders>
                  <w:vAlign w:val="center"/>
                </w:tcPr>
                <w:p w14:paraId="6C20E2FD">
                  <w:pPr>
                    <w:jc w:val="center"/>
                    <w:rPr>
                      <w:color w:val="auto"/>
                    </w:rPr>
                  </w:pPr>
                  <w:r>
                    <w:rPr>
                      <w:rFonts w:hint="eastAsia"/>
                      <w:color w:val="auto"/>
                    </w:rPr>
                    <w:t>130</w:t>
                  </w:r>
                  <w:r>
                    <w:rPr>
                      <w:color w:val="auto"/>
                    </w:rPr>
                    <w:t>m</w:t>
                  </w:r>
                </w:p>
              </w:tc>
              <w:tc>
                <w:tcPr>
                  <w:tcW w:w="627" w:type="dxa"/>
                  <w:tcBorders>
                    <w:tl2br w:val="nil"/>
                    <w:tr2bl w:val="nil"/>
                  </w:tcBorders>
                  <w:vAlign w:val="center"/>
                </w:tcPr>
                <w:p w14:paraId="25076B0F">
                  <w:pPr>
                    <w:jc w:val="center"/>
                    <w:rPr>
                      <w:color w:val="auto"/>
                    </w:rPr>
                  </w:pPr>
                  <w:r>
                    <w:rPr>
                      <w:rFonts w:hint="eastAsia"/>
                      <w:color w:val="auto"/>
                    </w:rPr>
                    <w:t>300</w:t>
                  </w:r>
                </w:p>
              </w:tc>
            </w:tr>
          </w:tbl>
          <w:p w14:paraId="25B890B7">
            <w:pPr>
              <w:widowControl/>
              <w:spacing w:line="360" w:lineRule="auto"/>
              <w:ind w:firstLine="482" w:firstLineChars="200"/>
              <w:jc w:val="left"/>
              <w:rPr>
                <w:b/>
                <w:color w:val="auto"/>
                <w:sz w:val="24"/>
              </w:rPr>
            </w:pPr>
            <w:r>
              <w:rPr>
                <w:b/>
                <w:color w:val="auto"/>
                <w:sz w:val="24"/>
              </w:rPr>
              <w:t>2、声环境保护目标</w:t>
            </w:r>
          </w:p>
          <w:p w14:paraId="46F6BF50">
            <w:pPr>
              <w:widowControl/>
              <w:spacing w:line="360" w:lineRule="auto"/>
              <w:ind w:firstLine="480" w:firstLineChars="200"/>
              <w:jc w:val="left"/>
              <w:rPr>
                <w:color w:val="auto"/>
                <w:kern w:val="0"/>
                <w:sz w:val="24"/>
              </w:rPr>
            </w:pPr>
            <w:r>
              <w:rPr>
                <w:rFonts w:hint="eastAsia"/>
                <w:color w:val="auto"/>
                <w:sz w:val="24"/>
                <w:szCs w:val="24"/>
              </w:rPr>
              <w:t>本项目位于黑龙江省佳木斯市桦川县东河乡兴华屯</w:t>
            </w:r>
            <w:r>
              <w:rPr>
                <w:color w:val="auto"/>
                <w:kern w:val="0"/>
                <w:sz w:val="24"/>
                <w:szCs w:val="24"/>
              </w:rPr>
              <w:t>，</w:t>
            </w:r>
            <w:r>
              <w:rPr>
                <w:rFonts w:hint="eastAsia"/>
                <w:color w:val="auto"/>
                <w:kern w:val="0"/>
                <w:sz w:val="24"/>
                <w:szCs w:val="24"/>
              </w:rPr>
              <w:t>厂界50m范围内无敏感目标。</w:t>
            </w:r>
          </w:p>
          <w:p w14:paraId="69620329">
            <w:pPr>
              <w:widowControl/>
              <w:spacing w:line="360" w:lineRule="auto"/>
              <w:ind w:firstLine="482" w:firstLineChars="200"/>
              <w:jc w:val="left"/>
              <w:rPr>
                <w:b/>
                <w:color w:val="auto"/>
                <w:sz w:val="24"/>
              </w:rPr>
            </w:pPr>
            <w:r>
              <w:rPr>
                <w:b/>
                <w:color w:val="auto"/>
                <w:sz w:val="24"/>
              </w:rPr>
              <w:t>3、地下水环境保护目标</w:t>
            </w:r>
          </w:p>
          <w:p w14:paraId="03E141AF">
            <w:pPr>
              <w:widowControl/>
              <w:spacing w:line="360" w:lineRule="auto"/>
              <w:ind w:firstLine="480" w:firstLineChars="200"/>
              <w:rPr>
                <w:color w:val="auto"/>
                <w:kern w:val="0"/>
                <w:sz w:val="24"/>
              </w:rPr>
            </w:pPr>
            <w:r>
              <w:rPr>
                <w:color w:val="auto"/>
                <w:kern w:val="0"/>
                <w:sz w:val="24"/>
              </w:rPr>
              <w:t>本项目位于</w:t>
            </w:r>
            <w:r>
              <w:rPr>
                <w:rFonts w:hint="eastAsia"/>
                <w:color w:val="auto"/>
                <w:sz w:val="24"/>
              </w:rPr>
              <w:t>黑龙江省佳木斯市桦川县东河乡兴华屯</w:t>
            </w:r>
            <w:r>
              <w:rPr>
                <w:color w:val="auto"/>
                <w:kern w:val="0"/>
                <w:sz w:val="24"/>
              </w:rPr>
              <w:t>，</w:t>
            </w:r>
            <w:r>
              <w:rPr>
                <w:rFonts w:hint="eastAsia"/>
                <w:color w:val="auto"/>
                <w:kern w:val="0"/>
                <w:sz w:val="24"/>
                <w:lang w:val="en-US" w:eastAsia="zh-CN"/>
              </w:rPr>
              <w:t>距本</w:t>
            </w:r>
            <w:r>
              <w:rPr>
                <w:color w:val="auto"/>
                <w:kern w:val="0"/>
                <w:sz w:val="24"/>
              </w:rPr>
              <w:t>项目厂界</w:t>
            </w:r>
            <w:r>
              <w:rPr>
                <w:rFonts w:hint="eastAsia"/>
                <w:color w:val="auto"/>
                <w:kern w:val="0"/>
                <w:sz w:val="24"/>
              </w:rPr>
              <w:t>267m</w:t>
            </w:r>
            <w:r>
              <w:rPr>
                <w:color w:val="auto"/>
                <w:kern w:val="0"/>
                <w:sz w:val="24"/>
              </w:rPr>
              <w:t>范围</w:t>
            </w:r>
            <w:r>
              <w:rPr>
                <w:rFonts w:hint="eastAsia"/>
                <w:color w:val="auto"/>
                <w:kern w:val="0"/>
                <w:sz w:val="24"/>
              </w:rPr>
              <w:t>有兴国村</w:t>
            </w:r>
            <w:r>
              <w:rPr>
                <w:color w:val="auto"/>
                <w:kern w:val="0"/>
                <w:sz w:val="24"/>
              </w:rPr>
              <w:t>饮用水水源井</w:t>
            </w:r>
            <w:r>
              <w:rPr>
                <w:rFonts w:hint="eastAsia"/>
                <w:color w:val="auto"/>
                <w:kern w:val="0"/>
                <w:sz w:val="24"/>
              </w:rPr>
              <w:t>，属于农村分散式地下水饮用水水井，水源井保护区范围为周边半径30m范围内，</w:t>
            </w:r>
            <w:r>
              <w:rPr>
                <w:color w:val="auto"/>
                <w:kern w:val="0"/>
                <w:sz w:val="24"/>
              </w:rPr>
              <w:t>本项目无生产废水产生，无地下水污染途径，不会对地下水造成伤害。</w:t>
            </w:r>
          </w:p>
          <w:p w14:paraId="4C2E38E7">
            <w:pPr>
              <w:spacing w:line="360" w:lineRule="auto"/>
              <w:jc w:val="center"/>
              <w:textAlignment w:val="center"/>
              <w:rPr>
                <w:b/>
                <w:bCs/>
                <w:color w:val="auto"/>
              </w:rPr>
            </w:pPr>
            <w:r>
              <w:rPr>
                <w:b/>
                <w:bCs/>
                <w:color w:val="auto"/>
              </w:rPr>
              <w:t>表3-</w:t>
            </w:r>
            <w:r>
              <w:rPr>
                <w:rFonts w:hint="eastAsia"/>
                <w:b/>
                <w:bCs/>
                <w:color w:val="auto"/>
                <w:lang w:val="en-US" w:eastAsia="zh-CN"/>
              </w:rPr>
              <w:t>5</w:t>
            </w:r>
            <w:r>
              <w:rPr>
                <w:rFonts w:hint="eastAsia"/>
                <w:b/>
                <w:bCs/>
                <w:color w:val="auto"/>
              </w:rPr>
              <w:t>地下水</w:t>
            </w:r>
            <w:r>
              <w:rPr>
                <w:b/>
                <w:bCs/>
                <w:color w:val="auto"/>
              </w:rPr>
              <w:t>环境保护目标</w:t>
            </w:r>
          </w:p>
          <w:tbl>
            <w:tblPr>
              <w:tblStyle w:val="35"/>
              <w:tblW w:w="791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698"/>
              <w:gridCol w:w="812"/>
              <w:gridCol w:w="704"/>
              <w:gridCol w:w="909"/>
              <w:gridCol w:w="622"/>
              <w:gridCol w:w="1315"/>
              <w:gridCol w:w="1164"/>
              <w:gridCol w:w="1693"/>
            </w:tblGrid>
            <w:tr w14:paraId="4E0F19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592" w:hRule="exact"/>
                <w:jc w:val="center"/>
              </w:trPr>
              <w:tc>
                <w:tcPr>
                  <w:tcW w:w="698" w:type="dxa"/>
                  <w:vMerge w:val="restart"/>
                  <w:tcBorders>
                    <w:tl2br w:val="nil"/>
                    <w:tr2bl w:val="nil"/>
                  </w:tcBorders>
                  <w:vAlign w:val="center"/>
                </w:tcPr>
                <w:p w14:paraId="262ECC4A">
                  <w:pPr>
                    <w:jc w:val="center"/>
                    <w:rPr>
                      <w:color w:val="auto"/>
                    </w:rPr>
                  </w:pPr>
                  <w:r>
                    <w:rPr>
                      <w:color w:val="auto"/>
                    </w:rPr>
                    <w:t>环境保护对象</w:t>
                  </w:r>
                </w:p>
              </w:tc>
              <w:tc>
                <w:tcPr>
                  <w:tcW w:w="1516" w:type="dxa"/>
                  <w:gridSpan w:val="2"/>
                  <w:tcBorders>
                    <w:tl2br w:val="nil"/>
                    <w:tr2bl w:val="nil"/>
                  </w:tcBorders>
                  <w:vAlign w:val="center"/>
                </w:tcPr>
                <w:p w14:paraId="202DE5FE">
                  <w:pPr>
                    <w:jc w:val="center"/>
                    <w:rPr>
                      <w:color w:val="auto"/>
                    </w:rPr>
                  </w:pPr>
                  <w:r>
                    <w:rPr>
                      <w:color w:val="auto"/>
                    </w:rPr>
                    <w:t>坐标/°</w:t>
                  </w:r>
                </w:p>
              </w:tc>
              <w:tc>
                <w:tcPr>
                  <w:tcW w:w="909" w:type="dxa"/>
                  <w:vMerge w:val="restart"/>
                  <w:tcBorders>
                    <w:tl2br w:val="nil"/>
                    <w:tr2bl w:val="nil"/>
                  </w:tcBorders>
                  <w:vAlign w:val="center"/>
                </w:tcPr>
                <w:p w14:paraId="675F7FD3">
                  <w:pPr>
                    <w:jc w:val="center"/>
                    <w:rPr>
                      <w:color w:val="auto"/>
                    </w:rPr>
                  </w:pPr>
                  <w:r>
                    <w:rPr>
                      <w:color w:val="auto"/>
                    </w:rPr>
                    <w:t>保护</w:t>
                  </w:r>
                </w:p>
                <w:p w14:paraId="69C18C20">
                  <w:pPr>
                    <w:jc w:val="center"/>
                    <w:rPr>
                      <w:color w:val="auto"/>
                    </w:rPr>
                  </w:pPr>
                  <w:r>
                    <w:rPr>
                      <w:color w:val="auto"/>
                    </w:rPr>
                    <w:t>对象</w:t>
                  </w:r>
                </w:p>
              </w:tc>
              <w:tc>
                <w:tcPr>
                  <w:tcW w:w="622" w:type="dxa"/>
                  <w:vMerge w:val="restart"/>
                  <w:tcBorders>
                    <w:tl2br w:val="nil"/>
                    <w:tr2bl w:val="nil"/>
                  </w:tcBorders>
                  <w:vAlign w:val="center"/>
                </w:tcPr>
                <w:p w14:paraId="2FFEEC41">
                  <w:pPr>
                    <w:jc w:val="center"/>
                    <w:rPr>
                      <w:color w:val="auto"/>
                    </w:rPr>
                  </w:pPr>
                  <w:r>
                    <w:rPr>
                      <w:color w:val="auto"/>
                    </w:rPr>
                    <w:t>保护内容</w:t>
                  </w:r>
                </w:p>
              </w:tc>
              <w:tc>
                <w:tcPr>
                  <w:tcW w:w="1315" w:type="dxa"/>
                  <w:vMerge w:val="restart"/>
                  <w:tcBorders>
                    <w:tl2br w:val="nil"/>
                    <w:tr2bl w:val="nil"/>
                  </w:tcBorders>
                  <w:vAlign w:val="center"/>
                </w:tcPr>
                <w:p w14:paraId="7D251570">
                  <w:pPr>
                    <w:jc w:val="center"/>
                    <w:rPr>
                      <w:color w:val="auto"/>
                    </w:rPr>
                  </w:pPr>
                  <w:r>
                    <w:rPr>
                      <w:color w:val="auto"/>
                    </w:rPr>
                    <w:t>保护功能区</w:t>
                  </w:r>
                </w:p>
              </w:tc>
              <w:tc>
                <w:tcPr>
                  <w:tcW w:w="2857" w:type="dxa"/>
                  <w:gridSpan w:val="2"/>
                  <w:tcBorders>
                    <w:tl2br w:val="nil"/>
                    <w:tr2bl w:val="nil"/>
                  </w:tcBorders>
                  <w:vAlign w:val="center"/>
                </w:tcPr>
                <w:p w14:paraId="078C45CF">
                  <w:pPr>
                    <w:pStyle w:val="50"/>
                    <w:rPr>
                      <w:rFonts w:ascii="Times New Roman" w:hAnsi="Times New Roman" w:cs="Times New Roman"/>
                      <w:color w:val="auto"/>
                    </w:rPr>
                  </w:pPr>
                  <w:r>
                    <w:rPr>
                      <w:rFonts w:ascii="Times New Roman" w:hAnsi="Times New Roman" w:cs="Times New Roman"/>
                      <w:color w:val="auto"/>
                      <w:sz w:val="21"/>
                      <w:szCs w:val="21"/>
                    </w:rPr>
                    <w:t>（</w:t>
                  </w:r>
                  <w:r>
                    <w:rPr>
                      <w:rFonts w:hint="eastAsia" w:ascii="Times New Roman" w:hAnsi="Times New Roman" w:cs="Times New Roman"/>
                      <w:color w:val="auto"/>
                      <w:sz w:val="21"/>
                      <w:szCs w:val="21"/>
                    </w:rPr>
                    <w:t>桦川县恒恒升水稻种植专业合作社</w:t>
                  </w:r>
                  <w:r>
                    <w:rPr>
                      <w:rFonts w:ascii="Times New Roman" w:hAnsi="Times New Roman" w:cs="Times New Roman"/>
                      <w:color w:val="auto"/>
                      <w:sz w:val="21"/>
                      <w:szCs w:val="21"/>
                    </w:rPr>
                    <w:t>厂界）</w:t>
                  </w:r>
                </w:p>
              </w:tc>
            </w:tr>
            <w:tr w14:paraId="501AE7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567" w:hRule="exact"/>
                <w:jc w:val="center"/>
              </w:trPr>
              <w:tc>
                <w:tcPr>
                  <w:tcW w:w="698" w:type="dxa"/>
                  <w:vMerge w:val="continue"/>
                  <w:tcBorders>
                    <w:tl2br w:val="nil"/>
                    <w:tr2bl w:val="nil"/>
                  </w:tcBorders>
                  <w:vAlign w:val="center"/>
                </w:tcPr>
                <w:p w14:paraId="637051D1">
                  <w:pPr>
                    <w:jc w:val="center"/>
                    <w:rPr>
                      <w:color w:val="auto"/>
                    </w:rPr>
                  </w:pPr>
                </w:p>
              </w:tc>
              <w:tc>
                <w:tcPr>
                  <w:tcW w:w="812" w:type="dxa"/>
                  <w:tcBorders>
                    <w:tl2br w:val="nil"/>
                    <w:tr2bl w:val="nil"/>
                  </w:tcBorders>
                  <w:vAlign w:val="center"/>
                </w:tcPr>
                <w:p w14:paraId="1EE21821">
                  <w:pPr>
                    <w:jc w:val="center"/>
                    <w:rPr>
                      <w:color w:val="auto"/>
                    </w:rPr>
                  </w:pPr>
                  <w:r>
                    <w:rPr>
                      <w:color w:val="auto"/>
                    </w:rPr>
                    <w:t>东经</w:t>
                  </w:r>
                </w:p>
              </w:tc>
              <w:tc>
                <w:tcPr>
                  <w:tcW w:w="704" w:type="dxa"/>
                  <w:tcBorders>
                    <w:tl2br w:val="nil"/>
                    <w:tr2bl w:val="nil"/>
                  </w:tcBorders>
                  <w:vAlign w:val="center"/>
                </w:tcPr>
                <w:p w14:paraId="38F3EFF9">
                  <w:pPr>
                    <w:jc w:val="center"/>
                    <w:rPr>
                      <w:color w:val="auto"/>
                    </w:rPr>
                  </w:pPr>
                  <w:r>
                    <w:rPr>
                      <w:color w:val="auto"/>
                    </w:rPr>
                    <w:t>北纬</w:t>
                  </w:r>
                </w:p>
              </w:tc>
              <w:tc>
                <w:tcPr>
                  <w:tcW w:w="909" w:type="dxa"/>
                  <w:vMerge w:val="continue"/>
                  <w:tcBorders>
                    <w:tl2br w:val="nil"/>
                    <w:tr2bl w:val="nil"/>
                  </w:tcBorders>
                  <w:vAlign w:val="center"/>
                </w:tcPr>
                <w:p w14:paraId="2F8D6E2D">
                  <w:pPr>
                    <w:jc w:val="center"/>
                    <w:rPr>
                      <w:color w:val="auto"/>
                    </w:rPr>
                  </w:pPr>
                </w:p>
              </w:tc>
              <w:tc>
                <w:tcPr>
                  <w:tcW w:w="622" w:type="dxa"/>
                  <w:vMerge w:val="continue"/>
                  <w:tcBorders>
                    <w:tl2br w:val="nil"/>
                    <w:tr2bl w:val="nil"/>
                  </w:tcBorders>
                  <w:vAlign w:val="center"/>
                </w:tcPr>
                <w:p w14:paraId="34BF9E42">
                  <w:pPr>
                    <w:jc w:val="center"/>
                    <w:rPr>
                      <w:color w:val="auto"/>
                    </w:rPr>
                  </w:pPr>
                </w:p>
              </w:tc>
              <w:tc>
                <w:tcPr>
                  <w:tcW w:w="1315" w:type="dxa"/>
                  <w:vMerge w:val="continue"/>
                  <w:tcBorders>
                    <w:tl2br w:val="nil"/>
                    <w:tr2bl w:val="nil"/>
                  </w:tcBorders>
                  <w:vAlign w:val="center"/>
                </w:tcPr>
                <w:p w14:paraId="7CE4F276">
                  <w:pPr>
                    <w:jc w:val="center"/>
                    <w:rPr>
                      <w:color w:val="auto"/>
                    </w:rPr>
                  </w:pPr>
                </w:p>
              </w:tc>
              <w:tc>
                <w:tcPr>
                  <w:tcW w:w="1164" w:type="dxa"/>
                  <w:tcBorders>
                    <w:tl2br w:val="nil"/>
                    <w:tr2bl w:val="nil"/>
                  </w:tcBorders>
                  <w:vAlign w:val="center"/>
                </w:tcPr>
                <w:p w14:paraId="70176B56">
                  <w:pPr>
                    <w:jc w:val="center"/>
                    <w:rPr>
                      <w:color w:val="auto"/>
                    </w:rPr>
                  </w:pPr>
                  <w:r>
                    <w:rPr>
                      <w:color w:val="auto"/>
                    </w:rPr>
                    <w:t>相对厂址方位</w:t>
                  </w:r>
                </w:p>
              </w:tc>
              <w:tc>
                <w:tcPr>
                  <w:tcW w:w="1693" w:type="dxa"/>
                  <w:tcBorders>
                    <w:tl2br w:val="nil"/>
                    <w:tr2bl w:val="nil"/>
                  </w:tcBorders>
                  <w:vAlign w:val="center"/>
                </w:tcPr>
                <w:p w14:paraId="00D11B4E">
                  <w:pPr>
                    <w:pStyle w:val="50"/>
                    <w:rPr>
                      <w:rFonts w:ascii="Times New Roman" w:hAnsi="Times New Roman" w:cs="Times New Roman"/>
                      <w:color w:val="auto"/>
                    </w:rPr>
                  </w:pPr>
                  <w:r>
                    <w:rPr>
                      <w:rFonts w:ascii="Times New Roman" w:hAnsi="Times New Roman" w:cs="Times New Roman"/>
                      <w:color w:val="auto"/>
                      <w:sz w:val="21"/>
                      <w:szCs w:val="21"/>
                    </w:rPr>
                    <w:t>最近保护目标相对厂界距离</w:t>
                  </w:r>
                </w:p>
              </w:tc>
            </w:tr>
            <w:tr w14:paraId="57A8BD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1392" w:hRule="atLeast"/>
                <w:jc w:val="center"/>
              </w:trPr>
              <w:tc>
                <w:tcPr>
                  <w:tcW w:w="698" w:type="dxa"/>
                  <w:tcBorders>
                    <w:tl2br w:val="nil"/>
                    <w:tr2bl w:val="nil"/>
                  </w:tcBorders>
                  <w:vAlign w:val="center"/>
                </w:tcPr>
                <w:p w14:paraId="71DD30AF">
                  <w:pPr>
                    <w:jc w:val="center"/>
                    <w:rPr>
                      <w:color w:val="auto"/>
                    </w:rPr>
                  </w:pPr>
                  <w:r>
                    <w:rPr>
                      <w:rFonts w:hint="eastAsia"/>
                      <w:color w:val="auto"/>
                    </w:rPr>
                    <w:t>兴国村水井</w:t>
                  </w:r>
                </w:p>
              </w:tc>
              <w:tc>
                <w:tcPr>
                  <w:tcW w:w="812" w:type="dxa"/>
                  <w:tcBorders>
                    <w:tl2br w:val="nil"/>
                    <w:tr2bl w:val="nil"/>
                  </w:tcBorders>
                  <w:vAlign w:val="center"/>
                </w:tcPr>
                <w:p w14:paraId="04F003FD">
                  <w:pPr>
                    <w:jc w:val="center"/>
                    <w:rPr>
                      <w:color w:val="auto"/>
                    </w:rPr>
                  </w:pPr>
                  <w:r>
                    <w:rPr>
                      <w:rFonts w:hint="eastAsia"/>
                      <w:color w:val="auto"/>
                    </w:rPr>
                    <w:t>131.3283</w:t>
                  </w:r>
                </w:p>
              </w:tc>
              <w:tc>
                <w:tcPr>
                  <w:tcW w:w="704" w:type="dxa"/>
                  <w:tcBorders>
                    <w:tl2br w:val="nil"/>
                    <w:tr2bl w:val="nil"/>
                  </w:tcBorders>
                  <w:vAlign w:val="center"/>
                </w:tcPr>
                <w:p w14:paraId="55B94AB9">
                  <w:pPr>
                    <w:jc w:val="center"/>
                    <w:rPr>
                      <w:color w:val="auto"/>
                    </w:rPr>
                  </w:pPr>
                  <w:r>
                    <w:rPr>
                      <w:rFonts w:hint="eastAsia"/>
                      <w:color w:val="auto"/>
                    </w:rPr>
                    <w:t>47.0888</w:t>
                  </w:r>
                </w:p>
              </w:tc>
              <w:tc>
                <w:tcPr>
                  <w:tcW w:w="909" w:type="dxa"/>
                  <w:tcBorders>
                    <w:tl2br w:val="nil"/>
                    <w:tr2bl w:val="nil"/>
                  </w:tcBorders>
                  <w:vAlign w:val="center"/>
                </w:tcPr>
                <w:p w14:paraId="3F189BDC">
                  <w:pPr>
                    <w:jc w:val="center"/>
                    <w:rPr>
                      <w:color w:val="auto"/>
                    </w:rPr>
                  </w:pPr>
                  <w:r>
                    <w:rPr>
                      <w:rFonts w:hint="eastAsia"/>
                      <w:color w:val="auto"/>
                    </w:rPr>
                    <w:t>兴国村水井</w:t>
                  </w:r>
                </w:p>
              </w:tc>
              <w:tc>
                <w:tcPr>
                  <w:tcW w:w="622" w:type="dxa"/>
                  <w:tcBorders>
                    <w:tl2br w:val="nil"/>
                    <w:tr2bl w:val="nil"/>
                  </w:tcBorders>
                  <w:vAlign w:val="center"/>
                </w:tcPr>
                <w:p w14:paraId="67EAA1B6">
                  <w:pPr>
                    <w:jc w:val="center"/>
                    <w:rPr>
                      <w:color w:val="auto"/>
                    </w:rPr>
                  </w:pPr>
                  <w:r>
                    <w:rPr>
                      <w:rFonts w:hint="eastAsia"/>
                      <w:color w:val="auto"/>
                    </w:rPr>
                    <w:t>地下水</w:t>
                  </w:r>
                </w:p>
              </w:tc>
              <w:tc>
                <w:tcPr>
                  <w:tcW w:w="1315" w:type="dxa"/>
                  <w:tcBorders>
                    <w:tl2br w:val="nil"/>
                    <w:tr2bl w:val="nil"/>
                  </w:tcBorders>
                  <w:vAlign w:val="center"/>
                </w:tcPr>
                <w:p w14:paraId="71C2EF72">
                  <w:pPr>
                    <w:rPr>
                      <w:color w:val="auto"/>
                    </w:rPr>
                  </w:pPr>
                  <w:r>
                    <w:rPr>
                      <w:rFonts w:hint="eastAsia"/>
                      <w:color w:val="auto"/>
                    </w:rPr>
                    <w:t>《地下水质量标准》（GB/T14848-2017）</w:t>
                  </w:r>
                </w:p>
              </w:tc>
              <w:tc>
                <w:tcPr>
                  <w:tcW w:w="1164" w:type="dxa"/>
                  <w:tcBorders>
                    <w:tl2br w:val="nil"/>
                    <w:tr2bl w:val="nil"/>
                  </w:tcBorders>
                  <w:vAlign w:val="center"/>
                </w:tcPr>
                <w:p w14:paraId="6D3677B9">
                  <w:pPr>
                    <w:jc w:val="center"/>
                    <w:rPr>
                      <w:color w:val="auto"/>
                    </w:rPr>
                  </w:pPr>
                  <w:r>
                    <w:rPr>
                      <w:rFonts w:hint="eastAsia"/>
                      <w:color w:val="auto"/>
                    </w:rPr>
                    <w:t>E</w:t>
                  </w:r>
                </w:p>
              </w:tc>
              <w:tc>
                <w:tcPr>
                  <w:tcW w:w="1693" w:type="dxa"/>
                  <w:tcBorders>
                    <w:tl2br w:val="nil"/>
                    <w:tr2bl w:val="nil"/>
                  </w:tcBorders>
                  <w:vAlign w:val="center"/>
                </w:tcPr>
                <w:p w14:paraId="722EF0E0">
                  <w:pPr>
                    <w:jc w:val="center"/>
                    <w:rPr>
                      <w:color w:val="auto"/>
                    </w:rPr>
                  </w:pPr>
                  <w:r>
                    <w:rPr>
                      <w:rFonts w:hint="eastAsia"/>
                      <w:color w:val="auto"/>
                    </w:rPr>
                    <w:t>267m</w:t>
                  </w:r>
                </w:p>
              </w:tc>
            </w:tr>
          </w:tbl>
          <w:p w14:paraId="669CB8D8">
            <w:pPr>
              <w:pStyle w:val="50"/>
              <w:rPr>
                <w:color w:val="auto"/>
              </w:rPr>
            </w:pPr>
          </w:p>
          <w:p w14:paraId="4D7464E3">
            <w:pPr>
              <w:jc w:val="center"/>
              <w:rPr>
                <w:color w:val="auto"/>
              </w:rPr>
            </w:pPr>
            <w:r>
              <w:rPr>
                <w:color w:val="auto"/>
              </w:rPr>
              <w:drawing>
                <wp:inline distT="0" distB="0" distL="114300" distR="114300">
                  <wp:extent cx="5086985" cy="2895600"/>
                  <wp:effectExtent l="0" t="0" r="18415" b="0"/>
                  <wp:docPr id="6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2"/>
                          <pic:cNvPicPr>
                            <a:picLocks noChangeAspect="1"/>
                          </pic:cNvPicPr>
                        </pic:nvPicPr>
                        <pic:blipFill>
                          <a:blip r:embed="rId33"/>
                          <a:stretch>
                            <a:fillRect/>
                          </a:stretch>
                        </pic:blipFill>
                        <pic:spPr>
                          <a:xfrm>
                            <a:off x="0" y="0"/>
                            <a:ext cx="5086985" cy="2895600"/>
                          </a:xfrm>
                          <a:prstGeom prst="rect">
                            <a:avLst/>
                          </a:prstGeom>
                          <a:noFill/>
                          <a:ln>
                            <a:noFill/>
                          </a:ln>
                        </pic:spPr>
                      </pic:pic>
                    </a:graphicData>
                  </a:graphic>
                </wp:inline>
              </w:drawing>
            </w:r>
          </w:p>
          <w:p w14:paraId="17A5FDC9">
            <w:pPr>
              <w:widowControl/>
              <w:spacing w:line="360" w:lineRule="auto"/>
              <w:jc w:val="center"/>
              <w:rPr>
                <w:b/>
                <w:color w:val="auto"/>
                <w:szCs w:val="21"/>
              </w:rPr>
            </w:pPr>
            <w:r>
              <w:rPr>
                <w:rFonts w:hint="eastAsia"/>
                <w:b/>
                <w:color w:val="auto"/>
                <w:szCs w:val="21"/>
              </w:rPr>
              <w:t>图3-2本项目与环境保护目标位置关系图</w:t>
            </w:r>
          </w:p>
          <w:p w14:paraId="7FCFA10F">
            <w:pPr>
              <w:widowControl/>
              <w:numPr>
                <w:ilvl w:val="0"/>
                <w:numId w:val="4"/>
              </w:numPr>
              <w:spacing w:line="360" w:lineRule="auto"/>
              <w:ind w:firstLine="482" w:firstLineChars="200"/>
              <w:jc w:val="left"/>
              <w:rPr>
                <w:color w:val="auto"/>
              </w:rPr>
            </w:pPr>
            <w:r>
              <w:rPr>
                <w:b/>
                <w:color w:val="auto"/>
                <w:sz w:val="24"/>
              </w:rPr>
              <w:t>生态环境保护目标</w:t>
            </w:r>
          </w:p>
          <w:p w14:paraId="3FC65883">
            <w:pPr>
              <w:adjustRightInd w:val="0"/>
              <w:snapToGrid w:val="0"/>
              <w:spacing w:line="500" w:lineRule="exact"/>
              <w:ind w:firstLine="480" w:firstLineChars="200"/>
              <w:textAlignment w:val="center"/>
              <w:rPr>
                <w:color w:val="auto"/>
                <w:kern w:val="0"/>
                <w:szCs w:val="21"/>
              </w:rPr>
            </w:pPr>
            <w:r>
              <w:rPr>
                <w:color w:val="auto"/>
                <w:kern w:val="0"/>
                <w:sz w:val="24"/>
              </w:rPr>
              <w:t>本项目</w:t>
            </w:r>
            <w:r>
              <w:rPr>
                <w:rFonts w:hint="eastAsia"/>
                <w:color w:val="auto"/>
                <w:kern w:val="0"/>
                <w:sz w:val="24"/>
                <w:lang w:val="en-US" w:eastAsia="zh-CN"/>
              </w:rPr>
              <w:t>为新建项目</w:t>
            </w:r>
            <w:r>
              <w:rPr>
                <w:color w:val="auto"/>
                <w:kern w:val="0"/>
                <w:sz w:val="24"/>
              </w:rPr>
              <w:t>，企业占地范围内无特殊生态敏感区及重要生态敏感区等生态环境保护目标，项目所在地无国家级、省、市级自然保护区、风景名胜区、文物保护对象。</w:t>
            </w:r>
          </w:p>
        </w:tc>
      </w:tr>
      <w:tr w14:paraId="45553D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20" w:hRule="atLeast"/>
          <w:jc w:val="center"/>
        </w:trPr>
        <w:tc>
          <w:tcPr>
            <w:tcW w:w="824" w:type="dxa"/>
            <w:tcBorders>
              <w:tl2br w:val="nil"/>
              <w:tr2bl w:val="nil"/>
            </w:tcBorders>
            <w:tcMar>
              <w:left w:w="28" w:type="dxa"/>
              <w:right w:w="28" w:type="dxa"/>
            </w:tcMar>
            <w:vAlign w:val="center"/>
          </w:tcPr>
          <w:p w14:paraId="18383D8D">
            <w:pPr>
              <w:adjustRightInd w:val="0"/>
              <w:snapToGrid w:val="0"/>
              <w:jc w:val="center"/>
              <w:rPr>
                <w:color w:val="auto"/>
                <w:kern w:val="0"/>
                <w:szCs w:val="21"/>
              </w:rPr>
            </w:pPr>
            <w:r>
              <w:rPr>
                <w:color w:val="auto"/>
                <w:kern w:val="0"/>
                <w:szCs w:val="21"/>
              </w:rPr>
              <w:t>污染</w:t>
            </w:r>
          </w:p>
          <w:p w14:paraId="1EE6BDDF">
            <w:pPr>
              <w:adjustRightInd w:val="0"/>
              <w:snapToGrid w:val="0"/>
              <w:jc w:val="center"/>
              <w:rPr>
                <w:color w:val="auto"/>
                <w:kern w:val="0"/>
                <w:szCs w:val="21"/>
              </w:rPr>
            </w:pPr>
            <w:r>
              <w:rPr>
                <w:color w:val="auto"/>
                <w:kern w:val="0"/>
                <w:szCs w:val="21"/>
              </w:rPr>
              <w:t>物排</w:t>
            </w:r>
          </w:p>
          <w:p w14:paraId="3A8D064C">
            <w:pPr>
              <w:adjustRightInd w:val="0"/>
              <w:snapToGrid w:val="0"/>
              <w:jc w:val="center"/>
              <w:rPr>
                <w:color w:val="auto"/>
                <w:kern w:val="0"/>
                <w:szCs w:val="21"/>
              </w:rPr>
            </w:pPr>
            <w:r>
              <w:rPr>
                <w:color w:val="auto"/>
                <w:kern w:val="0"/>
                <w:szCs w:val="21"/>
              </w:rPr>
              <w:t>放控</w:t>
            </w:r>
          </w:p>
          <w:p w14:paraId="7D366C24">
            <w:pPr>
              <w:adjustRightInd w:val="0"/>
              <w:snapToGrid w:val="0"/>
              <w:jc w:val="center"/>
              <w:rPr>
                <w:color w:val="auto"/>
                <w:kern w:val="0"/>
                <w:szCs w:val="21"/>
              </w:rPr>
            </w:pPr>
            <w:r>
              <w:rPr>
                <w:color w:val="auto"/>
                <w:kern w:val="0"/>
                <w:szCs w:val="21"/>
              </w:rPr>
              <w:t>制标</w:t>
            </w:r>
          </w:p>
          <w:p w14:paraId="7B8E4E2A">
            <w:pPr>
              <w:adjustRightInd w:val="0"/>
              <w:snapToGrid w:val="0"/>
              <w:jc w:val="center"/>
              <w:rPr>
                <w:color w:val="auto"/>
                <w:kern w:val="0"/>
                <w:szCs w:val="21"/>
              </w:rPr>
            </w:pPr>
            <w:r>
              <w:rPr>
                <w:color w:val="auto"/>
                <w:kern w:val="0"/>
                <w:szCs w:val="21"/>
              </w:rPr>
              <w:t>准</w:t>
            </w:r>
          </w:p>
        </w:tc>
        <w:tc>
          <w:tcPr>
            <w:tcW w:w="8233" w:type="dxa"/>
            <w:tcBorders>
              <w:tl2br w:val="nil"/>
              <w:tr2bl w:val="nil"/>
            </w:tcBorders>
            <w:vAlign w:val="center"/>
          </w:tcPr>
          <w:p w14:paraId="56546B32">
            <w:pPr>
              <w:adjustRightInd w:val="0"/>
              <w:snapToGrid w:val="0"/>
              <w:spacing w:line="360" w:lineRule="auto"/>
              <w:ind w:firstLine="482" w:firstLineChars="200"/>
              <w:rPr>
                <w:b/>
                <w:bCs/>
                <w:color w:val="auto"/>
                <w:sz w:val="24"/>
              </w:rPr>
            </w:pPr>
            <w:r>
              <w:rPr>
                <w:b/>
                <w:bCs/>
                <w:color w:val="auto"/>
                <w:sz w:val="24"/>
              </w:rPr>
              <w:t>1、废气</w:t>
            </w:r>
          </w:p>
          <w:p w14:paraId="28441C4D">
            <w:pPr>
              <w:spacing w:line="360" w:lineRule="auto"/>
              <w:ind w:firstLine="480" w:firstLineChars="200"/>
              <w:rPr>
                <w:color w:val="auto"/>
                <w:kern w:val="0"/>
                <w:sz w:val="24"/>
                <w:lang w:bidi="ar"/>
              </w:rPr>
            </w:pPr>
            <w:r>
              <w:rPr>
                <w:color w:val="auto"/>
                <w:sz w:val="24"/>
              </w:rPr>
              <w:t>施工期扬尘执行《大气污染物综合排放标准》（GB16297-1996）表2无组织排放限值标准。</w:t>
            </w:r>
          </w:p>
          <w:p w14:paraId="2DBD0277">
            <w:pPr>
              <w:adjustRightInd w:val="0"/>
              <w:snapToGrid w:val="0"/>
              <w:spacing w:line="360" w:lineRule="auto"/>
              <w:ind w:firstLine="480" w:firstLineChars="200"/>
              <w:rPr>
                <w:bCs/>
                <w:color w:val="auto"/>
                <w:sz w:val="24"/>
              </w:rPr>
            </w:pPr>
            <w:r>
              <w:rPr>
                <w:bCs/>
                <w:snapToGrid w:val="0"/>
                <w:color w:val="auto"/>
                <w:kern w:val="0"/>
                <w:sz w:val="24"/>
              </w:rPr>
              <w:t>燃生物质热风炉烟气中颗粒物排放浓度和烟气黑度执行《工业炉窑大气污染物排放标准》（GB9078-1996）中表2中的二级标准要求，</w:t>
            </w:r>
            <w:r>
              <w:rPr>
                <w:rFonts w:hint="eastAsia"/>
                <w:bCs/>
                <w:snapToGrid w:val="0"/>
                <w:color w:val="auto"/>
                <w:kern w:val="0"/>
                <w:sz w:val="24"/>
              </w:rPr>
              <w:t>汞和</w:t>
            </w:r>
            <w:r>
              <w:rPr>
                <w:bCs/>
                <w:snapToGrid w:val="0"/>
                <w:color w:val="auto"/>
                <w:kern w:val="0"/>
                <w:sz w:val="24"/>
              </w:rPr>
              <w:t>SO</w:t>
            </w:r>
            <w:r>
              <w:rPr>
                <w:bCs/>
                <w:snapToGrid w:val="0"/>
                <w:color w:val="auto"/>
                <w:kern w:val="0"/>
                <w:sz w:val="24"/>
                <w:vertAlign w:val="subscript"/>
              </w:rPr>
              <w:t>2</w:t>
            </w:r>
            <w:r>
              <w:rPr>
                <w:bCs/>
                <w:snapToGrid w:val="0"/>
                <w:color w:val="auto"/>
                <w:kern w:val="0"/>
                <w:sz w:val="24"/>
              </w:rPr>
              <w:t>排放浓度执行《工业炉窑大气污染物排放标准》（GB9078-1996）中表4中的二级标准要求。</w:t>
            </w:r>
          </w:p>
          <w:p w14:paraId="5F612197">
            <w:pPr>
              <w:pStyle w:val="19"/>
              <w:adjustRightInd w:val="0"/>
              <w:snapToGrid w:val="0"/>
              <w:spacing w:line="360" w:lineRule="auto"/>
              <w:ind w:firstLine="480" w:firstLineChars="200"/>
              <w:rPr>
                <w:rFonts w:ascii="Times New Roman" w:hAnsi="Times New Roman"/>
                <w:color w:val="auto"/>
                <w:sz w:val="24"/>
              </w:rPr>
            </w:pPr>
            <w:r>
              <w:rPr>
                <w:rFonts w:ascii="Times New Roman" w:hAnsi="Times New Roman"/>
                <w:bCs/>
                <w:color w:val="auto"/>
                <w:sz w:val="24"/>
                <w:szCs w:val="24"/>
              </w:rPr>
              <w:t>厂界无组织废气颗粒物排放浓度执行《大气污染物综合排放标准》（GB16297-1996）表2中无组织排放监控浓度限值，炉窑周边无组织废气颗粒物排放浓度满足《工业炉窑大气污染物排放标准》（GB9078-1996）中表3</w:t>
            </w:r>
            <w:r>
              <w:rPr>
                <w:rFonts w:ascii="Times New Roman" w:hAnsi="Times New Roman"/>
                <w:color w:val="auto"/>
                <w:sz w:val="24"/>
              </w:rPr>
              <w:t>中标准限值。</w:t>
            </w:r>
          </w:p>
          <w:p w14:paraId="52F07AF2">
            <w:pPr>
              <w:pStyle w:val="50"/>
              <w:spacing w:line="360" w:lineRule="auto"/>
              <w:rPr>
                <w:rFonts w:ascii="Times New Roman" w:hAnsi="Times New Roman" w:cs="Times New Roman"/>
                <w:color w:val="auto"/>
                <w:sz w:val="21"/>
                <w:szCs w:val="21"/>
              </w:rPr>
            </w:pPr>
            <w:r>
              <w:rPr>
                <w:rFonts w:ascii="Times New Roman" w:hAnsi="Times New Roman" w:cs="Times New Roman"/>
                <w:b/>
                <w:bCs/>
                <w:color w:val="auto"/>
                <w:sz w:val="21"/>
                <w:szCs w:val="21"/>
              </w:rPr>
              <w:t>表3-</w:t>
            </w:r>
            <w:r>
              <w:rPr>
                <w:rFonts w:hint="eastAsia" w:ascii="Times New Roman" w:hAnsi="Times New Roman" w:cs="Times New Roman"/>
                <w:b/>
                <w:bCs/>
                <w:color w:val="auto"/>
                <w:sz w:val="21"/>
                <w:szCs w:val="21"/>
              </w:rPr>
              <w:t>7</w:t>
            </w:r>
            <w:r>
              <w:rPr>
                <w:rFonts w:ascii="Times New Roman" w:hAnsi="Times New Roman" w:cs="Times New Roman"/>
                <w:b/>
                <w:bCs/>
                <w:color w:val="auto"/>
                <w:sz w:val="21"/>
                <w:szCs w:val="21"/>
              </w:rPr>
              <w:t>《工业炉窑大气污染物排放标准》（GB9078-1996） 单位：mg/m</w:t>
            </w:r>
            <w:r>
              <w:rPr>
                <w:rFonts w:ascii="Times New Roman" w:hAnsi="Times New Roman" w:cs="Times New Roman"/>
                <w:b/>
                <w:bCs/>
                <w:color w:val="auto"/>
                <w:sz w:val="21"/>
                <w:szCs w:val="21"/>
                <w:vertAlign w:val="superscript"/>
              </w:rPr>
              <w:t>3</w:t>
            </w:r>
          </w:p>
          <w:tbl>
            <w:tblPr>
              <w:tblStyle w:val="35"/>
              <w:tblW w:w="794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3493"/>
              <w:gridCol w:w="2890"/>
            </w:tblGrid>
            <w:tr w14:paraId="2ECDEC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7046F61C">
                  <w:pPr>
                    <w:jc w:val="center"/>
                    <w:rPr>
                      <w:color w:val="auto"/>
                      <w:szCs w:val="21"/>
                    </w:rPr>
                  </w:pPr>
                  <w:r>
                    <w:rPr>
                      <w:color w:val="auto"/>
                      <w:szCs w:val="21"/>
                    </w:rPr>
                    <w:t>污染物</w:t>
                  </w:r>
                </w:p>
              </w:tc>
              <w:tc>
                <w:tcPr>
                  <w:tcW w:w="3493" w:type="dxa"/>
                  <w:vAlign w:val="center"/>
                </w:tcPr>
                <w:p w14:paraId="72492DD6">
                  <w:pPr>
                    <w:jc w:val="center"/>
                    <w:rPr>
                      <w:color w:val="auto"/>
                      <w:szCs w:val="21"/>
                    </w:rPr>
                  </w:pPr>
                  <w:r>
                    <w:rPr>
                      <w:color w:val="auto"/>
                      <w:szCs w:val="21"/>
                    </w:rPr>
                    <w:t>浓度限值</w:t>
                  </w:r>
                </w:p>
              </w:tc>
              <w:tc>
                <w:tcPr>
                  <w:tcW w:w="2890" w:type="dxa"/>
                  <w:vAlign w:val="center"/>
                </w:tcPr>
                <w:p w14:paraId="22724D1B">
                  <w:pPr>
                    <w:jc w:val="center"/>
                    <w:rPr>
                      <w:color w:val="auto"/>
                      <w:szCs w:val="21"/>
                    </w:rPr>
                  </w:pPr>
                  <w:r>
                    <w:rPr>
                      <w:color w:val="auto"/>
                      <w:szCs w:val="21"/>
                    </w:rPr>
                    <w:t>备注</w:t>
                  </w:r>
                </w:p>
              </w:tc>
            </w:tr>
            <w:tr w14:paraId="5EA775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1A030096">
                  <w:pPr>
                    <w:jc w:val="center"/>
                    <w:rPr>
                      <w:color w:val="auto"/>
                      <w:szCs w:val="21"/>
                    </w:rPr>
                  </w:pPr>
                  <w:r>
                    <w:rPr>
                      <w:color w:val="auto"/>
                      <w:szCs w:val="21"/>
                    </w:rPr>
                    <w:t xml:space="preserve">烟尘 </w:t>
                  </w:r>
                </w:p>
              </w:tc>
              <w:tc>
                <w:tcPr>
                  <w:tcW w:w="3493" w:type="dxa"/>
                  <w:vAlign w:val="center"/>
                </w:tcPr>
                <w:p w14:paraId="16C07BBD">
                  <w:pPr>
                    <w:jc w:val="center"/>
                    <w:rPr>
                      <w:color w:val="auto"/>
                      <w:szCs w:val="21"/>
                    </w:rPr>
                  </w:pPr>
                  <w:r>
                    <w:rPr>
                      <w:color w:val="auto"/>
                      <w:szCs w:val="21"/>
                    </w:rPr>
                    <w:t>200</w:t>
                  </w:r>
                </w:p>
              </w:tc>
              <w:tc>
                <w:tcPr>
                  <w:tcW w:w="2890" w:type="dxa"/>
                  <w:vAlign w:val="center"/>
                </w:tcPr>
                <w:p w14:paraId="2F0E7F01">
                  <w:pPr>
                    <w:jc w:val="center"/>
                    <w:rPr>
                      <w:color w:val="auto"/>
                      <w:szCs w:val="21"/>
                    </w:rPr>
                  </w:pPr>
                  <w:r>
                    <w:rPr>
                      <w:color w:val="auto"/>
                      <w:szCs w:val="21"/>
                    </w:rPr>
                    <w:t>表2标准</w:t>
                  </w:r>
                </w:p>
              </w:tc>
            </w:tr>
            <w:tr w14:paraId="391591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7373D4E0">
                  <w:pPr>
                    <w:jc w:val="center"/>
                    <w:rPr>
                      <w:color w:val="auto"/>
                      <w:szCs w:val="21"/>
                    </w:rPr>
                  </w:pPr>
                  <w:r>
                    <w:rPr>
                      <w:color w:val="auto"/>
                      <w:szCs w:val="21"/>
                    </w:rPr>
                    <w:t>烟气黑度</w:t>
                  </w:r>
                </w:p>
              </w:tc>
              <w:tc>
                <w:tcPr>
                  <w:tcW w:w="3493" w:type="dxa"/>
                  <w:vAlign w:val="center"/>
                </w:tcPr>
                <w:p w14:paraId="23B8FCB6">
                  <w:pPr>
                    <w:jc w:val="center"/>
                    <w:rPr>
                      <w:color w:val="auto"/>
                      <w:szCs w:val="21"/>
                    </w:rPr>
                  </w:pPr>
                  <w:r>
                    <w:rPr>
                      <w:color w:val="auto"/>
                      <w:szCs w:val="21"/>
                    </w:rPr>
                    <w:t>1（林格曼级）</w:t>
                  </w:r>
                </w:p>
              </w:tc>
              <w:tc>
                <w:tcPr>
                  <w:tcW w:w="2890" w:type="dxa"/>
                  <w:vAlign w:val="center"/>
                </w:tcPr>
                <w:p w14:paraId="16AECBE4">
                  <w:pPr>
                    <w:jc w:val="center"/>
                    <w:rPr>
                      <w:color w:val="auto"/>
                      <w:szCs w:val="21"/>
                    </w:rPr>
                  </w:pPr>
                  <w:r>
                    <w:rPr>
                      <w:color w:val="auto"/>
                      <w:szCs w:val="21"/>
                    </w:rPr>
                    <w:t>表2标准</w:t>
                  </w:r>
                </w:p>
              </w:tc>
            </w:tr>
            <w:tr w14:paraId="516EDD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2E13AA6A">
                  <w:pPr>
                    <w:jc w:val="center"/>
                    <w:rPr>
                      <w:color w:val="auto"/>
                      <w:szCs w:val="21"/>
                    </w:rPr>
                  </w:pPr>
                  <w:r>
                    <w:rPr>
                      <w:color w:val="auto"/>
                      <w:szCs w:val="21"/>
                    </w:rPr>
                    <w:t>SO</w:t>
                  </w:r>
                  <w:r>
                    <w:rPr>
                      <w:color w:val="auto"/>
                      <w:szCs w:val="21"/>
                      <w:vertAlign w:val="subscript"/>
                    </w:rPr>
                    <w:t>2</w:t>
                  </w:r>
                </w:p>
              </w:tc>
              <w:tc>
                <w:tcPr>
                  <w:tcW w:w="3493" w:type="dxa"/>
                  <w:vAlign w:val="center"/>
                </w:tcPr>
                <w:p w14:paraId="39363D82">
                  <w:pPr>
                    <w:jc w:val="center"/>
                    <w:rPr>
                      <w:color w:val="auto"/>
                      <w:szCs w:val="21"/>
                    </w:rPr>
                  </w:pPr>
                  <w:r>
                    <w:rPr>
                      <w:color w:val="auto"/>
                      <w:szCs w:val="21"/>
                    </w:rPr>
                    <w:t>850</w:t>
                  </w:r>
                </w:p>
              </w:tc>
              <w:tc>
                <w:tcPr>
                  <w:tcW w:w="2890" w:type="dxa"/>
                  <w:vAlign w:val="center"/>
                </w:tcPr>
                <w:p w14:paraId="54C000F7">
                  <w:pPr>
                    <w:jc w:val="center"/>
                    <w:rPr>
                      <w:color w:val="auto"/>
                      <w:szCs w:val="21"/>
                    </w:rPr>
                  </w:pPr>
                  <w:r>
                    <w:rPr>
                      <w:color w:val="auto"/>
                      <w:szCs w:val="21"/>
                    </w:rPr>
                    <w:t>表4标准</w:t>
                  </w:r>
                </w:p>
              </w:tc>
            </w:tr>
            <w:tr w14:paraId="6EEE52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6D914B04">
                  <w:pPr>
                    <w:jc w:val="center"/>
                    <w:rPr>
                      <w:color w:val="auto"/>
                      <w:szCs w:val="21"/>
                    </w:rPr>
                  </w:pPr>
                  <w:r>
                    <w:rPr>
                      <w:rFonts w:hint="eastAsia"/>
                      <w:color w:val="auto"/>
                      <w:szCs w:val="21"/>
                    </w:rPr>
                    <w:t>汞</w:t>
                  </w:r>
                </w:p>
              </w:tc>
              <w:tc>
                <w:tcPr>
                  <w:tcW w:w="3493" w:type="dxa"/>
                  <w:vAlign w:val="center"/>
                </w:tcPr>
                <w:p w14:paraId="2898FC4D">
                  <w:pPr>
                    <w:jc w:val="center"/>
                    <w:rPr>
                      <w:color w:val="auto"/>
                      <w:szCs w:val="21"/>
                    </w:rPr>
                  </w:pPr>
                  <w:r>
                    <w:rPr>
                      <w:rFonts w:hint="eastAsia"/>
                      <w:color w:val="auto"/>
                      <w:szCs w:val="21"/>
                    </w:rPr>
                    <w:t>0.010</w:t>
                  </w:r>
                </w:p>
              </w:tc>
              <w:tc>
                <w:tcPr>
                  <w:tcW w:w="2890" w:type="dxa"/>
                  <w:vAlign w:val="center"/>
                </w:tcPr>
                <w:p w14:paraId="1C2EFCF3">
                  <w:pPr>
                    <w:jc w:val="center"/>
                    <w:rPr>
                      <w:color w:val="auto"/>
                      <w:szCs w:val="21"/>
                    </w:rPr>
                  </w:pPr>
                  <w:r>
                    <w:rPr>
                      <w:color w:val="auto"/>
                      <w:szCs w:val="21"/>
                    </w:rPr>
                    <w:t>表4标准</w:t>
                  </w:r>
                </w:p>
              </w:tc>
            </w:tr>
            <w:tr w14:paraId="5BFABE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0809C243">
                  <w:pPr>
                    <w:jc w:val="center"/>
                    <w:rPr>
                      <w:color w:val="auto"/>
                      <w:szCs w:val="21"/>
                    </w:rPr>
                  </w:pPr>
                  <w:r>
                    <w:rPr>
                      <w:color w:val="auto"/>
                      <w:kern w:val="0"/>
                      <w:szCs w:val="21"/>
                      <w:lang w:bidi="ar"/>
                    </w:rPr>
                    <w:t>NOx</w:t>
                  </w:r>
                </w:p>
              </w:tc>
              <w:tc>
                <w:tcPr>
                  <w:tcW w:w="3493" w:type="dxa"/>
                  <w:vAlign w:val="center"/>
                </w:tcPr>
                <w:p w14:paraId="68C5C64A">
                  <w:pPr>
                    <w:jc w:val="center"/>
                    <w:rPr>
                      <w:color w:val="auto"/>
                      <w:szCs w:val="21"/>
                    </w:rPr>
                  </w:pPr>
                  <w:r>
                    <w:rPr>
                      <w:color w:val="auto"/>
                      <w:szCs w:val="21"/>
                    </w:rPr>
                    <w:t>/</w:t>
                  </w:r>
                </w:p>
              </w:tc>
              <w:tc>
                <w:tcPr>
                  <w:tcW w:w="2890" w:type="dxa"/>
                  <w:vAlign w:val="center"/>
                </w:tcPr>
                <w:p w14:paraId="140AB065">
                  <w:pPr>
                    <w:jc w:val="center"/>
                    <w:rPr>
                      <w:color w:val="auto"/>
                      <w:szCs w:val="21"/>
                    </w:rPr>
                  </w:pPr>
                  <w:r>
                    <w:rPr>
                      <w:color w:val="auto"/>
                      <w:szCs w:val="21"/>
                    </w:rPr>
                    <w:t>/</w:t>
                  </w:r>
                </w:p>
              </w:tc>
            </w:tr>
          </w:tbl>
          <w:p w14:paraId="5067A2C3">
            <w:pPr>
              <w:ind w:firstLine="422" w:firstLineChars="200"/>
              <w:rPr>
                <w:b/>
                <w:color w:val="auto"/>
                <w:szCs w:val="21"/>
              </w:rPr>
            </w:pPr>
          </w:p>
          <w:p w14:paraId="32B8E34E">
            <w:pPr>
              <w:adjustRightInd w:val="0"/>
              <w:snapToGrid w:val="0"/>
              <w:jc w:val="center"/>
              <w:rPr>
                <w:b/>
                <w:color w:val="auto"/>
                <w:szCs w:val="21"/>
              </w:rPr>
            </w:pPr>
            <w:r>
              <w:rPr>
                <w:b/>
                <w:color w:val="auto"/>
                <w:szCs w:val="21"/>
              </w:rPr>
              <w:t>表3-</w:t>
            </w:r>
            <w:r>
              <w:rPr>
                <w:rFonts w:hint="eastAsia"/>
                <w:b/>
                <w:color w:val="auto"/>
                <w:szCs w:val="21"/>
              </w:rPr>
              <w:t>8</w:t>
            </w:r>
            <w:r>
              <w:rPr>
                <w:b/>
                <w:color w:val="auto"/>
                <w:szCs w:val="21"/>
              </w:rPr>
              <w:t>《工业窑炉大气污染物排放标准》（GB9078-1996）表3</w:t>
            </w:r>
          </w:p>
          <w:tbl>
            <w:tblPr>
              <w:tblStyle w:val="35"/>
              <w:tblW w:w="7959"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555"/>
              <w:gridCol w:w="2962"/>
              <w:gridCol w:w="2442"/>
            </w:tblGrid>
            <w:tr w14:paraId="1BFEED2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57" w:hRule="atLeast"/>
                <w:jc w:val="center"/>
              </w:trPr>
              <w:tc>
                <w:tcPr>
                  <w:tcW w:w="2555" w:type="dxa"/>
                  <w:tcBorders>
                    <w:tl2br w:val="nil"/>
                    <w:tr2bl w:val="nil"/>
                  </w:tcBorders>
                  <w:vAlign w:val="center"/>
                </w:tcPr>
                <w:p w14:paraId="510C4DEA">
                  <w:pPr>
                    <w:pStyle w:val="112"/>
                    <w:snapToGrid w:val="0"/>
                    <w:spacing w:line="240" w:lineRule="auto"/>
                    <w:ind w:firstLine="0" w:firstLineChars="0"/>
                    <w:jc w:val="center"/>
                    <w:rPr>
                      <w:rFonts w:ascii="Times New Roman" w:hAnsi="Times New Roman"/>
                      <w:color w:val="auto"/>
                      <w:kern w:val="2"/>
                      <w:sz w:val="21"/>
                      <w:szCs w:val="21"/>
                    </w:rPr>
                  </w:pPr>
                  <w:r>
                    <w:rPr>
                      <w:rFonts w:ascii="Times New Roman" w:hAnsi="Times New Roman"/>
                      <w:color w:val="auto"/>
                      <w:kern w:val="2"/>
                      <w:sz w:val="21"/>
                      <w:szCs w:val="21"/>
                    </w:rPr>
                    <w:t>设置方式</w:t>
                  </w:r>
                </w:p>
              </w:tc>
              <w:tc>
                <w:tcPr>
                  <w:tcW w:w="2962" w:type="dxa"/>
                  <w:tcBorders>
                    <w:tl2br w:val="nil"/>
                    <w:tr2bl w:val="nil"/>
                  </w:tcBorders>
                  <w:vAlign w:val="center"/>
                </w:tcPr>
                <w:p w14:paraId="6CFC8462">
                  <w:pPr>
                    <w:pStyle w:val="112"/>
                    <w:snapToGrid w:val="0"/>
                    <w:spacing w:line="240" w:lineRule="auto"/>
                    <w:ind w:firstLine="0" w:firstLineChars="0"/>
                    <w:jc w:val="center"/>
                    <w:rPr>
                      <w:rFonts w:ascii="Times New Roman" w:hAnsi="Times New Roman"/>
                      <w:color w:val="auto"/>
                      <w:kern w:val="2"/>
                      <w:sz w:val="21"/>
                      <w:szCs w:val="21"/>
                    </w:rPr>
                  </w:pPr>
                  <w:r>
                    <w:rPr>
                      <w:rFonts w:ascii="Times New Roman" w:hAnsi="Times New Roman"/>
                      <w:color w:val="auto"/>
                      <w:kern w:val="2"/>
                      <w:sz w:val="21"/>
                      <w:szCs w:val="21"/>
                    </w:rPr>
                    <w:t>炉窑类别</w:t>
                  </w:r>
                </w:p>
              </w:tc>
              <w:tc>
                <w:tcPr>
                  <w:tcW w:w="2442" w:type="dxa"/>
                  <w:tcBorders>
                    <w:tl2br w:val="nil"/>
                    <w:tr2bl w:val="nil"/>
                  </w:tcBorders>
                  <w:vAlign w:val="center"/>
                </w:tcPr>
                <w:p w14:paraId="672D0ABB">
                  <w:pPr>
                    <w:pStyle w:val="112"/>
                    <w:snapToGrid w:val="0"/>
                    <w:spacing w:line="240" w:lineRule="auto"/>
                    <w:ind w:firstLine="0" w:firstLineChars="0"/>
                    <w:jc w:val="center"/>
                    <w:rPr>
                      <w:rFonts w:ascii="Times New Roman" w:hAnsi="Times New Roman"/>
                      <w:color w:val="auto"/>
                      <w:kern w:val="2"/>
                      <w:sz w:val="21"/>
                      <w:szCs w:val="21"/>
                    </w:rPr>
                  </w:pPr>
                  <w:r>
                    <w:rPr>
                      <w:rFonts w:ascii="Times New Roman" w:hAnsi="Times New Roman"/>
                      <w:color w:val="auto"/>
                      <w:kern w:val="2"/>
                      <w:sz w:val="21"/>
                      <w:szCs w:val="21"/>
                    </w:rPr>
                    <w:t>无组织排放烟（粉）尘最高允许浓度（mg/m</w:t>
                  </w:r>
                  <w:r>
                    <w:rPr>
                      <w:rFonts w:ascii="Times New Roman" w:hAnsi="Times New Roman"/>
                      <w:color w:val="auto"/>
                      <w:kern w:val="2"/>
                      <w:sz w:val="21"/>
                      <w:szCs w:val="21"/>
                      <w:vertAlign w:val="superscript"/>
                    </w:rPr>
                    <w:t>3</w:t>
                  </w:r>
                  <w:r>
                    <w:rPr>
                      <w:rFonts w:ascii="Times New Roman" w:hAnsi="Times New Roman"/>
                      <w:color w:val="auto"/>
                      <w:kern w:val="2"/>
                      <w:sz w:val="21"/>
                      <w:szCs w:val="21"/>
                    </w:rPr>
                    <w:t>）</w:t>
                  </w:r>
                </w:p>
              </w:tc>
            </w:tr>
            <w:tr w14:paraId="1DC3AC0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90" w:hRule="atLeast"/>
                <w:jc w:val="center"/>
              </w:trPr>
              <w:tc>
                <w:tcPr>
                  <w:tcW w:w="2555" w:type="dxa"/>
                  <w:tcBorders>
                    <w:tl2br w:val="nil"/>
                    <w:tr2bl w:val="nil"/>
                  </w:tcBorders>
                  <w:vAlign w:val="center"/>
                </w:tcPr>
                <w:p w14:paraId="390E5246">
                  <w:pPr>
                    <w:pStyle w:val="112"/>
                    <w:snapToGrid w:val="0"/>
                    <w:spacing w:line="240" w:lineRule="auto"/>
                    <w:ind w:firstLine="0" w:firstLineChars="0"/>
                    <w:jc w:val="center"/>
                    <w:rPr>
                      <w:rFonts w:ascii="Times New Roman" w:hAnsi="Times New Roman"/>
                      <w:color w:val="auto"/>
                      <w:kern w:val="2"/>
                      <w:sz w:val="21"/>
                      <w:szCs w:val="21"/>
                    </w:rPr>
                  </w:pPr>
                  <w:r>
                    <w:rPr>
                      <w:rFonts w:ascii="Times New Roman" w:hAnsi="Times New Roman"/>
                      <w:color w:val="auto"/>
                      <w:kern w:val="2"/>
                      <w:sz w:val="21"/>
                      <w:szCs w:val="21"/>
                    </w:rPr>
                    <w:t>有车间厂房</w:t>
                  </w:r>
                </w:p>
              </w:tc>
              <w:tc>
                <w:tcPr>
                  <w:tcW w:w="2962" w:type="dxa"/>
                  <w:tcBorders>
                    <w:tl2br w:val="nil"/>
                    <w:tr2bl w:val="nil"/>
                  </w:tcBorders>
                  <w:vAlign w:val="center"/>
                </w:tcPr>
                <w:p w14:paraId="4538B109">
                  <w:pPr>
                    <w:pStyle w:val="112"/>
                    <w:snapToGrid w:val="0"/>
                    <w:spacing w:line="240" w:lineRule="auto"/>
                    <w:ind w:firstLine="0" w:firstLineChars="0"/>
                    <w:jc w:val="center"/>
                    <w:rPr>
                      <w:rFonts w:ascii="Times New Roman" w:hAnsi="Times New Roman"/>
                      <w:color w:val="auto"/>
                      <w:kern w:val="2"/>
                      <w:sz w:val="21"/>
                      <w:szCs w:val="21"/>
                    </w:rPr>
                  </w:pPr>
                  <w:r>
                    <w:rPr>
                      <w:rFonts w:ascii="Times New Roman" w:hAnsi="Times New Roman"/>
                      <w:color w:val="auto"/>
                      <w:kern w:val="2"/>
                      <w:sz w:val="21"/>
                      <w:szCs w:val="21"/>
                    </w:rPr>
                    <w:t>其他炉窑</w:t>
                  </w:r>
                </w:p>
              </w:tc>
              <w:tc>
                <w:tcPr>
                  <w:tcW w:w="2442" w:type="dxa"/>
                  <w:tcBorders>
                    <w:tl2br w:val="nil"/>
                    <w:tr2bl w:val="nil"/>
                  </w:tcBorders>
                  <w:vAlign w:val="center"/>
                </w:tcPr>
                <w:p w14:paraId="739030AB">
                  <w:pPr>
                    <w:pStyle w:val="112"/>
                    <w:snapToGrid w:val="0"/>
                    <w:spacing w:line="240" w:lineRule="auto"/>
                    <w:ind w:firstLine="0" w:firstLineChars="0"/>
                    <w:jc w:val="center"/>
                    <w:rPr>
                      <w:rFonts w:ascii="Times New Roman" w:hAnsi="Times New Roman"/>
                      <w:color w:val="auto"/>
                      <w:kern w:val="2"/>
                      <w:sz w:val="21"/>
                      <w:szCs w:val="21"/>
                    </w:rPr>
                  </w:pPr>
                  <w:r>
                    <w:rPr>
                      <w:rFonts w:ascii="Times New Roman" w:hAnsi="Times New Roman"/>
                      <w:color w:val="auto"/>
                      <w:kern w:val="2"/>
                      <w:sz w:val="21"/>
                      <w:szCs w:val="21"/>
                    </w:rPr>
                    <w:t>5</w:t>
                  </w:r>
                </w:p>
              </w:tc>
            </w:tr>
          </w:tbl>
          <w:p w14:paraId="37CA2290">
            <w:pPr>
              <w:pStyle w:val="62"/>
              <w:keepNext/>
              <w:keepLines/>
              <w:ind w:left="0" w:firstLine="0"/>
              <w:jc w:val="center"/>
              <w:textAlignment w:val="auto"/>
              <w:rPr>
                <w:rFonts w:ascii="Times New Roman" w:eastAsia="宋体"/>
                <w:b/>
                <w:bCs/>
                <w:color w:val="auto"/>
                <w:sz w:val="21"/>
                <w:szCs w:val="21"/>
              </w:rPr>
            </w:pPr>
            <w:bookmarkStart w:id="7" w:name="_Toc29061"/>
          </w:p>
          <w:p w14:paraId="0CEEB556">
            <w:pPr>
              <w:pStyle w:val="62"/>
              <w:keepNext/>
              <w:keepLines/>
              <w:ind w:left="0" w:firstLine="0"/>
              <w:jc w:val="center"/>
              <w:textAlignment w:val="auto"/>
              <w:rPr>
                <w:rFonts w:ascii="Times New Roman" w:eastAsia="宋体"/>
                <w:b/>
                <w:bCs/>
                <w:color w:val="auto"/>
                <w:sz w:val="21"/>
                <w:szCs w:val="21"/>
              </w:rPr>
            </w:pPr>
            <w:r>
              <w:rPr>
                <w:rFonts w:ascii="Times New Roman" w:eastAsia="宋体"/>
                <w:b/>
                <w:bCs/>
                <w:color w:val="auto"/>
                <w:sz w:val="21"/>
                <w:szCs w:val="21"/>
              </w:rPr>
              <w:t>表3-9《大气污染物综合排放标准》（GB16297-1996）  单位：mg/m</w:t>
            </w:r>
            <w:r>
              <w:rPr>
                <w:rFonts w:ascii="Times New Roman" w:eastAsia="宋体"/>
                <w:b/>
                <w:bCs/>
                <w:color w:val="auto"/>
                <w:sz w:val="21"/>
                <w:szCs w:val="21"/>
                <w:vertAlign w:val="superscript"/>
              </w:rPr>
              <w:t>3</w:t>
            </w:r>
            <w:bookmarkEnd w:id="7"/>
          </w:p>
          <w:tbl>
            <w:tblPr>
              <w:tblStyle w:val="35"/>
              <w:tblW w:w="79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438"/>
              <w:gridCol w:w="1453"/>
              <w:gridCol w:w="1118"/>
              <w:gridCol w:w="1607"/>
              <w:gridCol w:w="1208"/>
            </w:tblGrid>
            <w:tr w14:paraId="23712A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01" w:type="pct"/>
                  <w:vMerge w:val="restart"/>
                  <w:tcBorders>
                    <w:tl2br w:val="nil"/>
                    <w:tr2bl w:val="nil"/>
                  </w:tcBorders>
                  <w:vAlign w:val="center"/>
                </w:tcPr>
                <w:p w14:paraId="405EE18C">
                  <w:pPr>
                    <w:adjustRightInd w:val="0"/>
                    <w:snapToGrid w:val="0"/>
                    <w:jc w:val="center"/>
                    <w:rPr>
                      <w:color w:val="auto"/>
                      <w:szCs w:val="21"/>
                    </w:rPr>
                  </w:pPr>
                  <w:r>
                    <w:rPr>
                      <w:color w:val="auto"/>
                      <w:szCs w:val="21"/>
                    </w:rPr>
                    <w:t>污染物</w:t>
                  </w:r>
                </w:p>
              </w:tc>
              <w:tc>
                <w:tcPr>
                  <w:tcW w:w="905" w:type="pct"/>
                  <w:vMerge w:val="restart"/>
                  <w:tcBorders>
                    <w:tl2br w:val="nil"/>
                    <w:tr2bl w:val="nil"/>
                  </w:tcBorders>
                  <w:vAlign w:val="center"/>
                </w:tcPr>
                <w:p w14:paraId="02233783">
                  <w:pPr>
                    <w:adjustRightInd w:val="0"/>
                    <w:snapToGrid w:val="0"/>
                    <w:jc w:val="center"/>
                    <w:rPr>
                      <w:color w:val="auto"/>
                      <w:szCs w:val="21"/>
                    </w:rPr>
                  </w:pPr>
                  <w:r>
                    <w:rPr>
                      <w:color w:val="auto"/>
                      <w:szCs w:val="21"/>
                    </w:rPr>
                    <w:t>最高允许排放浓度（mg/m</w:t>
                  </w:r>
                  <w:r>
                    <w:rPr>
                      <w:color w:val="auto"/>
                      <w:szCs w:val="21"/>
                      <w:vertAlign w:val="superscript"/>
                    </w:rPr>
                    <w:t>3</w:t>
                  </w:r>
                  <w:r>
                    <w:rPr>
                      <w:color w:val="auto"/>
                      <w:szCs w:val="21"/>
                    </w:rPr>
                    <w:t>）</w:t>
                  </w:r>
                </w:p>
              </w:tc>
              <w:tc>
                <w:tcPr>
                  <w:tcW w:w="1619" w:type="pct"/>
                  <w:gridSpan w:val="2"/>
                  <w:tcBorders>
                    <w:tl2br w:val="nil"/>
                    <w:tr2bl w:val="nil"/>
                  </w:tcBorders>
                  <w:vAlign w:val="center"/>
                </w:tcPr>
                <w:p w14:paraId="76E13A4D">
                  <w:pPr>
                    <w:adjustRightInd w:val="0"/>
                    <w:snapToGrid w:val="0"/>
                    <w:jc w:val="center"/>
                    <w:rPr>
                      <w:color w:val="auto"/>
                      <w:szCs w:val="21"/>
                    </w:rPr>
                  </w:pPr>
                  <w:r>
                    <w:rPr>
                      <w:color w:val="auto"/>
                      <w:szCs w:val="21"/>
                    </w:rPr>
                    <w:t>最高允许排放速率</w:t>
                  </w:r>
                </w:p>
              </w:tc>
              <w:tc>
                <w:tcPr>
                  <w:tcW w:w="1773" w:type="pct"/>
                  <w:gridSpan w:val="2"/>
                  <w:tcBorders>
                    <w:tl2br w:val="nil"/>
                    <w:tr2bl w:val="nil"/>
                  </w:tcBorders>
                  <w:vAlign w:val="center"/>
                </w:tcPr>
                <w:p w14:paraId="233B4310">
                  <w:pPr>
                    <w:adjustRightInd w:val="0"/>
                    <w:snapToGrid w:val="0"/>
                    <w:jc w:val="center"/>
                    <w:rPr>
                      <w:color w:val="auto"/>
                      <w:szCs w:val="21"/>
                    </w:rPr>
                  </w:pPr>
                  <w:r>
                    <w:rPr>
                      <w:color w:val="auto"/>
                      <w:szCs w:val="21"/>
                    </w:rPr>
                    <w:t>无组织排放监控浓度限值</w:t>
                  </w:r>
                </w:p>
              </w:tc>
            </w:tr>
            <w:tr w14:paraId="3FA7C3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01" w:type="pct"/>
                  <w:vMerge w:val="continue"/>
                  <w:tcBorders>
                    <w:tl2br w:val="nil"/>
                    <w:tr2bl w:val="nil"/>
                  </w:tcBorders>
                  <w:vAlign w:val="center"/>
                </w:tcPr>
                <w:p w14:paraId="5CEFD292">
                  <w:pPr>
                    <w:adjustRightInd w:val="0"/>
                    <w:snapToGrid w:val="0"/>
                    <w:jc w:val="center"/>
                    <w:rPr>
                      <w:color w:val="auto"/>
                      <w:szCs w:val="21"/>
                    </w:rPr>
                  </w:pPr>
                </w:p>
              </w:tc>
              <w:tc>
                <w:tcPr>
                  <w:tcW w:w="905" w:type="pct"/>
                  <w:vMerge w:val="continue"/>
                  <w:tcBorders>
                    <w:tl2br w:val="nil"/>
                    <w:tr2bl w:val="nil"/>
                  </w:tcBorders>
                  <w:vAlign w:val="center"/>
                </w:tcPr>
                <w:p w14:paraId="413A8DAD">
                  <w:pPr>
                    <w:adjustRightInd w:val="0"/>
                    <w:snapToGrid w:val="0"/>
                    <w:jc w:val="center"/>
                    <w:rPr>
                      <w:color w:val="auto"/>
                      <w:szCs w:val="21"/>
                    </w:rPr>
                  </w:pPr>
                </w:p>
              </w:tc>
              <w:tc>
                <w:tcPr>
                  <w:tcW w:w="915" w:type="pct"/>
                  <w:tcBorders>
                    <w:tl2br w:val="nil"/>
                    <w:tr2bl w:val="nil"/>
                  </w:tcBorders>
                  <w:vAlign w:val="center"/>
                </w:tcPr>
                <w:p w14:paraId="49D87CB6">
                  <w:pPr>
                    <w:adjustRightInd w:val="0"/>
                    <w:snapToGrid w:val="0"/>
                    <w:jc w:val="center"/>
                    <w:rPr>
                      <w:color w:val="auto"/>
                      <w:szCs w:val="21"/>
                    </w:rPr>
                  </w:pPr>
                  <w:r>
                    <w:rPr>
                      <w:color w:val="auto"/>
                      <w:szCs w:val="21"/>
                    </w:rPr>
                    <w:t>排气筒高度（m）</w:t>
                  </w:r>
                </w:p>
              </w:tc>
              <w:tc>
                <w:tcPr>
                  <w:tcW w:w="704" w:type="pct"/>
                  <w:tcBorders>
                    <w:tl2br w:val="nil"/>
                    <w:tr2bl w:val="nil"/>
                  </w:tcBorders>
                  <w:vAlign w:val="center"/>
                </w:tcPr>
                <w:p w14:paraId="07869573">
                  <w:pPr>
                    <w:adjustRightInd w:val="0"/>
                    <w:snapToGrid w:val="0"/>
                    <w:jc w:val="center"/>
                    <w:rPr>
                      <w:color w:val="auto"/>
                      <w:szCs w:val="21"/>
                    </w:rPr>
                  </w:pPr>
                  <w:r>
                    <w:rPr>
                      <w:color w:val="auto"/>
                      <w:szCs w:val="21"/>
                    </w:rPr>
                    <w:t>二级（kg/h）</w:t>
                  </w:r>
                </w:p>
              </w:tc>
              <w:tc>
                <w:tcPr>
                  <w:tcW w:w="1012" w:type="pct"/>
                  <w:tcBorders>
                    <w:tl2br w:val="nil"/>
                    <w:tr2bl w:val="nil"/>
                  </w:tcBorders>
                  <w:vAlign w:val="center"/>
                </w:tcPr>
                <w:p w14:paraId="221CD49E">
                  <w:pPr>
                    <w:adjustRightInd w:val="0"/>
                    <w:snapToGrid w:val="0"/>
                    <w:jc w:val="center"/>
                    <w:rPr>
                      <w:color w:val="auto"/>
                      <w:szCs w:val="21"/>
                    </w:rPr>
                  </w:pPr>
                  <w:r>
                    <w:rPr>
                      <w:color w:val="auto"/>
                      <w:szCs w:val="21"/>
                    </w:rPr>
                    <w:t>监控点</w:t>
                  </w:r>
                </w:p>
              </w:tc>
              <w:tc>
                <w:tcPr>
                  <w:tcW w:w="760" w:type="pct"/>
                  <w:tcBorders>
                    <w:tl2br w:val="nil"/>
                    <w:tr2bl w:val="nil"/>
                  </w:tcBorders>
                  <w:vAlign w:val="center"/>
                </w:tcPr>
                <w:p w14:paraId="18504BDF">
                  <w:pPr>
                    <w:adjustRightInd w:val="0"/>
                    <w:snapToGrid w:val="0"/>
                    <w:jc w:val="center"/>
                    <w:rPr>
                      <w:color w:val="auto"/>
                      <w:szCs w:val="21"/>
                    </w:rPr>
                  </w:pPr>
                  <w:r>
                    <w:rPr>
                      <w:color w:val="auto"/>
                      <w:szCs w:val="21"/>
                    </w:rPr>
                    <w:t>浓度（mg/m</w:t>
                  </w:r>
                  <w:r>
                    <w:rPr>
                      <w:color w:val="auto"/>
                      <w:szCs w:val="21"/>
                      <w:vertAlign w:val="superscript"/>
                    </w:rPr>
                    <w:t>3</w:t>
                  </w:r>
                  <w:r>
                    <w:rPr>
                      <w:color w:val="auto"/>
                      <w:szCs w:val="21"/>
                    </w:rPr>
                    <w:t>）</w:t>
                  </w:r>
                </w:p>
              </w:tc>
            </w:tr>
            <w:tr w14:paraId="2E3735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1" w:type="pct"/>
                  <w:tcBorders>
                    <w:tl2br w:val="nil"/>
                    <w:tr2bl w:val="nil"/>
                  </w:tcBorders>
                  <w:vAlign w:val="center"/>
                </w:tcPr>
                <w:p w14:paraId="483DCA99">
                  <w:pPr>
                    <w:adjustRightInd w:val="0"/>
                    <w:snapToGrid w:val="0"/>
                    <w:jc w:val="center"/>
                    <w:rPr>
                      <w:color w:val="auto"/>
                      <w:szCs w:val="21"/>
                    </w:rPr>
                  </w:pPr>
                  <w:r>
                    <w:rPr>
                      <w:color w:val="auto"/>
                      <w:szCs w:val="21"/>
                    </w:rPr>
                    <w:t>颗粒物</w:t>
                  </w:r>
                </w:p>
              </w:tc>
              <w:tc>
                <w:tcPr>
                  <w:tcW w:w="905" w:type="pct"/>
                  <w:tcBorders>
                    <w:tl2br w:val="nil"/>
                    <w:tr2bl w:val="nil"/>
                  </w:tcBorders>
                  <w:vAlign w:val="center"/>
                </w:tcPr>
                <w:p w14:paraId="77C9A5CC">
                  <w:pPr>
                    <w:adjustRightInd w:val="0"/>
                    <w:snapToGrid w:val="0"/>
                    <w:jc w:val="center"/>
                    <w:rPr>
                      <w:color w:val="auto"/>
                      <w:szCs w:val="21"/>
                    </w:rPr>
                  </w:pPr>
                  <w:r>
                    <w:rPr>
                      <w:color w:val="auto"/>
                      <w:szCs w:val="21"/>
                    </w:rPr>
                    <w:t>120（其他）</w:t>
                  </w:r>
                </w:p>
              </w:tc>
              <w:tc>
                <w:tcPr>
                  <w:tcW w:w="915" w:type="pct"/>
                  <w:tcBorders>
                    <w:tl2br w:val="nil"/>
                    <w:tr2bl w:val="nil"/>
                  </w:tcBorders>
                  <w:vAlign w:val="center"/>
                </w:tcPr>
                <w:p w14:paraId="1E766196">
                  <w:pPr>
                    <w:adjustRightInd w:val="0"/>
                    <w:snapToGrid w:val="0"/>
                    <w:jc w:val="center"/>
                    <w:rPr>
                      <w:color w:val="auto"/>
                      <w:szCs w:val="21"/>
                    </w:rPr>
                  </w:pPr>
                  <w:r>
                    <w:rPr>
                      <w:color w:val="auto"/>
                      <w:szCs w:val="21"/>
                    </w:rPr>
                    <w:t>15</w:t>
                  </w:r>
                </w:p>
              </w:tc>
              <w:tc>
                <w:tcPr>
                  <w:tcW w:w="704" w:type="pct"/>
                  <w:tcBorders>
                    <w:tl2br w:val="nil"/>
                    <w:tr2bl w:val="nil"/>
                  </w:tcBorders>
                  <w:vAlign w:val="center"/>
                </w:tcPr>
                <w:p w14:paraId="403B9A93">
                  <w:pPr>
                    <w:adjustRightInd w:val="0"/>
                    <w:snapToGrid w:val="0"/>
                    <w:jc w:val="center"/>
                    <w:rPr>
                      <w:color w:val="auto"/>
                      <w:szCs w:val="21"/>
                    </w:rPr>
                  </w:pPr>
                  <w:r>
                    <w:rPr>
                      <w:color w:val="auto"/>
                      <w:szCs w:val="21"/>
                    </w:rPr>
                    <w:t>3.5</w:t>
                  </w:r>
                </w:p>
              </w:tc>
              <w:tc>
                <w:tcPr>
                  <w:tcW w:w="1012" w:type="pct"/>
                  <w:tcBorders>
                    <w:tl2br w:val="nil"/>
                    <w:tr2bl w:val="nil"/>
                  </w:tcBorders>
                  <w:vAlign w:val="center"/>
                </w:tcPr>
                <w:p w14:paraId="066BAF78">
                  <w:pPr>
                    <w:adjustRightInd w:val="0"/>
                    <w:snapToGrid w:val="0"/>
                    <w:jc w:val="center"/>
                    <w:rPr>
                      <w:color w:val="auto"/>
                      <w:szCs w:val="21"/>
                    </w:rPr>
                  </w:pPr>
                  <w:r>
                    <w:rPr>
                      <w:color w:val="auto"/>
                      <w:szCs w:val="21"/>
                    </w:rPr>
                    <w:t>周界外浓度最高点</w:t>
                  </w:r>
                </w:p>
              </w:tc>
              <w:tc>
                <w:tcPr>
                  <w:tcW w:w="760" w:type="pct"/>
                  <w:tcBorders>
                    <w:tl2br w:val="nil"/>
                    <w:tr2bl w:val="nil"/>
                  </w:tcBorders>
                  <w:vAlign w:val="center"/>
                </w:tcPr>
                <w:p w14:paraId="01EB73BA">
                  <w:pPr>
                    <w:adjustRightInd w:val="0"/>
                    <w:snapToGrid w:val="0"/>
                    <w:jc w:val="center"/>
                    <w:rPr>
                      <w:color w:val="auto"/>
                      <w:szCs w:val="21"/>
                    </w:rPr>
                  </w:pPr>
                  <w:r>
                    <w:rPr>
                      <w:color w:val="auto"/>
                      <w:szCs w:val="21"/>
                    </w:rPr>
                    <w:t>1.0</w:t>
                  </w:r>
                </w:p>
              </w:tc>
            </w:tr>
          </w:tbl>
          <w:p w14:paraId="0BC88FA2">
            <w:pPr>
              <w:adjustRightInd w:val="0"/>
              <w:snapToGrid w:val="0"/>
              <w:spacing w:line="500" w:lineRule="exact"/>
              <w:ind w:firstLine="482" w:firstLineChars="200"/>
              <w:textAlignment w:val="center"/>
              <w:rPr>
                <w:b/>
                <w:bCs/>
                <w:color w:val="auto"/>
                <w:sz w:val="24"/>
              </w:rPr>
            </w:pPr>
            <w:r>
              <w:rPr>
                <w:b/>
                <w:bCs/>
                <w:color w:val="auto"/>
                <w:sz w:val="24"/>
              </w:rPr>
              <w:t>2、噪声</w:t>
            </w:r>
          </w:p>
          <w:p w14:paraId="7071460F">
            <w:pPr>
              <w:adjustRightInd w:val="0"/>
              <w:snapToGrid w:val="0"/>
              <w:spacing w:line="360" w:lineRule="auto"/>
              <w:ind w:firstLine="480" w:firstLineChars="200"/>
              <w:rPr>
                <w:color w:val="auto"/>
                <w:sz w:val="24"/>
              </w:rPr>
            </w:pPr>
            <w:bookmarkStart w:id="8" w:name="OLE_LINK65"/>
            <w:r>
              <w:rPr>
                <w:color w:val="auto"/>
                <w:sz w:val="24"/>
              </w:rPr>
              <w:t>本项目施工期场界噪声执行</w:t>
            </w:r>
            <w:r>
              <w:rPr>
                <w:rFonts w:hint="eastAsia"/>
                <w:color w:val="auto"/>
                <w:sz w:val="24"/>
              </w:rPr>
              <w:t>《建筑施工噪声排放标准》（GB12523-2025）</w:t>
            </w:r>
            <w:r>
              <w:rPr>
                <w:color w:val="auto"/>
                <w:sz w:val="24"/>
              </w:rPr>
              <w:t>，等效声级LeqdB（A），昼间70dB（A），夜间55dB（A）。</w:t>
            </w:r>
          </w:p>
          <w:bookmarkEnd w:id="8"/>
          <w:p w14:paraId="09920D4D">
            <w:pPr>
              <w:adjustRightInd w:val="0"/>
              <w:snapToGrid w:val="0"/>
              <w:spacing w:line="360" w:lineRule="auto"/>
              <w:ind w:firstLine="480"/>
              <w:rPr>
                <w:b/>
                <w:bCs/>
                <w:color w:val="auto"/>
                <w:szCs w:val="21"/>
              </w:rPr>
            </w:pPr>
            <w:r>
              <w:rPr>
                <w:color w:val="auto"/>
                <w:sz w:val="24"/>
              </w:rPr>
              <w:t>运营期厂界满足</w:t>
            </w:r>
            <w:r>
              <w:rPr>
                <w:rFonts w:hint="eastAsia"/>
                <w:color w:val="auto"/>
                <w:sz w:val="24"/>
              </w:rPr>
              <w:t>《工业企业厂界环境噪声排放标准》（GB12348-2008）中2类</w:t>
            </w:r>
            <w:r>
              <w:rPr>
                <w:color w:val="auto"/>
                <w:sz w:val="24"/>
              </w:rPr>
              <w:t>标准限值要求，标准值见下表。</w:t>
            </w:r>
            <w:bookmarkStart w:id="9" w:name="_Ref340733959"/>
            <w:bookmarkStart w:id="10" w:name="_Toc111800828"/>
          </w:p>
          <w:p w14:paraId="20990394">
            <w:pPr>
              <w:adjustRightInd w:val="0"/>
              <w:snapToGrid w:val="0"/>
              <w:spacing w:line="360" w:lineRule="auto"/>
              <w:jc w:val="center"/>
              <w:rPr>
                <w:b/>
                <w:bCs/>
                <w:color w:val="auto"/>
                <w:szCs w:val="21"/>
              </w:rPr>
            </w:pPr>
            <w:r>
              <w:rPr>
                <w:b/>
                <w:bCs/>
                <w:color w:val="auto"/>
                <w:szCs w:val="21"/>
              </w:rPr>
              <w:t>表</w:t>
            </w:r>
            <w:bookmarkEnd w:id="9"/>
            <w:r>
              <w:rPr>
                <w:b/>
                <w:bCs/>
                <w:color w:val="auto"/>
                <w:szCs w:val="21"/>
              </w:rPr>
              <w:t>3-10《工业企业厂界环境噪声排放标准》（GB12348-2008）</w:t>
            </w:r>
            <w:bookmarkEnd w:id="10"/>
          </w:p>
          <w:tbl>
            <w:tblPr>
              <w:tblStyle w:val="35"/>
              <w:tblW w:w="7919"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992"/>
              <w:gridCol w:w="1921"/>
              <w:gridCol w:w="3006"/>
            </w:tblGrid>
            <w:tr w14:paraId="3410597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2992" w:type="dxa"/>
                  <w:vAlign w:val="center"/>
                </w:tcPr>
                <w:p w14:paraId="1C9146D4">
                  <w:pPr>
                    <w:jc w:val="center"/>
                    <w:rPr>
                      <w:color w:val="auto"/>
                      <w:szCs w:val="21"/>
                    </w:rPr>
                  </w:pPr>
                  <w:r>
                    <w:rPr>
                      <w:color w:val="auto"/>
                      <w:szCs w:val="21"/>
                    </w:rPr>
                    <w:t>项目</w:t>
                  </w:r>
                </w:p>
              </w:tc>
              <w:tc>
                <w:tcPr>
                  <w:tcW w:w="1921" w:type="dxa"/>
                  <w:vAlign w:val="center"/>
                </w:tcPr>
                <w:p w14:paraId="240E515C">
                  <w:pPr>
                    <w:jc w:val="center"/>
                    <w:rPr>
                      <w:color w:val="auto"/>
                      <w:szCs w:val="21"/>
                    </w:rPr>
                  </w:pPr>
                  <w:r>
                    <w:rPr>
                      <w:color w:val="auto"/>
                      <w:szCs w:val="21"/>
                    </w:rPr>
                    <w:t>昼间</w:t>
                  </w:r>
                </w:p>
              </w:tc>
              <w:tc>
                <w:tcPr>
                  <w:tcW w:w="3006" w:type="dxa"/>
                  <w:vAlign w:val="center"/>
                </w:tcPr>
                <w:p w14:paraId="5C4DFA16">
                  <w:pPr>
                    <w:jc w:val="center"/>
                    <w:rPr>
                      <w:color w:val="auto"/>
                      <w:szCs w:val="21"/>
                    </w:rPr>
                  </w:pPr>
                  <w:r>
                    <w:rPr>
                      <w:color w:val="auto"/>
                      <w:szCs w:val="21"/>
                    </w:rPr>
                    <w:t>夜间</w:t>
                  </w:r>
                </w:p>
              </w:tc>
            </w:tr>
            <w:tr w14:paraId="246EAC8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35" w:hRule="atLeast"/>
                <w:jc w:val="center"/>
              </w:trPr>
              <w:tc>
                <w:tcPr>
                  <w:tcW w:w="2992" w:type="dxa"/>
                  <w:vAlign w:val="center"/>
                </w:tcPr>
                <w:p w14:paraId="449896F5">
                  <w:pPr>
                    <w:jc w:val="center"/>
                    <w:rPr>
                      <w:color w:val="auto"/>
                      <w:szCs w:val="21"/>
                    </w:rPr>
                  </w:pPr>
                  <w:r>
                    <w:rPr>
                      <w:rFonts w:hint="eastAsia"/>
                      <w:color w:val="auto"/>
                      <w:szCs w:val="21"/>
                    </w:rPr>
                    <w:t>2</w:t>
                  </w:r>
                  <w:r>
                    <w:rPr>
                      <w:color w:val="auto"/>
                      <w:szCs w:val="21"/>
                    </w:rPr>
                    <w:t>类标准</w:t>
                  </w:r>
                </w:p>
              </w:tc>
              <w:tc>
                <w:tcPr>
                  <w:tcW w:w="1921" w:type="dxa"/>
                  <w:vAlign w:val="center"/>
                </w:tcPr>
                <w:p w14:paraId="50DDF8A8">
                  <w:pPr>
                    <w:jc w:val="center"/>
                    <w:rPr>
                      <w:color w:val="auto"/>
                      <w:szCs w:val="21"/>
                    </w:rPr>
                  </w:pPr>
                  <w:r>
                    <w:rPr>
                      <w:rFonts w:hint="eastAsia"/>
                      <w:color w:val="auto"/>
                      <w:szCs w:val="21"/>
                    </w:rPr>
                    <w:t>60</w:t>
                  </w:r>
                </w:p>
              </w:tc>
              <w:tc>
                <w:tcPr>
                  <w:tcW w:w="3006" w:type="dxa"/>
                  <w:vAlign w:val="center"/>
                </w:tcPr>
                <w:p w14:paraId="4933BA52">
                  <w:pPr>
                    <w:jc w:val="center"/>
                    <w:rPr>
                      <w:color w:val="auto"/>
                      <w:szCs w:val="21"/>
                    </w:rPr>
                  </w:pPr>
                  <w:r>
                    <w:rPr>
                      <w:rFonts w:hint="eastAsia"/>
                      <w:color w:val="auto"/>
                      <w:szCs w:val="21"/>
                    </w:rPr>
                    <w:t>50</w:t>
                  </w:r>
                </w:p>
              </w:tc>
            </w:tr>
          </w:tbl>
          <w:p w14:paraId="5977FB92">
            <w:pPr>
              <w:adjustRightInd w:val="0"/>
              <w:snapToGrid w:val="0"/>
              <w:spacing w:line="360" w:lineRule="auto"/>
              <w:ind w:firstLine="482" w:firstLineChars="200"/>
              <w:rPr>
                <w:b/>
                <w:bCs/>
                <w:color w:val="auto"/>
                <w:sz w:val="24"/>
              </w:rPr>
            </w:pPr>
            <w:r>
              <w:rPr>
                <w:b/>
                <w:bCs/>
                <w:color w:val="auto"/>
                <w:sz w:val="24"/>
              </w:rPr>
              <w:t>3、固体废物</w:t>
            </w:r>
          </w:p>
          <w:p w14:paraId="0C65950C">
            <w:pPr>
              <w:adjustRightInd w:val="0"/>
              <w:snapToGrid w:val="0"/>
              <w:spacing w:line="360" w:lineRule="auto"/>
              <w:ind w:firstLine="480" w:firstLineChars="200"/>
              <w:rPr>
                <w:color w:val="auto"/>
                <w:kern w:val="0"/>
                <w:szCs w:val="21"/>
              </w:rPr>
            </w:pPr>
            <w:r>
              <w:rPr>
                <w:rFonts w:hint="eastAsia"/>
                <w:color w:val="auto"/>
                <w:sz w:val="24"/>
              </w:rPr>
              <w:t>《一般工业固体废物贮存和填埋污染控制标准》(GB18599-2020)</w:t>
            </w:r>
            <w:r>
              <w:rPr>
                <w:color w:val="auto"/>
                <w:sz w:val="24"/>
              </w:rPr>
              <w:t>及满足相应防渗漏、防雨淋、防扬尘等环境保护要求</w:t>
            </w:r>
            <w:r>
              <w:rPr>
                <w:rFonts w:hint="eastAsia"/>
                <w:color w:val="auto"/>
                <w:sz w:val="24"/>
              </w:rPr>
              <w:t>。</w:t>
            </w:r>
          </w:p>
        </w:tc>
      </w:tr>
      <w:tr w14:paraId="057D6A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35" w:hRule="atLeast"/>
          <w:jc w:val="center"/>
        </w:trPr>
        <w:tc>
          <w:tcPr>
            <w:tcW w:w="824" w:type="dxa"/>
            <w:tcBorders>
              <w:tl2br w:val="nil"/>
              <w:tr2bl w:val="nil"/>
            </w:tcBorders>
            <w:vAlign w:val="center"/>
          </w:tcPr>
          <w:p w14:paraId="17C751B3">
            <w:pPr>
              <w:adjustRightInd w:val="0"/>
              <w:snapToGrid w:val="0"/>
              <w:jc w:val="center"/>
              <w:rPr>
                <w:color w:val="auto"/>
                <w:kern w:val="0"/>
                <w:szCs w:val="21"/>
              </w:rPr>
            </w:pPr>
            <w:r>
              <w:rPr>
                <w:color w:val="auto"/>
                <w:kern w:val="0"/>
                <w:szCs w:val="21"/>
              </w:rPr>
              <w:t>总量</w:t>
            </w:r>
          </w:p>
          <w:p w14:paraId="7088EF61">
            <w:pPr>
              <w:adjustRightInd w:val="0"/>
              <w:snapToGrid w:val="0"/>
              <w:jc w:val="center"/>
              <w:rPr>
                <w:color w:val="auto"/>
                <w:kern w:val="0"/>
                <w:szCs w:val="21"/>
              </w:rPr>
            </w:pPr>
            <w:r>
              <w:rPr>
                <w:color w:val="auto"/>
                <w:kern w:val="0"/>
                <w:szCs w:val="21"/>
              </w:rPr>
              <w:t>控制</w:t>
            </w:r>
          </w:p>
          <w:p w14:paraId="1FA86330">
            <w:pPr>
              <w:adjustRightInd w:val="0"/>
              <w:snapToGrid w:val="0"/>
              <w:jc w:val="center"/>
              <w:rPr>
                <w:color w:val="auto"/>
                <w:kern w:val="0"/>
                <w:szCs w:val="21"/>
              </w:rPr>
            </w:pPr>
            <w:r>
              <w:rPr>
                <w:color w:val="auto"/>
                <w:kern w:val="0"/>
                <w:szCs w:val="21"/>
              </w:rPr>
              <w:t>指标</w:t>
            </w:r>
          </w:p>
        </w:tc>
        <w:tc>
          <w:tcPr>
            <w:tcW w:w="8233" w:type="dxa"/>
            <w:tcBorders>
              <w:tl2br w:val="nil"/>
              <w:tr2bl w:val="nil"/>
            </w:tcBorders>
            <w:vAlign w:val="center"/>
          </w:tcPr>
          <w:p w14:paraId="397AAFCB">
            <w:pPr>
              <w:spacing w:line="360" w:lineRule="auto"/>
              <w:ind w:firstLine="480" w:firstLineChars="200"/>
              <w:rPr>
                <w:color w:val="auto"/>
                <w:sz w:val="24"/>
              </w:rPr>
            </w:pPr>
            <w:r>
              <w:rPr>
                <w:color w:val="auto"/>
                <w:sz w:val="24"/>
              </w:rPr>
              <w:t>本项目污染物排放总量如下表所示。</w:t>
            </w:r>
          </w:p>
          <w:p w14:paraId="03068776">
            <w:pPr>
              <w:adjustRightInd w:val="0"/>
              <w:snapToGrid w:val="0"/>
              <w:spacing w:line="360" w:lineRule="auto"/>
              <w:jc w:val="center"/>
              <w:rPr>
                <w:color w:val="auto"/>
                <w:kern w:val="0"/>
                <w:szCs w:val="21"/>
              </w:rPr>
            </w:pPr>
            <w:r>
              <w:rPr>
                <w:b/>
                <w:bCs/>
                <w:color w:val="auto"/>
                <w:kern w:val="0"/>
                <w:szCs w:val="21"/>
              </w:rPr>
              <w:t xml:space="preserve">表3-11 本项目总量控制指标表 单位：t/a </w:t>
            </w:r>
          </w:p>
          <w:tbl>
            <w:tblPr>
              <w:tblStyle w:val="35"/>
              <w:tblW w:w="458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3010"/>
              <w:gridCol w:w="3207"/>
            </w:tblGrid>
            <w:tr w14:paraId="765ED9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774" w:type="pct"/>
                  <w:tcBorders>
                    <w:tl2br w:val="nil"/>
                    <w:tr2bl w:val="nil"/>
                  </w:tcBorders>
                  <w:vAlign w:val="center"/>
                </w:tcPr>
                <w:p w14:paraId="7F8DFCE9">
                  <w:pPr>
                    <w:adjustRightInd w:val="0"/>
                    <w:snapToGrid w:val="0"/>
                    <w:jc w:val="center"/>
                    <w:rPr>
                      <w:color w:val="auto"/>
                      <w:szCs w:val="21"/>
                    </w:rPr>
                  </w:pPr>
                  <w:r>
                    <w:rPr>
                      <w:color w:val="auto"/>
                      <w:szCs w:val="21"/>
                    </w:rPr>
                    <w:t>项目</w:t>
                  </w:r>
                </w:p>
              </w:tc>
              <w:tc>
                <w:tcPr>
                  <w:tcW w:w="2045" w:type="pct"/>
                  <w:tcBorders>
                    <w:tl2br w:val="nil"/>
                    <w:tr2bl w:val="nil"/>
                  </w:tcBorders>
                  <w:vAlign w:val="center"/>
                </w:tcPr>
                <w:p w14:paraId="019299C9">
                  <w:pPr>
                    <w:adjustRightInd w:val="0"/>
                    <w:snapToGrid w:val="0"/>
                    <w:jc w:val="center"/>
                    <w:rPr>
                      <w:color w:val="auto"/>
                      <w:szCs w:val="21"/>
                    </w:rPr>
                  </w:pPr>
                  <w:r>
                    <w:rPr>
                      <w:color w:val="auto"/>
                      <w:szCs w:val="21"/>
                    </w:rPr>
                    <w:t>污染物名称</w:t>
                  </w:r>
                </w:p>
              </w:tc>
              <w:tc>
                <w:tcPr>
                  <w:tcW w:w="2179" w:type="pct"/>
                  <w:tcBorders>
                    <w:tl2br w:val="nil"/>
                    <w:tr2bl w:val="nil"/>
                  </w:tcBorders>
                  <w:vAlign w:val="center"/>
                </w:tcPr>
                <w:p w14:paraId="1EA806FC">
                  <w:pPr>
                    <w:adjustRightInd w:val="0"/>
                    <w:snapToGrid w:val="0"/>
                    <w:jc w:val="center"/>
                    <w:rPr>
                      <w:color w:val="auto"/>
                      <w:szCs w:val="21"/>
                    </w:rPr>
                  </w:pPr>
                  <w:r>
                    <w:rPr>
                      <w:color w:val="auto"/>
                      <w:szCs w:val="21"/>
                    </w:rPr>
                    <w:t>预测排放量（t/a）</w:t>
                  </w:r>
                </w:p>
              </w:tc>
            </w:tr>
            <w:tr w14:paraId="6A6FFB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74" w:type="pct"/>
                  <w:vMerge w:val="restart"/>
                  <w:tcBorders>
                    <w:tl2br w:val="nil"/>
                    <w:tr2bl w:val="nil"/>
                  </w:tcBorders>
                  <w:vAlign w:val="center"/>
                </w:tcPr>
                <w:p w14:paraId="111A8FDD">
                  <w:pPr>
                    <w:adjustRightInd w:val="0"/>
                    <w:snapToGrid w:val="0"/>
                    <w:jc w:val="center"/>
                    <w:rPr>
                      <w:color w:val="auto"/>
                      <w:szCs w:val="21"/>
                    </w:rPr>
                  </w:pPr>
                  <w:r>
                    <w:rPr>
                      <w:color w:val="auto"/>
                      <w:szCs w:val="21"/>
                    </w:rPr>
                    <w:t>废气</w:t>
                  </w:r>
                </w:p>
              </w:tc>
              <w:tc>
                <w:tcPr>
                  <w:tcW w:w="2045" w:type="pct"/>
                  <w:tcBorders>
                    <w:tl2br w:val="nil"/>
                    <w:tr2bl w:val="nil"/>
                  </w:tcBorders>
                  <w:vAlign w:val="center"/>
                </w:tcPr>
                <w:p w14:paraId="59D4371F">
                  <w:pPr>
                    <w:adjustRightInd w:val="0"/>
                    <w:snapToGrid w:val="0"/>
                    <w:jc w:val="center"/>
                    <w:rPr>
                      <w:color w:val="auto"/>
                      <w:szCs w:val="21"/>
                    </w:rPr>
                  </w:pPr>
                  <w:r>
                    <w:rPr>
                      <w:rFonts w:hint="eastAsia"/>
                      <w:color w:val="auto"/>
                      <w:szCs w:val="21"/>
                    </w:rPr>
                    <w:t>颗粒物</w:t>
                  </w:r>
                </w:p>
              </w:tc>
              <w:tc>
                <w:tcPr>
                  <w:tcW w:w="2179" w:type="pct"/>
                  <w:tcBorders>
                    <w:tl2br w:val="nil"/>
                    <w:tr2bl w:val="nil"/>
                  </w:tcBorders>
                  <w:vAlign w:val="center"/>
                </w:tcPr>
                <w:p w14:paraId="37F90106">
                  <w:pPr>
                    <w:pStyle w:val="59"/>
                    <w:adjustRightInd w:val="0"/>
                    <w:snapToGrid w:val="0"/>
                    <w:rPr>
                      <w:color w:val="auto"/>
                      <w:szCs w:val="21"/>
                    </w:rPr>
                  </w:pPr>
                  <w:r>
                    <w:rPr>
                      <w:rFonts w:hint="eastAsia"/>
                      <w:snapToGrid w:val="0"/>
                      <w:color w:val="auto"/>
                      <w:kern w:val="21"/>
                      <w:szCs w:val="21"/>
                      <w:lang w:eastAsia="zh-CN"/>
                    </w:rPr>
                    <w:t>1.717</w:t>
                  </w:r>
                </w:p>
              </w:tc>
            </w:tr>
            <w:tr w14:paraId="6772F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74" w:type="pct"/>
                  <w:vMerge w:val="continue"/>
                  <w:tcBorders>
                    <w:tl2br w:val="nil"/>
                    <w:tr2bl w:val="nil"/>
                  </w:tcBorders>
                  <w:vAlign w:val="center"/>
                </w:tcPr>
                <w:p w14:paraId="08D68C86">
                  <w:pPr>
                    <w:adjustRightInd w:val="0"/>
                    <w:snapToGrid w:val="0"/>
                    <w:jc w:val="center"/>
                    <w:rPr>
                      <w:color w:val="auto"/>
                      <w:szCs w:val="21"/>
                    </w:rPr>
                  </w:pPr>
                </w:p>
              </w:tc>
              <w:tc>
                <w:tcPr>
                  <w:tcW w:w="2045" w:type="pct"/>
                  <w:tcBorders>
                    <w:tl2br w:val="nil"/>
                    <w:tr2bl w:val="nil"/>
                  </w:tcBorders>
                  <w:vAlign w:val="center"/>
                </w:tcPr>
                <w:p w14:paraId="6FFEFE08">
                  <w:pPr>
                    <w:adjustRightInd w:val="0"/>
                    <w:snapToGrid w:val="0"/>
                    <w:jc w:val="center"/>
                    <w:rPr>
                      <w:color w:val="auto"/>
                      <w:szCs w:val="21"/>
                    </w:rPr>
                  </w:pPr>
                  <w:r>
                    <w:rPr>
                      <w:color w:val="auto"/>
                      <w:szCs w:val="21"/>
                    </w:rPr>
                    <w:t>SO</w:t>
                  </w:r>
                  <w:r>
                    <w:rPr>
                      <w:color w:val="auto"/>
                      <w:szCs w:val="21"/>
                      <w:vertAlign w:val="subscript"/>
                    </w:rPr>
                    <w:t>2</w:t>
                  </w:r>
                </w:p>
              </w:tc>
              <w:tc>
                <w:tcPr>
                  <w:tcW w:w="2179" w:type="pct"/>
                  <w:tcBorders>
                    <w:tl2br w:val="nil"/>
                    <w:tr2bl w:val="nil"/>
                  </w:tcBorders>
                  <w:vAlign w:val="center"/>
                </w:tcPr>
                <w:p w14:paraId="065CF73D">
                  <w:pPr>
                    <w:pStyle w:val="59"/>
                    <w:adjustRightInd w:val="0"/>
                    <w:snapToGrid w:val="0"/>
                    <w:rPr>
                      <w:rFonts w:hint="eastAsia" w:eastAsia="宋体"/>
                      <w:color w:val="auto"/>
                      <w:szCs w:val="21"/>
                      <w:lang w:eastAsia="zh-CN"/>
                    </w:rPr>
                  </w:pPr>
                  <w:r>
                    <w:rPr>
                      <w:rFonts w:hint="eastAsia"/>
                      <w:snapToGrid w:val="0"/>
                      <w:color w:val="auto"/>
                      <w:kern w:val="21"/>
                      <w:szCs w:val="21"/>
                      <w:lang w:eastAsia="zh-CN"/>
                    </w:rPr>
                    <w:t>1.30</w:t>
                  </w:r>
                </w:p>
              </w:tc>
            </w:tr>
            <w:tr w14:paraId="505AB2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74" w:type="pct"/>
                  <w:vMerge w:val="continue"/>
                  <w:tcBorders>
                    <w:tl2br w:val="nil"/>
                    <w:tr2bl w:val="nil"/>
                  </w:tcBorders>
                  <w:vAlign w:val="center"/>
                </w:tcPr>
                <w:p w14:paraId="5729F24D">
                  <w:pPr>
                    <w:adjustRightInd w:val="0"/>
                    <w:snapToGrid w:val="0"/>
                    <w:jc w:val="center"/>
                    <w:rPr>
                      <w:color w:val="auto"/>
                      <w:szCs w:val="21"/>
                    </w:rPr>
                  </w:pPr>
                </w:p>
              </w:tc>
              <w:tc>
                <w:tcPr>
                  <w:tcW w:w="2045" w:type="pct"/>
                  <w:tcBorders>
                    <w:tl2br w:val="nil"/>
                    <w:tr2bl w:val="nil"/>
                  </w:tcBorders>
                  <w:vAlign w:val="center"/>
                </w:tcPr>
                <w:p w14:paraId="7D6CE1A1">
                  <w:pPr>
                    <w:adjustRightInd w:val="0"/>
                    <w:snapToGrid w:val="0"/>
                    <w:jc w:val="center"/>
                    <w:rPr>
                      <w:color w:val="auto"/>
                      <w:szCs w:val="21"/>
                    </w:rPr>
                  </w:pPr>
                  <w:r>
                    <w:rPr>
                      <w:color w:val="auto"/>
                      <w:szCs w:val="21"/>
                    </w:rPr>
                    <w:t>NO</w:t>
                  </w:r>
                  <w:r>
                    <w:rPr>
                      <w:color w:val="auto"/>
                      <w:szCs w:val="21"/>
                      <w:vertAlign w:val="subscript"/>
                    </w:rPr>
                    <w:t>X</w:t>
                  </w:r>
                </w:p>
              </w:tc>
              <w:tc>
                <w:tcPr>
                  <w:tcW w:w="2179" w:type="pct"/>
                  <w:tcBorders>
                    <w:tl2br w:val="nil"/>
                    <w:tr2bl w:val="nil"/>
                  </w:tcBorders>
                  <w:vAlign w:val="center"/>
                </w:tcPr>
                <w:p w14:paraId="734B1366">
                  <w:pPr>
                    <w:pStyle w:val="59"/>
                    <w:adjustRightInd w:val="0"/>
                    <w:snapToGrid w:val="0"/>
                    <w:rPr>
                      <w:rFonts w:hint="eastAsia" w:eastAsia="宋体"/>
                      <w:color w:val="auto"/>
                      <w:szCs w:val="21"/>
                      <w:lang w:eastAsia="zh-CN"/>
                    </w:rPr>
                  </w:pPr>
                  <w:r>
                    <w:rPr>
                      <w:rFonts w:hint="eastAsia"/>
                      <w:snapToGrid w:val="0"/>
                      <w:color w:val="auto"/>
                      <w:kern w:val="21"/>
                      <w:szCs w:val="21"/>
                      <w:lang w:eastAsia="zh-CN"/>
                    </w:rPr>
                    <w:t>1.55</w:t>
                  </w:r>
                </w:p>
              </w:tc>
            </w:tr>
          </w:tbl>
          <w:p w14:paraId="1817E3BB">
            <w:pPr>
              <w:pStyle w:val="19"/>
              <w:rPr>
                <w:rFonts w:ascii="Times New Roman" w:hAnsi="Times New Roman"/>
                <w:color w:val="auto"/>
                <w:kern w:val="0"/>
              </w:rPr>
            </w:pPr>
            <w:r>
              <w:rPr>
                <w:rFonts w:ascii="Times New Roman" w:hAnsi="Times New Roman"/>
                <w:color w:val="auto"/>
                <w:kern w:val="0"/>
                <w:sz w:val="21"/>
              </w:rPr>
              <w:t>注:本次新增总量由生态环境保护局统一调配。</w:t>
            </w:r>
          </w:p>
        </w:tc>
      </w:tr>
    </w:tbl>
    <w:p w14:paraId="585D4A48">
      <w:pPr>
        <w:pStyle w:val="30"/>
        <w:jc w:val="center"/>
        <w:outlineLvl w:val="0"/>
        <w:rPr>
          <w:rFonts w:ascii="Times New Roman" w:hAnsi="Times New Roman"/>
          <w:snapToGrid w:val="0"/>
          <w:color w:val="auto"/>
          <w:sz w:val="30"/>
          <w:szCs w:val="30"/>
        </w:rPr>
      </w:pPr>
      <w:r>
        <w:rPr>
          <w:rFonts w:ascii="Times New Roman" w:hAnsi="Times New Roman"/>
          <w:snapToGrid w:val="0"/>
          <w:color w:val="auto"/>
          <w:sz w:val="36"/>
          <w:szCs w:val="36"/>
        </w:rPr>
        <w:br w:type="page"/>
      </w:r>
      <w:bookmarkStart w:id="11" w:name="_Toc13576"/>
      <w:bookmarkStart w:id="12" w:name="_Toc19061"/>
      <w:r>
        <w:rPr>
          <w:rFonts w:ascii="Times New Roman" w:hAnsi="Times New Roman"/>
          <w:snapToGrid w:val="0"/>
          <w:color w:val="auto"/>
          <w:sz w:val="30"/>
          <w:szCs w:val="30"/>
        </w:rPr>
        <w:t>四、主要环境影响和保护措施</w:t>
      </w:r>
      <w:bookmarkEnd w:id="11"/>
      <w:bookmarkEnd w:id="12"/>
    </w:p>
    <w:tbl>
      <w:tblPr>
        <w:tblStyle w:val="35"/>
        <w:tblW w:w="895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206"/>
      </w:tblGrid>
      <w:tr w14:paraId="572E9E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13" w:hRule="atLeast"/>
          <w:jc w:val="center"/>
        </w:trPr>
        <w:tc>
          <w:tcPr>
            <w:tcW w:w="746" w:type="dxa"/>
            <w:tcMar>
              <w:left w:w="28" w:type="dxa"/>
              <w:right w:w="28" w:type="dxa"/>
            </w:tcMar>
            <w:vAlign w:val="center"/>
          </w:tcPr>
          <w:p w14:paraId="70010BC6">
            <w:pPr>
              <w:pStyle w:val="30"/>
              <w:adjustRightInd w:val="0"/>
              <w:snapToGrid w:val="0"/>
              <w:spacing w:before="0" w:beforeAutospacing="0" w:after="0" w:afterAutospacing="0" w:line="360" w:lineRule="auto"/>
              <w:jc w:val="center"/>
              <w:rPr>
                <w:rFonts w:ascii="Times New Roman" w:hAnsi="Times New Roman"/>
                <w:color w:val="auto"/>
                <w:kern w:val="2"/>
                <w:szCs w:val="24"/>
              </w:rPr>
            </w:pPr>
            <w:r>
              <w:rPr>
                <w:rFonts w:ascii="Times New Roman" w:hAnsi="Times New Roman"/>
                <w:color w:val="auto"/>
                <w:kern w:val="2"/>
                <w:szCs w:val="24"/>
              </w:rPr>
              <w:t>施工</w:t>
            </w:r>
          </w:p>
          <w:p w14:paraId="0CF925F2">
            <w:pPr>
              <w:pStyle w:val="30"/>
              <w:adjustRightInd w:val="0"/>
              <w:snapToGrid w:val="0"/>
              <w:spacing w:before="0" w:beforeAutospacing="0" w:after="0" w:afterAutospacing="0" w:line="360" w:lineRule="auto"/>
              <w:jc w:val="center"/>
              <w:rPr>
                <w:rFonts w:ascii="Times New Roman" w:hAnsi="Times New Roman"/>
                <w:color w:val="auto"/>
                <w:kern w:val="2"/>
                <w:szCs w:val="24"/>
              </w:rPr>
            </w:pPr>
            <w:r>
              <w:rPr>
                <w:rFonts w:ascii="Times New Roman" w:hAnsi="Times New Roman"/>
                <w:color w:val="auto"/>
                <w:kern w:val="2"/>
                <w:szCs w:val="24"/>
              </w:rPr>
              <w:t>期环</w:t>
            </w:r>
          </w:p>
          <w:p w14:paraId="182CE96A">
            <w:pPr>
              <w:pStyle w:val="30"/>
              <w:adjustRightInd w:val="0"/>
              <w:snapToGrid w:val="0"/>
              <w:spacing w:before="0" w:beforeAutospacing="0" w:after="0" w:afterAutospacing="0" w:line="360" w:lineRule="auto"/>
              <w:jc w:val="center"/>
              <w:rPr>
                <w:rFonts w:ascii="Times New Roman" w:hAnsi="Times New Roman"/>
                <w:color w:val="auto"/>
                <w:kern w:val="2"/>
                <w:szCs w:val="24"/>
              </w:rPr>
            </w:pPr>
            <w:r>
              <w:rPr>
                <w:rFonts w:ascii="Times New Roman" w:hAnsi="Times New Roman"/>
                <w:color w:val="auto"/>
                <w:kern w:val="2"/>
                <w:szCs w:val="24"/>
              </w:rPr>
              <w:t>境保</w:t>
            </w:r>
          </w:p>
          <w:p w14:paraId="28D4F620">
            <w:pPr>
              <w:pStyle w:val="30"/>
              <w:adjustRightInd w:val="0"/>
              <w:snapToGrid w:val="0"/>
              <w:spacing w:before="0" w:beforeAutospacing="0" w:after="0" w:afterAutospacing="0" w:line="360" w:lineRule="auto"/>
              <w:jc w:val="center"/>
              <w:rPr>
                <w:rFonts w:ascii="Times New Roman" w:hAnsi="Times New Roman"/>
                <w:color w:val="auto"/>
                <w:kern w:val="2"/>
                <w:szCs w:val="24"/>
              </w:rPr>
            </w:pPr>
            <w:r>
              <w:rPr>
                <w:rFonts w:ascii="Times New Roman" w:hAnsi="Times New Roman"/>
                <w:color w:val="auto"/>
                <w:kern w:val="2"/>
                <w:szCs w:val="24"/>
              </w:rPr>
              <w:t>护措</w:t>
            </w:r>
          </w:p>
          <w:p w14:paraId="7A470DDD">
            <w:pPr>
              <w:pStyle w:val="30"/>
              <w:adjustRightInd w:val="0"/>
              <w:snapToGrid w:val="0"/>
              <w:spacing w:before="0" w:beforeAutospacing="0" w:after="0" w:afterAutospacing="0" w:line="360" w:lineRule="auto"/>
              <w:jc w:val="center"/>
              <w:rPr>
                <w:rFonts w:ascii="Times New Roman" w:hAnsi="Times New Roman"/>
                <w:bCs/>
                <w:color w:val="auto"/>
                <w:kern w:val="2"/>
                <w:szCs w:val="24"/>
              </w:rPr>
            </w:pPr>
            <w:r>
              <w:rPr>
                <w:rFonts w:ascii="Times New Roman" w:hAnsi="Times New Roman"/>
                <w:color w:val="auto"/>
                <w:kern w:val="2"/>
                <w:szCs w:val="24"/>
              </w:rPr>
              <w:t>施</w:t>
            </w:r>
          </w:p>
        </w:tc>
        <w:tc>
          <w:tcPr>
            <w:tcW w:w="8206" w:type="dxa"/>
            <w:vAlign w:val="center"/>
          </w:tcPr>
          <w:p w14:paraId="2DF1EA75">
            <w:pPr>
              <w:adjustRightInd w:val="0"/>
              <w:snapToGrid w:val="0"/>
              <w:spacing w:line="360" w:lineRule="auto"/>
              <w:ind w:firstLine="440" w:firstLineChars="200"/>
              <w:rPr>
                <w:bCs/>
                <w:color w:val="auto"/>
                <w:spacing w:val="-10"/>
                <w:sz w:val="24"/>
              </w:rPr>
            </w:pPr>
            <w:r>
              <w:rPr>
                <w:bCs/>
                <w:color w:val="auto"/>
                <w:spacing w:val="-10"/>
                <w:sz w:val="24"/>
              </w:rPr>
              <w:t>1、废气</w:t>
            </w:r>
          </w:p>
          <w:p w14:paraId="70FF6078">
            <w:pPr>
              <w:adjustRightInd w:val="0"/>
              <w:snapToGrid w:val="0"/>
              <w:spacing w:line="360" w:lineRule="auto"/>
              <w:ind w:firstLine="480" w:firstLineChars="200"/>
              <w:rPr>
                <w:bCs/>
                <w:color w:val="auto"/>
                <w:sz w:val="24"/>
              </w:rPr>
            </w:pPr>
            <w:r>
              <w:rPr>
                <w:bCs/>
                <w:color w:val="auto"/>
                <w:sz w:val="24"/>
              </w:rPr>
              <w:t>施工期对环境大气的影响主要是建筑材料和工程弃土的堆放、装卸、拌料过程以及车辆在运输过程中产生的扬尘。施工扬尘主要影响施工场地及附近区域的环境卫生和环境质量。经采取必要的防尘措施后可有效地减轻扬尘对环境的影响。洒水可简洁有效的抑制扬尘。如果在施工期内对车辆行驶的路面实施洒水抑尘，每天洒水4～5次，可有效降低扬尘。</w:t>
            </w:r>
          </w:p>
          <w:p w14:paraId="76289087">
            <w:pPr>
              <w:adjustRightInd w:val="0"/>
              <w:snapToGrid w:val="0"/>
              <w:spacing w:line="360" w:lineRule="auto"/>
              <w:ind w:firstLine="480" w:firstLineChars="200"/>
              <w:rPr>
                <w:bCs/>
                <w:color w:val="auto"/>
                <w:sz w:val="24"/>
              </w:rPr>
            </w:pPr>
            <w:r>
              <w:rPr>
                <w:bCs/>
                <w:color w:val="auto"/>
                <w:sz w:val="24"/>
              </w:rPr>
              <w:t>因此，在建设期应对运输的道路及时清扫和浇水，并加强施工管理，配置工地细目滞尘防护网，施工现场设置围栏，封闭现场，同时必须采用封闭车辆运输，最大程度地减少扬尘对周围大气环境及居民的影响。</w:t>
            </w:r>
          </w:p>
          <w:p w14:paraId="62621FE0">
            <w:pPr>
              <w:adjustRightInd w:val="0"/>
              <w:snapToGrid w:val="0"/>
              <w:spacing w:line="360" w:lineRule="auto"/>
              <w:ind w:firstLine="480" w:firstLineChars="200"/>
              <w:rPr>
                <w:bCs/>
                <w:color w:val="auto"/>
                <w:sz w:val="24"/>
              </w:rPr>
            </w:pPr>
            <w:r>
              <w:rPr>
                <w:bCs/>
                <w:color w:val="auto"/>
                <w:sz w:val="24"/>
              </w:rPr>
              <w:t>采用污染防治措施后，使施工期对周围环境的大气污染降到最小，施工厂界扬尘浓度贡献值均低于《大气污染物综合排放标准》（GB16297-1996）规定的颗粒物无组织排放监控浓度限值1.0mg/m</w:t>
            </w:r>
            <w:r>
              <w:rPr>
                <w:bCs/>
                <w:color w:val="auto"/>
                <w:sz w:val="24"/>
                <w:vertAlign w:val="superscript"/>
              </w:rPr>
              <w:t>3</w:t>
            </w:r>
            <w:r>
              <w:rPr>
                <w:bCs/>
                <w:color w:val="auto"/>
                <w:sz w:val="24"/>
              </w:rPr>
              <w:t>，可被周围环境所接受。</w:t>
            </w:r>
          </w:p>
          <w:p w14:paraId="0B17E7E9">
            <w:pPr>
              <w:adjustRightInd w:val="0"/>
              <w:snapToGrid w:val="0"/>
              <w:spacing w:line="360" w:lineRule="auto"/>
              <w:ind w:firstLine="480" w:firstLineChars="200"/>
              <w:rPr>
                <w:bCs/>
                <w:color w:val="auto"/>
                <w:sz w:val="24"/>
              </w:rPr>
            </w:pPr>
            <w:r>
              <w:rPr>
                <w:bCs/>
                <w:color w:val="auto"/>
                <w:sz w:val="24"/>
              </w:rPr>
              <w:t>2、废水</w:t>
            </w:r>
          </w:p>
          <w:p w14:paraId="4AC02657">
            <w:pPr>
              <w:adjustRightInd w:val="0"/>
              <w:snapToGrid w:val="0"/>
              <w:spacing w:line="360" w:lineRule="auto"/>
              <w:ind w:firstLine="480" w:firstLineChars="200"/>
              <w:rPr>
                <w:bCs/>
                <w:color w:val="auto"/>
                <w:sz w:val="24"/>
              </w:rPr>
            </w:pPr>
            <w:r>
              <w:rPr>
                <w:bCs/>
                <w:color w:val="auto"/>
                <w:sz w:val="24"/>
              </w:rPr>
              <w:t>施工过程中产生的废水主要为施工人员排放的生活污水和施工作业产生的废水以及施工期间车辆冲洗废水，由于施工期施工人员只在白天工作，施工人员不在场地内食宿，因此产生的废水较少。</w:t>
            </w:r>
          </w:p>
          <w:p w14:paraId="6157E2E3">
            <w:pPr>
              <w:adjustRightInd w:val="0"/>
              <w:snapToGrid w:val="0"/>
              <w:spacing w:line="360" w:lineRule="auto"/>
              <w:ind w:firstLine="480" w:firstLineChars="200"/>
              <w:rPr>
                <w:bCs/>
                <w:color w:val="auto"/>
                <w:sz w:val="24"/>
              </w:rPr>
            </w:pPr>
            <w:r>
              <w:rPr>
                <w:bCs/>
                <w:color w:val="auto"/>
                <w:sz w:val="24"/>
              </w:rPr>
              <w:t>废水中主要污染因子为COD、BOD</w:t>
            </w:r>
            <w:r>
              <w:rPr>
                <w:bCs/>
                <w:color w:val="auto"/>
                <w:sz w:val="24"/>
                <w:vertAlign w:val="subscript"/>
              </w:rPr>
              <w:t>5</w:t>
            </w:r>
            <w:r>
              <w:rPr>
                <w:bCs/>
                <w:color w:val="auto"/>
                <w:sz w:val="24"/>
              </w:rPr>
              <w:t>、氨氮等。生活污水排入防渗旱厕，施工作业和冲洗车辆产生的废水沉淀后用于场地内洒水抑尘。</w:t>
            </w:r>
          </w:p>
          <w:p w14:paraId="4C5953A3">
            <w:pPr>
              <w:adjustRightInd w:val="0"/>
              <w:snapToGrid w:val="0"/>
              <w:spacing w:line="360" w:lineRule="auto"/>
              <w:ind w:firstLine="480" w:firstLineChars="200"/>
              <w:rPr>
                <w:bCs/>
                <w:color w:val="auto"/>
                <w:sz w:val="24"/>
              </w:rPr>
            </w:pPr>
            <w:r>
              <w:rPr>
                <w:bCs/>
                <w:color w:val="auto"/>
                <w:sz w:val="24"/>
              </w:rPr>
              <w:t>3、噪声</w:t>
            </w:r>
          </w:p>
          <w:p w14:paraId="5DC78F06">
            <w:pPr>
              <w:adjustRightInd w:val="0"/>
              <w:snapToGrid w:val="0"/>
              <w:spacing w:line="360" w:lineRule="auto"/>
              <w:ind w:firstLine="480" w:firstLineChars="200"/>
              <w:rPr>
                <w:bCs/>
                <w:color w:val="auto"/>
                <w:sz w:val="24"/>
              </w:rPr>
            </w:pPr>
            <w:r>
              <w:rPr>
                <w:bCs/>
                <w:color w:val="auto"/>
                <w:sz w:val="24"/>
              </w:rPr>
              <w:t>施工期声环境的主要影响是施工机械噪声。一般施工机械噪声源强为75～90dB(A)之间。为了减轻本建设项目施工期噪声的环境影响，必须采取以下控制措施：</w:t>
            </w:r>
          </w:p>
          <w:p w14:paraId="1457A966">
            <w:pPr>
              <w:adjustRightInd w:val="0"/>
              <w:snapToGrid w:val="0"/>
              <w:spacing w:line="360" w:lineRule="auto"/>
              <w:ind w:firstLine="480" w:firstLineChars="200"/>
              <w:rPr>
                <w:bCs/>
                <w:color w:val="auto"/>
                <w:sz w:val="24"/>
              </w:rPr>
            </w:pPr>
            <w:r>
              <w:rPr>
                <w:bCs/>
                <w:color w:val="auto"/>
                <w:sz w:val="24"/>
              </w:rPr>
              <w:t>（1）加强施工管理，合理安排作业时间，严格执行施工噪声管理的有关规定；</w:t>
            </w:r>
          </w:p>
          <w:p w14:paraId="1EC62C93">
            <w:pPr>
              <w:adjustRightInd w:val="0"/>
              <w:snapToGrid w:val="0"/>
              <w:spacing w:line="360" w:lineRule="auto"/>
              <w:ind w:firstLine="480" w:firstLineChars="200"/>
              <w:rPr>
                <w:bCs/>
                <w:color w:val="auto"/>
                <w:sz w:val="24"/>
              </w:rPr>
            </w:pPr>
            <w:r>
              <w:rPr>
                <w:bCs/>
                <w:color w:val="auto"/>
                <w:sz w:val="24"/>
              </w:rPr>
              <w:t>（2）机械限时使用，避免夜间施工，晚22：00至早6：00和中午12：00至13：30禁止机械作业；</w:t>
            </w:r>
          </w:p>
          <w:p w14:paraId="7551E36D">
            <w:pPr>
              <w:adjustRightInd w:val="0"/>
              <w:snapToGrid w:val="0"/>
              <w:spacing w:line="360" w:lineRule="auto"/>
              <w:ind w:firstLine="480" w:firstLineChars="200"/>
              <w:rPr>
                <w:bCs/>
                <w:color w:val="auto"/>
                <w:sz w:val="24"/>
              </w:rPr>
            </w:pPr>
            <w:r>
              <w:rPr>
                <w:bCs/>
                <w:color w:val="auto"/>
                <w:sz w:val="24"/>
              </w:rPr>
              <w:t>（3）施工机械应尽可能放置于对场界外居民区造成影响最小的地点；</w:t>
            </w:r>
          </w:p>
          <w:p w14:paraId="483D844C">
            <w:pPr>
              <w:adjustRightInd w:val="0"/>
              <w:snapToGrid w:val="0"/>
              <w:spacing w:line="360" w:lineRule="auto"/>
              <w:ind w:firstLine="480" w:firstLineChars="200"/>
              <w:rPr>
                <w:bCs/>
                <w:color w:val="auto"/>
                <w:sz w:val="24"/>
              </w:rPr>
            </w:pPr>
            <w:r>
              <w:rPr>
                <w:bCs/>
                <w:color w:val="auto"/>
                <w:sz w:val="24"/>
              </w:rPr>
              <w:t>（4）作业时在高噪声设备周围设置声屏障；</w:t>
            </w:r>
          </w:p>
          <w:p w14:paraId="630522EB">
            <w:pPr>
              <w:adjustRightInd w:val="0"/>
              <w:snapToGrid w:val="0"/>
              <w:spacing w:line="360" w:lineRule="auto"/>
              <w:ind w:firstLine="480" w:firstLineChars="200"/>
              <w:rPr>
                <w:bCs/>
                <w:color w:val="auto"/>
                <w:sz w:val="24"/>
              </w:rPr>
            </w:pPr>
            <w:r>
              <w:rPr>
                <w:bCs/>
                <w:color w:val="auto"/>
                <w:sz w:val="24"/>
              </w:rPr>
              <w:t>（5）加强车辆的管理，建材等运输尽量在白天进行，并控制车辆鸣笛。</w:t>
            </w:r>
          </w:p>
          <w:p w14:paraId="35EAE423">
            <w:pPr>
              <w:adjustRightInd w:val="0"/>
              <w:snapToGrid w:val="0"/>
              <w:spacing w:line="360" w:lineRule="auto"/>
              <w:ind w:firstLine="480" w:firstLineChars="200"/>
              <w:rPr>
                <w:bCs/>
                <w:color w:val="auto"/>
                <w:sz w:val="24"/>
              </w:rPr>
            </w:pPr>
            <w:r>
              <w:rPr>
                <w:bCs/>
                <w:color w:val="auto"/>
                <w:sz w:val="24"/>
              </w:rPr>
              <w:t>在严格执行本报告提出的污染防治措施的前提下，施工期噪声</w:t>
            </w:r>
            <w:r>
              <w:rPr>
                <w:rFonts w:hint="eastAsia"/>
                <w:bCs/>
                <w:color w:val="auto"/>
                <w:sz w:val="24"/>
              </w:rPr>
              <w:t>可</w:t>
            </w:r>
            <w:r>
              <w:rPr>
                <w:bCs/>
                <w:color w:val="auto"/>
                <w:sz w:val="24"/>
              </w:rPr>
              <w:t>满足《</w:t>
            </w:r>
            <w:r>
              <w:rPr>
                <w:rFonts w:hint="eastAsia"/>
                <w:bCs/>
                <w:color w:val="auto"/>
                <w:sz w:val="24"/>
              </w:rPr>
              <w:t>建筑施工噪声排放标准</w:t>
            </w:r>
            <w:r>
              <w:rPr>
                <w:bCs/>
                <w:color w:val="auto"/>
                <w:sz w:val="24"/>
              </w:rPr>
              <w:t>》（GB12523-20</w:t>
            </w:r>
            <w:r>
              <w:rPr>
                <w:rFonts w:hint="eastAsia"/>
                <w:bCs/>
                <w:color w:val="auto"/>
                <w:sz w:val="24"/>
              </w:rPr>
              <w:t>25</w:t>
            </w:r>
            <w:r>
              <w:rPr>
                <w:bCs/>
                <w:color w:val="auto"/>
                <w:sz w:val="24"/>
              </w:rPr>
              <w:t>）中的排放限值，对周围环境的影响是可以被接受的。</w:t>
            </w:r>
          </w:p>
          <w:p w14:paraId="683B6F4A">
            <w:pPr>
              <w:adjustRightInd w:val="0"/>
              <w:snapToGrid w:val="0"/>
              <w:spacing w:line="360" w:lineRule="auto"/>
              <w:ind w:firstLine="480" w:firstLineChars="200"/>
              <w:rPr>
                <w:bCs/>
                <w:color w:val="auto"/>
                <w:sz w:val="24"/>
              </w:rPr>
            </w:pPr>
            <w:r>
              <w:rPr>
                <w:bCs/>
                <w:color w:val="auto"/>
                <w:sz w:val="24"/>
              </w:rPr>
              <w:t>4、固废</w:t>
            </w:r>
          </w:p>
          <w:p w14:paraId="3A00E13E">
            <w:pPr>
              <w:adjustRightInd w:val="0"/>
              <w:snapToGrid w:val="0"/>
              <w:spacing w:line="360" w:lineRule="auto"/>
              <w:ind w:firstLine="480" w:firstLineChars="200"/>
              <w:rPr>
                <w:bCs/>
                <w:color w:val="auto"/>
                <w:sz w:val="24"/>
              </w:rPr>
            </w:pPr>
            <w:r>
              <w:rPr>
                <w:bCs/>
                <w:color w:val="auto"/>
                <w:sz w:val="24"/>
              </w:rPr>
              <w:t>施工期固体废物主要包括建筑垃圾和生活垃圾。</w:t>
            </w:r>
          </w:p>
          <w:p w14:paraId="282DD377">
            <w:pPr>
              <w:adjustRightInd w:val="0"/>
              <w:snapToGrid w:val="0"/>
              <w:spacing w:line="360" w:lineRule="auto"/>
              <w:ind w:firstLine="480" w:firstLineChars="200"/>
              <w:rPr>
                <w:bCs/>
                <w:color w:val="auto"/>
                <w:sz w:val="24"/>
              </w:rPr>
            </w:pPr>
            <w:r>
              <w:rPr>
                <w:bCs/>
                <w:color w:val="auto"/>
                <w:sz w:val="24"/>
              </w:rPr>
              <w:t>对施工产生的废料首先应考虑废料的回收利用，如钢筋、钢板、木材等下角料可分类回收，由废物收购站处理:建筑垃圾，如混凝土废料、含砖、石、砂的杂土应集中堆放，定时清运，送建筑废渣专用堆放场，以免影响施工和环境卫生。</w:t>
            </w:r>
          </w:p>
          <w:p w14:paraId="5C40FC5A">
            <w:pPr>
              <w:adjustRightInd w:val="0"/>
              <w:snapToGrid w:val="0"/>
              <w:spacing w:line="360" w:lineRule="auto"/>
              <w:ind w:firstLine="480" w:firstLineChars="200"/>
              <w:rPr>
                <w:bCs/>
                <w:color w:val="auto"/>
                <w:sz w:val="24"/>
              </w:rPr>
            </w:pPr>
            <w:r>
              <w:rPr>
                <w:bCs/>
                <w:color w:val="auto"/>
                <w:sz w:val="24"/>
              </w:rPr>
              <w:t>施工人员生活垃圾设置专门的储存设施，集中收集后交由市政部门处理。施工期固体废物处置率100%。</w:t>
            </w:r>
          </w:p>
          <w:p w14:paraId="3ABA0C8E">
            <w:pPr>
              <w:adjustRightInd w:val="0"/>
              <w:snapToGrid w:val="0"/>
              <w:spacing w:line="360" w:lineRule="auto"/>
              <w:ind w:firstLine="480" w:firstLineChars="200"/>
              <w:rPr>
                <w:bCs/>
                <w:color w:val="auto"/>
                <w:sz w:val="24"/>
              </w:rPr>
            </w:pPr>
            <w:r>
              <w:rPr>
                <w:bCs/>
                <w:color w:val="auto"/>
                <w:sz w:val="24"/>
              </w:rPr>
              <w:t>施工期的环境影响是短暂的，只要建设施工单位加强全员职工的环境保护意识，并通过以上措施，项目建设产生的废物得到妥善处置，施工期间对周围环境造成的短暂影响可以接受。</w:t>
            </w:r>
          </w:p>
          <w:p w14:paraId="4924D271">
            <w:pPr>
              <w:adjustRightInd w:val="0"/>
              <w:snapToGrid w:val="0"/>
              <w:spacing w:line="360" w:lineRule="auto"/>
              <w:ind w:firstLine="440" w:firstLineChars="200"/>
              <w:rPr>
                <w:bCs/>
                <w:color w:val="auto"/>
                <w:spacing w:val="-10"/>
                <w:sz w:val="24"/>
              </w:rPr>
            </w:pPr>
          </w:p>
        </w:tc>
      </w:tr>
      <w:tr w14:paraId="1727C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10" w:hRule="atLeast"/>
          <w:jc w:val="center"/>
        </w:trPr>
        <w:tc>
          <w:tcPr>
            <w:tcW w:w="746" w:type="dxa"/>
            <w:tcMar>
              <w:left w:w="28" w:type="dxa"/>
              <w:right w:w="28" w:type="dxa"/>
            </w:tcMar>
            <w:vAlign w:val="center"/>
          </w:tcPr>
          <w:p w14:paraId="59738EA9">
            <w:pPr>
              <w:adjustRightInd w:val="0"/>
              <w:snapToGrid w:val="0"/>
              <w:spacing w:line="360" w:lineRule="auto"/>
              <w:jc w:val="center"/>
              <w:rPr>
                <w:bCs/>
                <w:color w:val="auto"/>
                <w:sz w:val="24"/>
              </w:rPr>
            </w:pPr>
            <w:r>
              <w:rPr>
                <w:bCs/>
                <w:color w:val="auto"/>
                <w:sz w:val="24"/>
              </w:rPr>
              <w:t>运营</w:t>
            </w:r>
          </w:p>
          <w:p w14:paraId="3941282E">
            <w:pPr>
              <w:adjustRightInd w:val="0"/>
              <w:snapToGrid w:val="0"/>
              <w:spacing w:line="360" w:lineRule="auto"/>
              <w:jc w:val="center"/>
              <w:rPr>
                <w:bCs/>
                <w:color w:val="auto"/>
                <w:sz w:val="24"/>
              </w:rPr>
            </w:pPr>
            <w:r>
              <w:rPr>
                <w:bCs/>
                <w:color w:val="auto"/>
                <w:sz w:val="24"/>
              </w:rPr>
              <w:t>期环</w:t>
            </w:r>
          </w:p>
          <w:p w14:paraId="5245D740">
            <w:pPr>
              <w:adjustRightInd w:val="0"/>
              <w:snapToGrid w:val="0"/>
              <w:spacing w:line="360" w:lineRule="auto"/>
              <w:jc w:val="center"/>
              <w:rPr>
                <w:bCs/>
                <w:color w:val="auto"/>
                <w:sz w:val="24"/>
              </w:rPr>
            </w:pPr>
            <w:r>
              <w:rPr>
                <w:bCs/>
                <w:color w:val="auto"/>
                <w:sz w:val="24"/>
              </w:rPr>
              <w:t>境影</w:t>
            </w:r>
          </w:p>
          <w:p w14:paraId="5C3D8021">
            <w:pPr>
              <w:adjustRightInd w:val="0"/>
              <w:snapToGrid w:val="0"/>
              <w:spacing w:line="360" w:lineRule="auto"/>
              <w:jc w:val="center"/>
              <w:rPr>
                <w:bCs/>
                <w:color w:val="auto"/>
                <w:sz w:val="24"/>
              </w:rPr>
            </w:pPr>
            <w:r>
              <w:rPr>
                <w:bCs/>
                <w:color w:val="auto"/>
                <w:sz w:val="24"/>
              </w:rPr>
              <w:t>响和</w:t>
            </w:r>
          </w:p>
          <w:p w14:paraId="72D09C14">
            <w:pPr>
              <w:adjustRightInd w:val="0"/>
              <w:snapToGrid w:val="0"/>
              <w:spacing w:line="360" w:lineRule="auto"/>
              <w:jc w:val="center"/>
              <w:rPr>
                <w:bCs/>
                <w:color w:val="auto"/>
                <w:sz w:val="24"/>
              </w:rPr>
            </w:pPr>
            <w:r>
              <w:rPr>
                <w:bCs/>
                <w:color w:val="auto"/>
                <w:sz w:val="24"/>
              </w:rPr>
              <w:t>保护</w:t>
            </w:r>
          </w:p>
          <w:p w14:paraId="00165B9F">
            <w:pPr>
              <w:adjustRightInd w:val="0"/>
              <w:snapToGrid w:val="0"/>
              <w:spacing w:line="360" w:lineRule="auto"/>
              <w:jc w:val="center"/>
              <w:rPr>
                <w:bCs/>
                <w:color w:val="auto"/>
                <w:sz w:val="24"/>
              </w:rPr>
            </w:pPr>
            <w:r>
              <w:rPr>
                <w:bCs/>
                <w:color w:val="auto"/>
                <w:sz w:val="24"/>
              </w:rPr>
              <w:t>措施</w:t>
            </w:r>
          </w:p>
        </w:tc>
        <w:tc>
          <w:tcPr>
            <w:tcW w:w="8206" w:type="dxa"/>
            <w:vAlign w:val="center"/>
          </w:tcPr>
          <w:p w14:paraId="3C2FC2E4">
            <w:pPr>
              <w:pStyle w:val="57"/>
              <w:spacing w:line="360" w:lineRule="auto"/>
              <w:ind w:firstLine="482"/>
              <w:rPr>
                <w:b/>
                <w:bCs/>
                <w:color w:val="auto"/>
                <w:szCs w:val="24"/>
              </w:rPr>
            </w:pPr>
            <w:r>
              <w:rPr>
                <w:b/>
                <w:bCs/>
                <w:color w:val="auto"/>
                <w:szCs w:val="24"/>
              </w:rPr>
              <w:t>一、废气</w:t>
            </w:r>
          </w:p>
          <w:p w14:paraId="5CD479E2">
            <w:pPr>
              <w:pStyle w:val="50"/>
              <w:spacing w:line="360" w:lineRule="auto"/>
              <w:ind w:firstLine="482" w:firstLineChars="200"/>
              <w:jc w:val="left"/>
              <w:rPr>
                <w:rFonts w:ascii="Times New Roman" w:hAnsi="Times New Roman" w:cs="Times New Roman"/>
                <w:b/>
                <w:bCs/>
                <w:color w:val="auto"/>
              </w:rPr>
            </w:pPr>
            <w:r>
              <w:rPr>
                <w:rFonts w:ascii="Times New Roman" w:hAnsi="Times New Roman" w:cs="Times New Roman"/>
                <w:b/>
                <w:bCs/>
                <w:color w:val="auto"/>
              </w:rPr>
              <w:t>1、正常工况排放</w:t>
            </w:r>
          </w:p>
          <w:p w14:paraId="24160C1C">
            <w:pPr>
              <w:pStyle w:val="108"/>
              <w:spacing w:line="360" w:lineRule="auto"/>
              <w:ind w:firstLine="480" w:firstLineChars="200"/>
              <w:rPr>
                <w:rFonts w:ascii="Times New Roman"/>
                <w:bCs/>
                <w:color w:val="auto"/>
                <w:kern w:val="2"/>
                <w:sz w:val="24"/>
                <w:szCs w:val="24"/>
              </w:rPr>
            </w:pPr>
            <w:r>
              <w:rPr>
                <w:rFonts w:ascii="Times New Roman"/>
                <w:bCs/>
                <w:color w:val="auto"/>
                <w:kern w:val="2"/>
                <w:sz w:val="24"/>
                <w:szCs w:val="24"/>
              </w:rPr>
              <w:t>（1）</w:t>
            </w:r>
            <w:r>
              <w:rPr>
                <w:rFonts w:hint="eastAsia" w:ascii="Times New Roman"/>
                <w:bCs/>
                <w:color w:val="auto"/>
                <w:kern w:val="2"/>
                <w:sz w:val="24"/>
                <w:szCs w:val="24"/>
                <w:lang w:val="en-US" w:eastAsia="zh-CN"/>
              </w:rPr>
              <w:t>热风炉</w:t>
            </w:r>
            <w:r>
              <w:rPr>
                <w:rFonts w:ascii="Times New Roman"/>
                <w:bCs/>
                <w:color w:val="auto"/>
                <w:kern w:val="2"/>
                <w:sz w:val="24"/>
                <w:szCs w:val="24"/>
              </w:rPr>
              <w:t>烟气</w:t>
            </w:r>
          </w:p>
          <w:p w14:paraId="10C120C7">
            <w:pPr>
              <w:spacing w:line="360" w:lineRule="auto"/>
              <w:ind w:firstLine="480" w:firstLineChars="200"/>
              <w:rPr>
                <w:color w:val="auto"/>
                <w:sz w:val="24"/>
              </w:rPr>
            </w:pPr>
            <w:r>
              <w:rPr>
                <w:color w:val="auto"/>
                <w:sz w:val="24"/>
              </w:rPr>
              <w:t>本项目生物质热风炉废气污染物颗粒物、SO</w:t>
            </w:r>
            <w:r>
              <w:rPr>
                <w:color w:val="auto"/>
                <w:sz w:val="24"/>
                <w:vertAlign w:val="subscript"/>
              </w:rPr>
              <w:t>2</w:t>
            </w:r>
            <w:r>
              <w:rPr>
                <w:color w:val="auto"/>
                <w:sz w:val="24"/>
              </w:rPr>
              <w:t>产生量根据《污染源源强核算技术指南 锅炉》（HJ991-2018）中物料衡算法计算，锅炉出口NOx产生浓度无法估算，故氮氧化物采用系数法核算（无实测值无法采用类比法，无法用物料衡算）。</w:t>
            </w:r>
          </w:p>
          <w:p w14:paraId="267C1CC3">
            <w:pPr>
              <w:spacing w:line="360" w:lineRule="auto"/>
              <w:ind w:left="480"/>
              <w:rPr>
                <w:color w:val="auto"/>
                <w:sz w:val="24"/>
              </w:rPr>
            </w:pPr>
            <w:r>
              <w:rPr>
                <w:color w:val="auto"/>
                <w:sz w:val="24"/>
              </w:rPr>
              <w:t>①烟气量</w:t>
            </w:r>
          </w:p>
          <w:p w14:paraId="6E43ADDE">
            <w:pPr>
              <w:spacing w:line="360" w:lineRule="auto"/>
              <w:ind w:firstLine="480" w:firstLineChars="200"/>
              <w:rPr>
                <w:color w:val="auto"/>
                <w:sz w:val="24"/>
              </w:rPr>
            </w:pPr>
            <w:r>
              <w:rPr>
                <w:color w:val="auto"/>
                <w:sz w:val="24"/>
              </w:rPr>
              <w:t>本项目理论空气量采用《污染源源强核算技术指南 锅炉》（HJ991-2018）附录C中C.2有元素成分分析时理论空气量进行计算，公式如下：</w:t>
            </w:r>
          </w:p>
          <w:p w14:paraId="64EF7465">
            <w:pPr>
              <w:spacing w:line="360" w:lineRule="auto"/>
              <w:jc w:val="center"/>
              <w:rPr>
                <w:color w:val="auto"/>
                <w:sz w:val="24"/>
              </w:rPr>
            </w:pPr>
            <w:r>
              <w:rPr>
                <w:color w:val="auto"/>
                <w:sz w:val="24"/>
              </w:rPr>
              <w:fldChar w:fldCharType="begin"/>
            </w:r>
            <w:r>
              <w:rPr>
                <w:color w:val="auto"/>
              </w:rPr>
              <w:instrText xml:space="preserve"> INCLUDEPICTURE "D:\\xwechat_files\\wxid_6g7dluu70dil22_5ed2\\msg\\admin\\AppData\\Local\\Temp\\ksohtml23920\\wps1.png" \* MERGEFORMAT </w:instrText>
            </w:r>
            <w:r>
              <w:rPr>
                <w:color w:val="auto"/>
                <w:sz w:val="24"/>
              </w:rPr>
              <w:fldChar w:fldCharType="separate"/>
            </w:r>
            <w:r>
              <w:rPr>
                <w:color w:val="auto"/>
                <w:sz w:val="24"/>
              </w:rPr>
              <w:drawing>
                <wp:inline distT="0" distB="0" distL="114300" distR="114300">
                  <wp:extent cx="3448050" cy="323850"/>
                  <wp:effectExtent l="0" t="0" r="0" b="0"/>
                  <wp:docPr id="17" name="图片 19"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9" descr="wps1"/>
                          <pic:cNvPicPr>
                            <a:picLocks noChangeAspect="1"/>
                          </pic:cNvPicPr>
                        </pic:nvPicPr>
                        <pic:blipFill>
                          <a:blip r:embed="rId34"/>
                          <a:stretch>
                            <a:fillRect/>
                          </a:stretch>
                        </pic:blipFill>
                        <pic:spPr>
                          <a:xfrm>
                            <a:off x="0" y="0"/>
                            <a:ext cx="3448050" cy="323850"/>
                          </a:xfrm>
                          <a:prstGeom prst="rect">
                            <a:avLst/>
                          </a:prstGeom>
                          <a:noFill/>
                          <a:ln>
                            <a:noFill/>
                          </a:ln>
                        </pic:spPr>
                      </pic:pic>
                    </a:graphicData>
                  </a:graphic>
                </wp:inline>
              </w:drawing>
            </w:r>
            <w:r>
              <w:rPr>
                <w:color w:val="auto"/>
                <w:sz w:val="24"/>
              </w:rPr>
              <w:fldChar w:fldCharType="end"/>
            </w:r>
          </w:p>
          <w:p w14:paraId="6C1516A7">
            <w:pPr>
              <w:spacing w:line="360" w:lineRule="auto"/>
              <w:ind w:firstLine="480" w:firstLineChars="200"/>
              <w:rPr>
                <w:color w:val="auto"/>
                <w:sz w:val="24"/>
              </w:rPr>
            </w:pPr>
            <w:r>
              <w:rPr>
                <w:color w:val="auto"/>
                <w:sz w:val="24"/>
              </w:rPr>
              <w:t>式中：</w:t>
            </w:r>
          </w:p>
          <w:p w14:paraId="5A847E90">
            <w:pPr>
              <w:spacing w:line="360" w:lineRule="auto"/>
              <w:ind w:firstLine="480" w:firstLineChars="200"/>
              <w:rPr>
                <w:color w:val="auto"/>
                <w:sz w:val="24"/>
              </w:rPr>
            </w:pPr>
            <w:r>
              <w:rPr>
                <w:color w:val="auto"/>
                <w:sz w:val="24"/>
              </w:rPr>
              <w:t>V</w:t>
            </w:r>
            <w:r>
              <w:rPr>
                <w:color w:val="auto"/>
                <w:sz w:val="24"/>
                <w:vertAlign w:val="subscript"/>
              </w:rPr>
              <w:t>0</w:t>
            </w:r>
            <w:r>
              <w:rPr>
                <w:color w:val="auto"/>
                <w:sz w:val="24"/>
              </w:rPr>
              <w:t>——理论空气量，m</w:t>
            </w:r>
            <w:r>
              <w:rPr>
                <w:color w:val="auto"/>
                <w:sz w:val="24"/>
                <w:vertAlign w:val="superscript"/>
              </w:rPr>
              <w:t>3</w:t>
            </w:r>
            <w:r>
              <w:rPr>
                <w:color w:val="auto"/>
                <w:sz w:val="24"/>
              </w:rPr>
              <w:t>/kg；</w:t>
            </w:r>
          </w:p>
          <w:p w14:paraId="7ED4E0C2">
            <w:pPr>
              <w:spacing w:line="360" w:lineRule="auto"/>
              <w:ind w:firstLine="480" w:firstLineChars="200"/>
              <w:rPr>
                <w:color w:val="auto"/>
                <w:sz w:val="24"/>
              </w:rPr>
            </w:pPr>
            <w:r>
              <w:rPr>
                <w:color w:val="auto"/>
                <w:sz w:val="24"/>
              </w:rPr>
              <w:t>Car——收到基碳的质量分数，%，本次评价取值</w:t>
            </w:r>
            <w:r>
              <w:rPr>
                <w:rFonts w:hint="eastAsia"/>
                <w:color w:val="auto"/>
                <w:sz w:val="24"/>
              </w:rPr>
              <w:t>39.79</w:t>
            </w:r>
            <w:r>
              <w:rPr>
                <w:color w:val="auto"/>
                <w:sz w:val="24"/>
              </w:rPr>
              <w:t>；</w:t>
            </w:r>
          </w:p>
          <w:p w14:paraId="084B24D1">
            <w:pPr>
              <w:spacing w:line="360" w:lineRule="auto"/>
              <w:ind w:firstLine="480" w:firstLineChars="200"/>
              <w:rPr>
                <w:color w:val="auto"/>
                <w:sz w:val="24"/>
              </w:rPr>
            </w:pPr>
            <w:r>
              <w:rPr>
                <w:color w:val="auto"/>
                <w:sz w:val="24"/>
              </w:rPr>
              <w:t>Har——收到基氢的质量分数，%，本次评价取值</w:t>
            </w:r>
            <w:r>
              <w:rPr>
                <w:rFonts w:hint="eastAsia"/>
                <w:color w:val="auto"/>
                <w:sz w:val="24"/>
              </w:rPr>
              <w:t>4.42</w:t>
            </w:r>
            <w:r>
              <w:rPr>
                <w:color w:val="auto"/>
                <w:sz w:val="24"/>
              </w:rPr>
              <w:t>；</w:t>
            </w:r>
          </w:p>
          <w:p w14:paraId="32EB23F3">
            <w:pPr>
              <w:spacing w:line="360" w:lineRule="auto"/>
              <w:ind w:firstLine="480" w:firstLineChars="200"/>
              <w:rPr>
                <w:color w:val="auto"/>
                <w:sz w:val="24"/>
              </w:rPr>
            </w:pPr>
            <w:r>
              <w:rPr>
                <w:color w:val="auto"/>
                <w:sz w:val="24"/>
              </w:rPr>
              <w:t>Oar——收到基氧的质量分数，%，本次评价取值</w:t>
            </w:r>
            <w:r>
              <w:rPr>
                <w:rFonts w:hint="eastAsia"/>
                <w:color w:val="auto"/>
                <w:sz w:val="24"/>
              </w:rPr>
              <w:t>35.54；</w:t>
            </w:r>
          </w:p>
          <w:p w14:paraId="24F6B7E0">
            <w:pPr>
              <w:spacing w:line="360" w:lineRule="auto"/>
              <w:ind w:firstLine="480" w:firstLineChars="200"/>
              <w:rPr>
                <w:color w:val="auto"/>
                <w:sz w:val="24"/>
              </w:rPr>
            </w:pPr>
            <w:r>
              <w:rPr>
                <w:color w:val="auto"/>
                <w:sz w:val="24"/>
              </w:rPr>
              <w:t>Sar——收到基硫的质量分数，%，本次评价取值0.07；</w:t>
            </w:r>
          </w:p>
          <w:p w14:paraId="51A59EE9">
            <w:pPr>
              <w:spacing w:line="360" w:lineRule="auto"/>
              <w:ind w:firstLine="480" w:firstLineChars="200"/>
              <w:rPr>
                <w:color w:val="auto"/>
                <w:sz w:val="24"/>
              </w:rPr>
            </w:pPr>
            <w:r>
              <w:rPr>
                <w:rFonts w:hint="eastAsia"/>
                <w:color w:val="auto"/>
                <w:sz w:val="24"/>
              </w:rPr>
              <w:t>经计算，V</w:t>
            </w:r>
            <w:r>
              <w:rPr>
                <w:rFonts w:hint="eastAsia"/>
                <w:color w:val="auto"/>
                <w:sz w:val="24"/>
                <w:vertAlign w:val="subscript"/>
              </w:rPr>
              <w:t>0</w:t>
            </w:r>
            <w:r>
              <w:rPr>
                <w:rFonts w:hint="eastAsia"/>
                <w:color w:val="auto"/>
                <w:sz w:val="24"/>
              </w:rPr>
              <w:t>=3.53m</w:t>
            </w:r>
            <w:r>
              <w:rPr>
                <w:rFonts w:hint="eastAsia"/>
                <w:color w:val="auto"/>
                <w:sz w:val="24"/>
                <w:vertAlign w:val="superscript"/>
              </w:rPr>
              <w:t>3</w:t>
            </w:r>
            <w:r>
              <w:rPr>
                <w:rFonts w:hint="eastAsia"/>
                <w:color w:val="auto"/>
                <w:sz w:val="24"/>
              </w:rPr>
              <w:t>/kg。</w:t>
            </w:r>
          </w:p>
          <w:p w14:paraId="5C024E90">
            <w:pPr>
              <w:spacing w:line="360" w:lineRule="auto"/>
              <w:ind w:firstLine="480" w:firstLineChars="200"/>
              <w:rPr>
                <w:color w:val="auto"/>
                <w:sz w:val="24"/>
              </w:rPr>
            </w:pPr>
            <w:r>
              <w:rPr>
                <w:rFonts w:hint="eastAsia"/>
                <w:color w:val="auto"/>
                <w:sz w:val="24"/>
              </w:rPr>
              <w:t>生物质热风炉</w:t>
            </w:r>
            <w:r>
              <w:rPr>
                <w:color w:val="auto"/>
                <w:sz w:val="24"/>
              </w:rPr>
              <w:t>烟气排放量采用《污染源源强核算技术指南 锅炉》（HJ991-2018）附录C中C.3锅炉中实际燃烧过程是在过量空气系数α＞1的条件下进行的，1kg固体或液体燃料产生的烟气排放量可用下式计算：</w:t>
            </w:r>
          </w:p>
          <w:p w14:paraId="472A27B1">
            <w:pPr>
              <w:pStyle w:val="50"/>
              <w:rPr>
                <w:rFonts w:ascii="Times New Roman" w:cs="Times New Roman"/>
                <w:color w:val="auto"/>
              </w:rPr>
            </w:pPr>
            <w:r>
              <w:rPr>
                <w:rFonts w:ascii="Times New Roman"/>
                <w:color w:val="auto"/>
              </w:rPr>
              <w:drawing>
                <wp:inline distT="0" distB="0" distL="114300" distR="114300">
                  <wp:extent cx="2387600" cy="915670"/>
                  <wp:effectExtent l="0" t="0" r="12700" b="17780"/>
                  <wp:docPr id="2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1"/>
                          </pic:cNvPicPr>
                        </pic:nvPicPr>
                        <pic:blipFill>
                          <a:blip r:embed="rId35"/>
                          <a:stretch>
                            <a:fillRect/>
                          </a:stretch>
                        </pic:blipFill>
                        <pic:spPr>
                          <a:xfrm>
                            <a:off x="0" y="0"/>
                            <a:ext cx="2387600" cy="915670"/>
                          </a:xfrm>
                          <a:prstGeom prst="rect">
                            <a:avLst/>
                          </a:prstGeom>
                          <a:noFill/>
                          <a:ln>
                            <a:noFill/>
                          </a:ln>
                        </pic:spPr>
                      </pic:pic>
                    </a:graphicData>
                  </a:graphic>
                </wp:inline>
              </w:drawing>
            </w:r>
          </w:p>
          <w:p w14:paraId="1715F0FE">
            <w:pPr>
              <w:spacing w:line="360" w:lineRule="auto"/>
              <w:ind w:firstLine="480" w:firstLineChars="200"/>
              <w:rPr>
                <w:color w:val="auto"/>
                <w:sz w:val="24"/>
              </w:rPr>
            </w:pPr>
            <w:r>
              <w:rPr>
                <w:color w:val="auto"/>
                <w:sz w:val="24"/>
              </w:rPr>
              <w:t>式中：</w:t>
            </w:r>
          </w:p>
          <w:p w14:paraId="30AC7EDA">
            <w:pPr>
              <w:spacing w:line="360" w:lineRule="auto"/>
              <w:ind w:firstLine="480" w:firstLineChars="200"/>
              <w:rPr>
                <w:color w:val="auto"/>
                <w:sz w:val="24"/>
              </w:rPr>
            </w:pPr>
            <w:r>
              <w:rPr>
                <w:color w:val="auto"/>
                <w:sz w:val="24"/>
              </w:rPr>
              <w:t>V</w:t>
            </w:r>
            <w:r>
              <w:rPr>
                <w:color w:val="auto"/>
                <w:sz w:val="24"/>
                <w:vertAlign w:val="subscript"/>
              </w:rPr>
              <w:t>g</w:t>
            </w:r>
            <w:r>
              <w:rPr>
                <w:color w:val="auto"/>
                <w:sz w:val="24"/>
              </w:rPr>
              <w:t>——干烟气排放量，m</w:t>
            </w:r>
            <w:r>
              <w:rPr>
                <w:color w:val="auto"/>
                <w:sz w:val="24"/>
                <w:vertAlign w:val="superscript"/>
              </w:rPr>
              <w:t>3</w:t>
            </w:r>
            <w:r>
              <w:rPr>
                <w:color w:val="auto"/>
                <w:sz w:val="24"/>
              </w:rPr>
              <w:t>/kg；</w:t>
            </w:r>
          </w:p>
          <w:p w14:paraId="028BEB2B">
            <w:pPr>
              <w:spacing w:line="360" w:lineRule="auto"/>
              <w:ind w:firstLine="480" w:firstLineChars="200"/>
              <w:rPr>
                <w:color w:val="auto"/>
                <w:sz w:val="24"/>
              </w:rPr>
            </w:pPr>
            <w:r>
              <w:rPr>
                <w:color w:val="auto"/>
                <w:sz w:val="24"/>
              </w:rPr>
              <w:t>V</w:t>
            </w:r>
            <w:r>
              <w:rPr>
                <w:color w:val="auto"/>
                <w:sz w:val="24"/>
                <w:vertAlign w:val="subscript"/>
              </w:rPr>
              <w:t>RO2</w:t>
            </w:r>
            <w:r>
              <w:rPr>
                <w:color w:val="auto"/>
                <w:sz w:val="24"/>
              </w:rPr>
              <w:t>——烟气中二氧化碳和二氧化硫容积之和，m</w:t>
            </w:r>
            <w:r>
              <w:rPr>
                <w:color w:val="auto"/>
                <w:sz w:val="24"/>
                <w:vertAlign w:val="superscript"/>
              </w:rPr>
              <w:t>3</w:t>
            </w:r>
            <w:r>
              <w:rPr>
                <w:color w:val="auto"/>
                <w:sz w:val="24"/>
              </w:rPr>
              <w:t>/kg；</w:t>
            </w:r>
          </w:p>
          <w:p w14:paraId="16D5A534">
            <w:pPr>
              <w:spacing w:line="360" w:lineRule="auto"/>
              <w:ind w:firstLine="480" w:firstLineChars="200"/>
              <w:rPr>
                <w:color w:val="auto"/>
                <w:sz w:val="24"/>
              </w:rPr>
            </w:pPr>
            <w:r>
              <w:rPr>
                <w:color w:val="auto"/>
                <w:sz w:val="24"/>
              </w:rPr>
              <w:t>C</w:t>
            </w:r>
            <w:r>
              <w:rPr>
                <w:color w:val="auto"/>
                <w:sz w:val="24"/>
                <w:vertAlign w:val="subscript"/>
              </w:rPr>
              <w:t>ar</w:t>
            </w:r>
            <w:r>
              <w:rPr>
                <w:color w:val="auto"/>
                <w:sz w:val="24"/>
              </w:rPr>
              <w:t>——收到基碳的质量分数，%，根据燃料成分分析为</w:t>
            </w:r>
            <w:r>
              <w:rPr>
                <w:rFonts w:hint="eastAsia"/>
                <w:color w:val="auto"/>
                <w:sz w:val="24"/>
              </w:rPr>
              <w:t>39.79</w:t>
            </w:r>
            <w:r>
              <w:rPr>
                <w:color w:val="auto"/>
                <w:sz w:val="24"/>
              </w:rPr>
              <w:t>；</w:t>
            </w:r>
          </w:p>
          <w:p w14:paraId="34EB6B27">
            <w:pPr>
              <w:spacing w:line="360" w:lineRule="auto"/>
              <w:ind w:firstLine="480" w:firstLineChars="200"/>
              <w:rPr>
                <w:color w:val="auto"/>
                <w:sz w:val="24"/>
              </w:rPr>
            </w:pPr>
            <w:r>
              <w:rPr>
                <w:color w:val="auto"/>
                <w:sz w:val="24"/>
              </w:rPr>
              <w:t>S</w:t>
            </w:r>
            <w:r>
              <w:rPr>
                <w:color w:val="auto"/>
                <w:sz w:val="24"/>
                <w:vertAlign w:val="subscript"/>
              </w:rPr>
              <w:t>ar</w:t>
            </w:r>
            <w:r>
              <w:rPr>
                <w:color w:val="auto"/>
                <w:sz w:val="24"/>
              </w:rPr>
              <w:t>——收到基硫的质量分数，%，根据燃料成分分析为0.07；</w:t>
            </w:r>
          </w:p>
          <w:p w14:paraId="6D13CD09">
            <w:pPr>
              <w:spacing w:line="360" w:lineRule="auto"/>
              <w:ind w:firstLine="480" w:firstLineChars="200"/>
              <w:rPr>
                <w:color w:val="auto"/>
                <w:sz w:val="24"/>
              </w:rPr>
            </w:pPr>
            <w:r>
              <w:rPr>
                <w:color w:val="auto"/>
                <w:sz w:val="24"/>
              </w:rPr>
              <w:t>V</w:t>
            </w:r>
            <w:r>
              <w:rPr>
                <w:color w:val="auto"/>
                <w:sz w:val="24"/>
                <w:vertAlign w:val="subscript"/>
              </w:rPr>
              <w:t>N2</w:t>
            </w:r>
            <w:r>
              <w:rPr>
                <w:color w:val="auto"/>
                <w:sz w:val="24"/>
              </w:rPr>
              <w:t>——烟气中氮气，m</w:t>
            </w:r>
            <w:r>
              <w:rPr>
                <w:color w:val="auto"/>
                <w:sz w:val="24"/>
                <w:vertAlign w:val="superscript"/>
              </w:rPr>
              <w:t>3</w:t>
            </w:r>
            <w:r>
              <w:rPr>
                <w:color w:val="auto"/>
                <w:sz w:val="24"/>
              </w:rPr>
              <w:t>/kg；</w:t>
            </w:r>
          </w:p>
          <w:p w14:paraId="0A0DC8A6">
            <w:pPr>
              <w:spacing w:line="360" w:lineRule="auto"/>
              <w:ind w:firstLine="480" w:firstLineChars="200"/>
              <w:rPr>
                <w:color w:val="auto"/>
                <w:sz w:val="24"/>
              </w:rPr>
            </w:pPr>
            <w:r>
              <w:rPr>
                <w:color w:val="auto"/>
                <w:sz w:val="24"/>
              </w:rPr>
              <w:t>α——</w:t>
            </w:r>
            <w:r>
              <w:rPr>
                <w:rFonts w:hint="eastAsia"/>
                <w:color w:val="auto"/>
                <w:sz w:val="24"/>
              </w:rPr>
              <w:t>过量空气系数，燃料燃烧时实际空气供给量与理论空气需要量之比值，本项目取1.7</w:t>
            </w:r>
            <w:r>
              <w:rPr>
                <w:color w:val="auto"/>
                <w:sz w:val="24"/>
              </w:rPr>
              <w:t>。</w:t>
            </w:r>
          </w:p>
          <w:p w14:paraId="7F2CC4EC">
            <w:pPr>
              <w:spacing w:line="360" w:lineRule="auto"/>
              <w:ind w:firstLine="480" w:firstLineChars="200"/>
              <w:rPr>
                <w:color w:val="auto"/>
                <w:sz w:val="24"/>
              </w:rPr>
            </w:pPr>
            <w:r>
              <w:rPr>
                <w:color w:val="auto"/>
                <w:sz w:val="24"/>
              </w:rPr>
              <w:t>N</w:t>
            </w:r>
            <w:r>
              <w:rPr>
                <w:color w:val="auto"/>
                <w:sz w:val="24"/>
                <w:vertAlign w:val="subscript"/>
              </w:rPr>
              <w:t>ar</w:t>
            </w:r>
            <w:r>
              <w:rPr>
                <w:color w:val="auto"/>
                <w:sz w:val="24"/>
              </w:rPr>
              <w:t>——收到基氮的质量分数，%，根据燃料成分分析为</w:t>
            </w:r>
            <w:r>
              <w:rPr>
                <w:rFonts w:hint="eastAsia"/>
                <w:color w:val="auto"/>
                <w:sz w:val="24"/>
              </w:rPr>
              <w:t>0.35</w:t>
            </w:r>
            <w:r>
              <w:rPr>
                <w:color w:val="auto"/>
                <w:sz w:val="24"/>
              </w:rPr>
              <w:t>。</w:t>
            </w:r>
          </w:p>
          <w:p w14:paraId="64468F6C">
            <w:pPr>
              <w:spacing w:line="360" w:lineRule="auto"/>
              <w:ind w:firstLine="480" w:firstLineChars="200"/>
              <w:rPr>
                <w:color w:val="auto"/>
                <w:sz w:val="24"/>
              </w:rPr>
            </w:pPr>
            <w:r>
              <w:rPr>
                <w:rFonts w:hint="eastAsia"/>
                <w:color w:val="auto"/>
                <w:sz w:val="24"/>
              </w:rPr>
              <w:t>经计算，</w:t>
            </w:r>
            <w:r>
              <w:rPr>
                <w:color w:val="auto"/>
                <w:sz w:val="24"/>
              </w:rPr>
              <w:t>V</w:t>
            </w:r>
            <w:r>
              <w:rPr>
                <w:rFonts w:hint="eastAsia"/>
                <w:color w:val="auto"/>
                <w:sz w:val="24"/>
                <w:vertAlign w:val="subscript"/>
              </w:rPr>
              <w:t>0</w:t>
            </w:r>
            <w:r>
              <w:rPr>
                <w:rFonts w:hint="eastAsia"/>
                <w:color w:val="auto"/>
                <w:sz w:val="24"/>
              </w:rPr>
              <w:t>=3.53</w:t>
            </w:r>
            <w:r>
              <w:rPr>
                <w:color w:val="auto"/>
                <w:sz w:val="24"/>
              </w:rPr>
              <w:t>m</w:t>
            </w:r>
            <w:r>
              <w:rPr>
                <w:color w:val="auto"/>
                <w:sz w:val="24"/>
                <w:vertAlign w:val="superscript"/>
              </w:rPr>
              <w:t>3</w:t>
            </w:r>
            <w:r>
              <w:rPr>
                <w:color w:val="auto"/>
                <w:sz w:val="24"/>
              </w:rPr>
              <w:t>/kg，V</w:t>
            </w:r>
            <w:r>
              <w:rPr>
                <w:color w:val="auto"/>
                <w:sz w:val="24"/>
                <w:vertAlign w:val="subscript"/>
              </w:rPr>
              <w:t>g</w:t>
            </w:r>
            <w:r>
              <w:rPr>
                <w:rFonts w:hint="eastAsia"/>
                <w:color w:val="auto"/>
                <w:sz w:val="24"/>
              </w:rPr>
              <w:t>=6.00</w:t>
            </w:r>
            <w:r>
              <w:rPr>
                <w:color w:val="auto"/>
                <w:sz w:val="24"/>
              </w:rPr>
              <w:t>m</w:t>
            </w:r>
            <w:r>
              <w:rPr>
                <w:color w:val="auto"/>
                <w:sz w:val="24"/>
                <w:vertAlign w:val="superscript"/>
              </w:rPr>
              <w:t>3</w:t>
            </w:r>
            <w:r>
              <w:rPr>
                <w:color w:val="auto"/>
                <w:sz w:val="24"/>
              </w:rPr>
              <w:t>/kg</w:t>
            </w:r>
            <w:r>
              <w:rPr>
                <w:rFonts w:hint="eastAsia"/>
                <w:color w:val="auto"/>
                <w:sz w:val="24"/>
              </w:rPr>
              <w:t>。本项目2个360万kcal/h的生物质热风炉年用生物质量为</w:t>
            </w:r>
            <w:r>
              <w:rPr>
                <w:rFonts w:hint="eastAsia"/>
                <w:color w:val="auto"/>
                <w:kern w:val="0"/>
                <w:sz w:val="24"/>
                <w:lang w:eastAsia="zh-CN"/>
              </w:rPr>
              <w:t>2181</w:t>
            </w:r>
            <w:r>
              <w:rPr>
                <w:rFonts w:hint="eastAsia"/>
                <w:color w:val="auto"/>
                <w:kern w:val="0"/>
                <w:sz w:val="24"/>
              </w:rPr>
              <w:t>t，则锅炉烟气量为</w:t>
            </w:r>
            <w:r>
              <w:rPr>
                <w:rFonts w:hint="eastAsia"/>
                <w:color w:val="auto"/>
                <w:kern w:val="0"/>
                <w:sz w:val="24"/>
                <w:lang w:eastAsia="zh-CN"/>
              </w:rPr>
              <w:t>1.31</w:t>
            </w:r>
            <w:r>
              <w:rPr>
                <w:color w:val="auto"/>
                <w:sz w:val="24"/>
              </w:rPr>
              <w:t>×10</w:t>
            </w:r>
            <w:r>
              <w:rPr>
                <w:rFonts w:hint="eastAsia"/>
                <w:color w:val="auto"/>
                <w:sz w:val="24"/>
                <w:vertAlign w:val="superscript"/>
              </w:rPr>
              <w:t>7</w:t>
            </w:r>
            <w:r>
              <w:rPr>
                <w:color w:val="auto"/>
                <w:sz w:val="24"/>
              </w:rPr>
              <w:t>m</w:t>
            </w:r>
            <w:r>
              <w:rPr>
                <w:color w:val="auto"/>
                <w:sz w:val="24"/>
                <w:vertAlign w:val="superscript"/>
              </w:rPr>
              <w:t>3</w:t>
            </w:r>
            <w:r>
              <w:rPr>
                <w:color w:val="auto"/>
                <w:sz w:val="24"/>
              </w:rPr>
              <w:t>/a。</w:t>
            </w:r>
          </w:p>
          <w:p w14:paraId="3B274D31">
            <w:pPr>
              <w:spacing w:line="360" w:lineRule="auto"/>
              <w:ind w:firstLine="480" w:firstLineChars="200"/>
              <w:rPr>
                <w:color w:val="auto"/>
                <w:sz w:val="24"/>
                <w:vertAlign w:val="subscript"/>
              </w:rPr>
            </w:pPr>
            <w:r>
              <w:rPr>
                <w:color w:val="auto"/>
                <w:sz w:val="24"/>
              </w:rPr>
              <w:t>②SO</w:t>
            </w:r>
            <w:r>
              <w:rPr>
                <w:color w:val="auto"/>
                <w:sz w:val="24"/>
                <w:vertAlign w:val="subscript"/>
              </w:rPr>
              <w:t>2</w:t>
            </w:r>
          </w:p>
          <w:p w14:paraId="6B194518">
            <w:pPr>
              <w:spacing w:line="360" w:lineRule="auto"/>
              <w:ind w:firstLine="480" w:firstLineChars="200"/>
              <w:rPr>
                <w:color w:val="auto"/>
                <w:sz w:val="24"/>
              </w:rPr>
            </w:pPr>
            <w:r>
              <w:rPr>
                <w:color w:val="auto"/>
                <w:sz w:val="24"/>
              </w:rPr>
              <w:t>SO</w:t>
            </w:r>
            <w:r>
              <w:rPr>
                <w:color w:val="auto"/>
                <w:sz w:val="24"/>
                <w:vertAlign w:val="subscript"/>
              </w:rPr>
              <w:t>2</w:t>
            </w:r>
            <w:r>
              <w:rPr>
                <w:color w:val="auto"/>
                <w:sz w:val="24"/>
              </w:rPr>
              <w:t>排放量按如下公式计算：</w:t>
            </w:r>
          </w:p>
          <w:p w14:paraId="12030A13">
            <w:pPr>
              <w:spacing w:line="360" w:lineRule="auto"/>
              <w:jc w:val="center"/>
              <w:rPr>
                <w:color w:val="auto"/>
                <w:sz w:val="24"/>
              </w:rPr>
            </w:pPr>
            <w:r>
              <w:rPr>
                <w:color w:val="auto"/>
                <w:position w:val="-24"/>
                <w:szCs w:val="21"/>
              </w:rPr>
              <w:object>
                <v:shape id="_x0000_i1036" o:spt="75" type="#_x0000_t75" style="height:38.55pt;width:250.05pt;" o:ole="t" filled="f" o:preferrelative="t" stroked="f" coordsize="21600,21600">
                  <v:path/>
                  <v:fill on="f" focussize="0,0"/>
                  <v:stroke on="f" joinstyle="miter"/>
                  <v:imagedata r:id="rId37" o:title=""/>
                  <o:lock v:ext="edit" aspectratio="t"/>
                  <w10:wrap type="none"/>
                  <w10:anchorlock/>
                </v:shape>
                <o:OLEObject Type="Embed" ProgID="Equation.3" ShapeID="_x0000_i1036" DrawAspect="Content" ObjectID="_1468075736" r:id="rId36">
                  <o:LockedField>false</o:LockedField>
                </o:OLEObject>
              </w:object>
            </w:r>
          </w:p>
          <w:p w14:paraId="09D59A1F">
            <w:pPr>
              <w:spacing w:line="360" w:lineRule="auto"/>
              <w:ind w:firstLine="960" w:firstLineChars="400"/>
              <w:rPr>
                <w:color w:val="auto"/>
                <w:sz w:val="24"/>
              </w:rPr>
            </w:pPr>
            <w:r>
              <w:rPr>
                <w:color w:val="auto"/>
                <w:sz w:val="24"/>
              </w:rPr>
              <w:t>式中：</w:t>
            </w:r>
          </w:p>
          <w:p w14:paraId="12F6CAE1">
            <w:pPr>
              <w:spacing w:line="360" w:lineRule="auto"/>
              <w:ind w:firstLine="480" w:firstLineChars="200"/>
              <w:rPr>
                <w:color w:val="auto"/>
                <w:sz w:val="24"/>
              </w:rPr>
            </w:pPr>
            <w:r>
              <w:rPr>
                <w:color w:val="auto"/>
                <w:sz w:val="24"/>
              </w:rPr>
              <w:t>E</w:t>
            </w:r>
            <w:r>
              <w:rPr>
                <w:color w:val="auto"/>
                <w:sz w:val="24"/>
                <w:vertAlign w:val="subscript"/>
              </w:rPr>
              <w:t>SO2</w:t>
            </w:r>
            <w:r>
              <w:rPr>
                <w:color w:val="auto"/>
                <w:sz w:val="24"/>
              </w:rPr>
              <w:t>——核算时段内二氧化硫排放量，t，本项目核算时段取1a；</w:t>
            </w:r>
          </w:p>
          <w:p w14:paraId="46B1454F">
            <w:pPr>
              <w:spacing w:line="360" w:lineRule="auto"/>
              <w:ind w:firstLine="480" w:firstLineChars="200"/>
              <w:rPr>
                <w:color w:val="auto"/>
                <w:sz w:val="24"/>
              </w:rPr>
            </w:pPr>
            <w:r>
              <w:rPr>
                <w:color w:val="auto"/>
                <w:sz w:val="24"/>
              </w:rPr>
              <w:t>R——核算时段内锅炉燃料耗量，</w:t>
            </w:r>
            <w:r>
              <w:rPr>
                <w:rFonts w:hint="eastAsia"/>
                <w:color w:val="auto"/>
                <w:sz w:val="24"/>
              </w:rPr>
              <w:t>本项目2台</w:t>
            </w:r>
            <w:r>
              <w:rPr>
                <w:rFonts w:hint="eastAsia"/>
                <w:color w:val="auto"/>
                <w:sz w:val="24"/>
                <w:lang w:eastAsia="zh-CN"/>
              </w:rPr>
              <w:t>360万kcal/h</w:t>
            </w:r>
            <w:r>
              <w:rPr>
                <w:rFonts w:hint="eastAsia"/>
                <w:color w:val="auto"/>
                <w:sz w:val="24"/>
              </w:rPr>
              <w:t>生物质热风炉年用生物质量为</w:t>
            </w:r>
            <w:r>
              <w:rPr>
                <w:rFonts w:hint="eastAsia"/>
                <w:color w:val="auto"/>
                <w:kern w:val="0"/>
                <w:sz w:val="24"/>
                <w:lang w:eastAsia="zh-CN"/>
              </w:rPr>
              <w:t>2181</w:t>
            </w:r>
            <w:r>
              <w:rPr>
                <w:rFonts w:hint="eastAsia"/>
                <w:color w:val="auto"/>
                <w:kern w:val="0"/>
                <w:sz w:val="24"/>
              </w:rPr>
              <w:t>t</w:t>
            </w:r>
            <w:r>
              <w:rPr>
                <w:color w:val="auto"/>
                <w:sz w:val="24"/>
              </w:rPr>
              <w:t>。</w:t>
            </w:r>
          </w:p>
          <w:p w14:paraId="31AB063A">
            <w:pPr>
              <w:spacing w:line="360" w:lineRule="auto"/>
              <w:ind w:firstLine="480" w:firstLineChars="200"/>
              <w:rPr>
                <w:color w:val="auto"/>
                <w:sz w:val="24"/>
              </w:rPr>
            </w:pPr>
            <w:r>
              <w:rPr>
                <w:color w:val="auto"/>
                <w:sz w:val="24"/>
              </w:rPr>
              <w:t>Sar——收到基硫的质量分数，%，根据燃料成分分析为0.07；</w:t>
            </w:r>
          </w:p>
          <w:p w14:paraId="7C505025">
            <w:pPr>
              <w:spacing w:line="360" w:lineRule="auto"/>
              <w:ind w:firstLine="480" w:firstLineChars="200"/>
              <w:rPr>
                <w:color w:val="auto"/>
                <w:sz w:val="24"/>
              </w:rPr>
            </w:pPr>
            <w:r>
              <w:rPr>
                <w:color w:val="auto"/>
                <w:sz w:val="24"/>
              </w:rPr>
              <w:t>q</w:t>
            </w:r>
            <w:r>
              <w:rPr>
                <w:color w:val="auto"/>
                <w:sz w:val="24"/>
                <w:vertAlign w:val="subscript"/>
              </w:rPr>
              <w:t>4</w:t>
            </w:r>
            <w:r>
              <w:rPr>
                <w:color w:val="auto"/>
                <w:sz w:val="24"/>
              </w:rPr>
              <w:t>——锅炉机械不完全燃烧热损失，%，本项目取</w:t>
            </w:r>
            <w:r>
              <w:rPr>
                <w:rFonts w:hint="eastAsia"/>
                <w:color w:val="auto"/>
                <w:sz w:val="24"/>
              </w:rPr>
              <w:t>15</w:t>
            </w:r>
            <w:r>
              <w:rPr>
                <w:color w:val="auto"/>
                <w:sz w:val="24"/>
              </w:rPr>
              <w:t>；</w:t>
            </w:r>
          </w:p>
          <w:p w14:paraId="7585A106">
            <w:pPr>
              <w:spacing w:line="360" w:lineRule="auto"/>
              <w:ind w:firstLine="480" w:firstLineChars="200"/>
              <w:rPr>
                <w:color w:val="auto"/>
                <w:sz w:val="24"/>
              </w:rPr>
            </w:pPr>
            <w:r>
              <w:rPr>
                <w:color w:val="auto"/>
                <w:sz w:val="24"/>
              </w:rPr>
              <w:t>η</w:t>
            </w:r>
            <w:r>
              <w:rPr>
                <w:color w:val="auto"/>
                <w:sz w:val="24"/>
                <w:vertAlign w:val="subscript"/>
              </w:rPr>
              <w:t>s</w:t>
            </w:r>
            <w:r>
              <w:rPr>
                <w:color w:val="auto"/>
                <w:sz w:val="24"/>
              </w:rPr>
              <w:t>——脱硫效率，%，本项目取0；</w:t>
            </w:r>
          </w:p>
          <w:p w14:paraId="7A33D7C2">
            <w:pPr>
              <w:spacing w:line="360" w:lineRule="auto"/>
              <w:ind w:firstLine="480" w:firstLineChars="200"/>
              <w:rPr>
                <w:color w:val="auto"/>
                <w:sz w:val="24"/>
              </w:rPr>
            </w:pPr>
            <w:r>
              <w:rPr>
                <w:color w:val="auto"/>
                <w:sz w:val="24"/>
              </w:rPr>
              <w:t>K——燃料中的硫燃烧后氧化成二氧化硫的份额，量纲一的量，本项目取0.5；</w:t>
            </w:r>
          </w:p>
          <w:p w14:paraId="3C263547">
            <w:pPr>
              <w:spacing w:line="360" w:lineRule="auto"/>
              <w:ind w:firstLine="480" w:firstLineChars="200"/>
              <w:rPr>
                <w:color w:val="auto"/>
                <w:sz w:val="24"/>
              </w:rPr>
            </w:pPr>
            <w:r>
              <w:rPr>
                <w:rFonts w:hint="eastAsia"/>
                <w:color w:val="auto"/>
                <w:sz w:val="24"/>
              </w:rPr>
              <w:t>经计算，2台</w:t>
            </w:r>
            <w:r>
              <w:rPr>
                <w:rFonts w:hint="eastAsia"/>
                <w:color w:val="auto"/>
                <w:sz w:val="24"/>
                <w:lang w:eastAsia="zh-CN"/>
              </w:rPr>
              <w:t>360万kcal/h</w:t>
            </w:r>
            <w:r>
              <w:rPr>
                <w:rFonts w:hint="eastAsia"/>
                <w:color w:val="auto"/>
                <w:sz w:val="24"/>
              </w:rPr>
              <w:t>生物质热风炉二氧化硫排放量</w:t>
            </w:r>
            <w:r>
              <w:rPr>
                <w:rFonts w:hint="eastAsia"/>
                <w:color w:val="auto"/>
                <w:sz w:val="24"/>
                <w:lang w:eastAsia="zh-CN"/>
              </w:rPr>
              <w:t>1.30</w:t>
            </w:r>
            <w:r>
              <w:rPr>
                <w:rFonts w:hint="eastAsia"/>
                <w:color w:val="auto"/>
                <w:sz w:val="24"/>
              </w:rPr>
              <w:t>t/a。</w:t>
            </w:r>
          </w:p>
          <w:p w14:paraId="12964CFD">
            <w:pPr>
              <w:spacing w:line="360" w:lineRule="auto"/>
              <w:ind w:firstLine="480" w:firstLineChars="200"/>
              <w:rPr>
                <w:color w:val="auto"/>
                <w:sz w:val="24"/>
              </w:rPr>
            </w:pPr>
            <w:r>
              <w:rPr>
                <w:color w:val="auto"/>
                <w:sz w:val="24"/>
              </w:rPr>
              <w:t>③颗粒物（烟尘）</w:t>
            </w:r>
          </w:p>
          <w:p w14:paraId="570EDB92">
            <w:pPr>
              <w:spacing w:line="360" w:lineRule="auto"/>
              <w:ind w:firstLine="480" w:firstLineChars="200"/>
              <w:rPr>
                <w:color w:val="auto"/>
                <w:sz w:val="24"/>
              </w:rPr>
            </w:pPr>
            <w:r>
              <w:rPr>
                <w:color w:val="auto"/>
                <w:sz w:val="24"/>
              </w:rPr>
              <w:t>颗粒物排放量按如下公式计算：</w:t>
            </w:r>
          </w:p>
          <w:p w14:paraId="33A298CC">
            <w:pPr>
              <w:widowControl/>
              <w:spacing w:line="360" w:lineRule="auto"/>
              <w:jc w:val="center"/>
              <w:rPr>
                <w:color w:val="auto"/>
                <w:sz w:val="24"/>
              </w:rPr>
            </w:pPr>
            <w:r>
              <w:rPr>
                <w:color w:val="auto"/>
                <w:position w:val="-54"/>
                <w:szCs w:val="21"/>
              </w:rPr>
              <w:object>
                <v:shape id="_x0000_i1037" o:spt="75" type="#_x0000_t75" style="height:66.5pt;width:147.8pt;" o:ole="t" filled="f" o:preferrelative="t" stroked="f" coordsize="21600,21600">
                  <v:path/>
                  <v:fill on="f" focussize="0,0"/>
                  <v:stroke on="f" joinstyle="miter"/>
                  <v:imagedata r:id="rId39" o:title=""/>
                  <o:lock v:ext="edit" aspectratio="t"/>
                  <w10:wrap type="none"/>
                  <w10:anchorlock/>
                </v:shape>
                <o:OLEObject Type="Embed" ProgID="Equation.3" ShapeID="_x0000_i1037" DrawAspect="Content" ObjectID="_1468075737" r:id="rId38">
                  <o:LockedField>false</o:LockedField>
                </o:OLEObject>
              </w:object>
            </w:r>
          </w:p>
          <w:p w14:paraId="6ECC1EA4">
            <w:pPr>
              <w:spacing w:line="360" w:lineRule="auto"/>
              <w:ind w:firstLine="480" w:firstLineChars="200"/>
              <w:rPr>
                <w:color w:val="auto"/>
                <w:sz w:val="24"/>
              </w:rPr>
            </w:pPr>
            <w:r>
              <w:rPr>
                <w:color w:val="auto"/>
                <w:sz w:val="24"/>
              </w:rPr>
              <w:t>式中：E</w:t>
            </w:r>
            <w:r>
              <w:rPr>
                <w:color w:val="auto"/>
                <w:sz w:val="24"/>
                <w:vertAlign w:val="subscript"/>
              </w:rPr>
              <w:t>A</w:t>
            </w:r>
            <w:r>
              <w:rPr>
                <w:color w:val="auto"/>
                <w:sz w:val="24"/>
              </w:rPr>
              <w:t>——核算时段内颗粒物（烟尘）排放量，t，本项目核算时段取1a；</w:t>
            </w:r>
          </w:p>
          <w:p w14:paraId="6DD7F209">
            <w:pPr>
              <w:spacing w:line="360" w:lineRule="auto"/>
              <w:ind w:firstLine="480" w:firstLineChars="200"/>
              <w:rPr>
                <w:color w:val="auto"/>
                <w:sz w:val="24"/>
              </w:rPr>
            </w:pPr>
            <w:r>
              <w:rPr>
                <w:color w:val="auto"/>
                <w:sz w:val="24"/>
              </w:rPr>
              <w:t>R——核算时段内锅炉燃料耗量，本项目</w:t>
            </w:r>
            <w:r>
              <w:rPr>
                <w:rFonts w:hint="eastAsia"/>
                <w:color w:val="auto"/>
                <w:sz w:val="24"/>
              </w:rPr>
              <w:t>2台</w:t>
            </w:r>
            <w:r>
              <w:rPr>
                <w:rFonts w:hint="eastAsia"/>
                <w:color w:val="auto"/>
                <w:sz w:val="24"/>
                <w:lang w:eastAsia="zh-CN"/>
              </w:rPr>
              <w:t>360万kcal/h</w:t>
            </w:r>
            <w:r>
              <w:rPr>
                <w:color w:val="auto"/>
                <w:sz w:val="24"/>
              </w:rPr>
              <w:t>生物质热风炉年用生物质量为</w:t>
            </w:r>
            <w:r>
              <w:rPr>
                <w:rFonts w:hint="eastAsia"/>
                <w:color w:val="auto"/>
                <w:sz w:val="24"/>
                <w:lang w:eastAsia="zh-CN"/>
              </w:rPr>
              <w:t>2181</w:t>
            </w:r>
            <w:r>
              <w:rPr>
                <w:color w:val="auto"/>
                <w:kern w:val="0"/>
                <w:sz w:val="24"/>
              </w:rPr>
              <w:t>t</w:t>
            </w:r>
            <w:r>
              <w:rPr>
                <w:color w:val="auto"/>
                <w:sz w:val="24"/>
              </w:rPr>
              <w:t>。</w:t>
            </w:r>
          </w:p>
          <w:p w14:paraId="24120FEA">
            <w:pPr>
              <w:spacing w:line="360" w:lineRule="auto"/>
              <w:ind w:firstLine="480" w:firstLineChars="200"/>
              <w:rPr>
                <w:color w:val="auto"/>
                <w:sz w:val="24"/>
              </w:rPr>
            </w:pPr>
            <w:r>
              <w:rPr>
                <w:color w:val="auto"/>
                <w:sz w:val="24"/>
              </w:rPr>
              <w:t>Aar——收到基灰分的质量分数，%，根据燃料成分分析为</w:t>
            </w:r>
            <w:r>
              <w:rPr>
                <w:rFonts w:hint="eastAsia"/>
                <w:color w:val="auto"/>
                <w:sz w:val="24"/>
                <w:lang w:eastAsia="zh-CN"/>
              </w:rPr>
              <w:t>8.83</w:t>
            </w:r>
            <w:r>
              <w:rPr>
                <w:color w:val="auto"/>
                <w:sz w:val="24"/>
              </w:rPr>
              <w:t>；</w:t>
            </w:r>
          </w:p>
          <w:p w14:paraId="3BBEF799">
            <w:pPr>
              <w:spacing w:line="360" w:lineRule="auto"/>
              <w:ind w:firstLine="480" w:firstLineChars="200"/>
              <w:rPr>
                <w:color w:val="auto"/>
                <w:sz w:val="24"/>
              </w:rPr>
            </w:pPr>
            <w:r>
              <w:rPr>
                <w:color w:val="auto"/>
                <w:sz w:val="24"/>
              </w:rPr>
              <w:t>d</w:t>
            </w:r>
            <w:r>
              <w:rPr>
                <w:color w:val="auto"/>
                <w:sz w:val="24"/>
                <w:vertAlign w:val="subscript"/>
              </w:rPr>
              <w:t>fh</w:t>
            </w:r>
            <w:r>
              <w:rPr>
                <w:color w:val="auto"/>
                <w:sz w:val="24"/>
              </w:rPr>
              <w:t>——锅炉烟气带出的飞灰份额，%，</w:t>
            </w:r>
            <w:r>
              <w:rPr>
                <w:bCs/>
                <w:color w:val="auto"/>
                <w:sz w:val="24"/>
              </w:rPr>
              <w:t>（链条炉排灰分份额为10%-20%，燃生物质时飞灰份额加30%，本项目取</w:t>
            </w:r>
            <w:r>
              <w:rPr>
                <w:rFonts w:hint="eastAsia"/>
                <w:bCs/>
                <w:color w:val="auto"/>
                <w:sz w:val="24"/>
                <w:lang w:val="en-US" w:eastAsia="zh-CN"/>
              </w:rPr>
              <w:t>20</w:t>
            </w:r>
            <w:r>
              <w:rPr>
                <w:bCs/>
                <w:color w:val="auto"/>
                <w:sz w:val="24"/>
              </w:rPr>
              <w:t>%，则最终灰分份额取</w:t>
            </w:r>
            <w:r>
              <w:rPr>
                <w:rFonts w:hint="eastAsia"/>
                <w:bCs/>
                <w:color w:val="auto"/>
                <w:sz w:val="24"/>
                <w:lang w:val="en-US" w:eastAsia="zh-CN"/>
              </w:rPr>
              <w:t>50</w:t>
            </w:r>
            <w:r>
              <w:rPr>
                <w:bCs/>
                <w:color w:val="auto"/>
                <w:sz w:val="24"/>
              </w:rPr>
              <w:t>%）</w:t>
            </w:r>
            <w:r>
              <w:rPr>
                <w:color w:val="auto"/>
                <w:sz w:val="24"/>
              </w:rPr>
              <w:t>；</w:t>
            </w:r>
          </w:p>
          <w:p w14:paraId="3B42639B">
            <w:pPr>
              <w:spacing w:line="360" w:lineRule="auto"/>
              <w:ind w:firstLine="480" w:firstLineChars="200"/>
              <w:rPr>
                <w:color w:val="auto"/>
                <w:sz w:val="24"/>
              </w:rPr>
            </w:pPr>
            <w:r>
              <w:rPr>
                <w:color w:val="auto"/>
                <w:sz w:val="24"/>
              </w:rPr>
              <w:t>η</w:t>
            </w:r>
            <w:r>
              <w:rPr>
                <w:color w:val="auto"/>
                <w:sz w:val="24"/>
                <w:vertAlign w:val="subscript"/>
              </w:rPr>
              <w:t>c</w:t>
            </w:r>
            <w:r>
              <w:rPr>
                <w:color w:val="auto"/>
                <w:sz w:val="24"/>
              </w:rPr>
              <w:t>——综合除尘效率，99.7%；</w:t>
            </w:r>
          </w:p>
          <w:p w14:paraId="32174316">
            <w:pPr>
              <w:spacing w:line="360" w:lineRule="auto"/>
              <w:ind w:firstLine="480" w:firstLineChars="200"/>
              <w:rPr>
                <w:color w:val="auto"/>
                <w:sz w:val="24"/>
              </w:rPr>
            </w:pPr>
            <w:r>
              <w:rPr>
                <w:color w:val="auto"/>
                <w:sz w:val="24"/>
              </w:rPr>
              <w:t>C</w:t>
            </w:r>
            <w:r>
              <w:rPr>
                <w:color w:val="auto"/>
                <w:sz w:val="24"/>
                <w:vertAlign w:val="subscript"/>
              </w:rPr>
              <w:t>fh</w:t>
            </w:r>
            <w:r>
              <w:rPr>
                <w:color w:val="auto"/>
                <w:sz w:val="24"/>
              </w:rPr>
              <w:t>——飞灰中的可燃物含量，%，本次取值10；</w:t>
            </w:r>
          </w:p>
          <w:p w14:paraId="7ADEC3B5">
            <w:pPr>
              <w:spacing w:line="360" w:lineRule="auto"/>
              <w:ind w:left="1199" w:leftChars="228" w:hanging="720" w:hangingChars="300"/>
              <w:jc w:val="left"/>
              <w:rPr>
                <w:color w:val="auto"/>
                <w:sz w:val="24"/>
              </w:rPr>
            </w:pPr>
            <w:r>
              <w:rPr>
                <w:rFonts w:hint="eastAsia"/>
                <w:color w:val="auto"/>
                <w:sz w:val="24"/>
              </w:rPr>
              <w:t>经计算，本项目2台</w:t>
            </w:r>
            <w:r>
              <w:rPr>
                <w:rFonts w:hint="eastAsia"/>
                <w:color w:val="auto"/>
                <w:sz w:val="24"/>
                <w:lang w:eastAsia="zh-CN"/>
              </w:rPr>
              <w:t>360万kcal/h</w:t>
            </w:r>
            <w:r>
              <w:rPr>
                <w:rFonts w:hint="eastAsia"/>
                <w:color w:val="auto"/>
                <w:sz w:val="24"/>
              </w:rPr>
              <w:t>生物质热风炉颗粒物排放量</w:t>
            </w:r>
            <w:r>
              <w:rPr>
                <w:color w:val="auto"/>
                <w:sz w:val="24"/>
              </w:rPr>
              <w:t>E</w:t>
            </w:r>
            <w:r>
              <w:rPr>
                <w:color w:val="auto"/>
                <w:sz w:val="24"/>
                <w:vertAlign w:val="subscript"/>
              </w:rPr>
              <w:t>A</w:t>
            </w:r>
            <w:r>
              <w:rPr>
                <w:rFonts w:hint="eastAsia"/>
                <w:color w:val="auto"/>
                <w:sz w:val="24"/>
              </w:rPr>
              <w:t>=</w:t>
            </w:r>
            <w:r>
              <w:rPr>
                <w:rFonts w:hint="eastAsia"/>
                <w:color w:val="auto"/>
                <w:sz w:val="24"/>
                <w:lang w:eastAsia="zh-CN"/>
              </w:rPr>
              <w:t>2181</w:t>
            </w:r>
            <w:r>
              <w:rPr>
                <w:rFonts w:hint="eastAsia"/>
                <w:color w:val="auto"/>
                <w:sz w:val="24"/>
              </w:rPr>
              <w:t>*</w:t>
            </w:r>
            <w:r>
              <w:rPr>
                <w:rFonts w:hint="eastAsia"/>
                <w:color w:val="auto"/>
                <w:sz w:val="24"/>
                <w:lang w:eastAsia="zh-CN"/>
              </w:rPr>
              <w:t>8.83</w:t>
            </w:r>
            <w:r>
              <w:rPr>
                <w:rFonts w:hint="eastAsia"/>
                <w:color w:val="auto"/>
                <w:sz w:val="24"/>
              </w:rPr>
              <w:t>/100*</w:t>
            </w:r>
            <w:r>
              <w:rPr>
                <w:rFonts w:hint="eastAsia"/>
                <w:color w:val="auto"/>
                <w:sz w:val="24"/>
                <w:lang w:val="en-US" w:eastAsia="zh-CN"/>
              </w:rPr>
              <w:t>50</w:t>
            </w:r>
            <w:r>
              <w:rPr>
                <w:rFonts w:hint="eastAsia"/>
                <w:color w:val="auto"/>
                <w:sz w:val="24"/>
              </w:rPr>
              <w:t>/100*(1-0.997)/(1-0.1)=</w:t>
            </w:r>
            <w:r>
              <w:rPr>
                <w:rFonts w:hint="eastAsia"/>
                <w:color w:val="auto"/>
                <w:sz w:val="24"/>
                <w:lang w:eastAsia="zh-CN"/>
              </w:rPr>
              <w:t>0.32</w:t>
            </w:r>
            <w:r>
              <w:rPr>
                <w:rFonts w:hint="eastAsia"/>
                <w:color w:val="auto"/>
                <w:sz w:val="24"/>
              </w:rPr>
              <w:t>t/a</w:t>
            </w:r>
          </w:p>
          <w:p w14:paraId="6F85C844">
            <w:pPr>
              <w:spacing w:line="360" w:lineRule="auto"/>
              <w:ind w:firstLine="480" w:firstLineChars="200"/>
              <w:rPr>
                <w:color w:val="auto"/>
                <w:sz w:val="24"/>
              </w:rPr>
            </w:pPr>
            <w:r>
              <w:rPr>
                <w:color w:val="auto"/>
                <w:sz w:val="24"/>
              </w:rPr>
              <w:t>④NOx</w:t>
            </w:r>
          </w:p>
          <w:p w14:paraId="455D9672">
            <w:pPr>
              <w:spacing w:line="360" w:lineRule="auto"/>
              <w:ind w:firstLine="480" w:firstLineChars="200"/>
              <w:rPr>
                <w:color w:val="auto"/>
                <w:sz w:val="24"/>
              </w:rPr>
            </w:pPr>
            <w:r>
              <w:rPr>
                <w:color w:val="auto"/>
                <w:sz w:val="24"/>
              </w:rPr>
              <w:t>在《排污许可证申请与核发技术规范 工业炉窑》（HJ1121-2020）中氮氧化物没有物料衡算法，本项目氮氧化物排放量采用产排污系数法。根据《排污许可证申请与核发技术规范 锅炉》（HJ 953-2018）中附录F.4燃生物质工业锅炉的废气产排污系数，可知烟气</w:t>
            </w:r>
            <w:r>
              <w:rPr>
                <w:rFonts w:hint="eastAsia"/>
                <w:color w:val="auto"/>
                <w:sz w:val="24"/>
                <w:lang w:val="en-US" w:eastAsia="zh-CN"/>
              </w:rPr>
              <w:t>采用烟气再循环低氮燃烧技术</w:t>
            </w:r>
            <w:r>
              <w:rPr>
                <w:color w:val="auto"/>
                <w:sz w:val="24"/>
              </w:rPr>
              <w:t>处理的氮氧化物排污系数为0.71千克/吨－燃料</w:t>
            </w:r>
            <w:r>
              <w:rPr>
                <w:rFonts w:hint="eastAsia"/>
                <w:color w:val="auto"/>
                <w:sz w:val="24"/>
              </w:rPr>
              <w:t>（按照该规范，氮氧化物直排产污系数为1.02</w:t>
            </w:r>
            <w:r>
              <w:rPr>
                <w:color w:val="auto"/>
                <w:sz w:val="24"/>
              </w:rPr>
              <w:t>千克/吨－燃料</w:t>
            </w:r>
            <w:r>
              <w:rPr>
                <w:rFonts w:hint="eastAsia"/>
                <w:color w:val="auto"/>
                <w:sz w:val="24"/>
              </w:rPr>
              <w:t>，故氮氧化物处理效率按照30.39%计）</w:t>
            </w:r>
            <w:r>
              <w:rPr>
                <w:color w:val="auto"/>
                <w:sz w:val="24"/>
              </w:rPr>
              <w:t>。</w:t>
            </w:r>
          </w:p>
          <w:p w14:paraId="5C9250AB">
            <w:pPr>
              <w:spacing w:line="360" w:lineRule="auto"/>
              <w:ind w:firstLine="420" w:firstLineChars="200"/>
              <w:jc w:val="center"/>
              <w:rPr>
                <w:color w:val="auto"/>
                <w:sz w:val="24"/>
              </w:rPr>
            </w:pPr>
            <w:r>
              <w:rPr>
                <w:color w:val="auto"/>
              </w:rPr>
              <w:drawing>
                <wp:inline distT="0" distB="0" distL="114300" distR="114300">
                  <wp:extent cx="2322830" cy="567055"/>
                  <wp:effectExtent l="0" t="0" r="1270" b="4445"/>
                  <wp:docPr id="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0"/>
                          <pic:cNvPicPr>
                            <a:picLocks noChangeAspect="1"/>
                          </pic:cNvPicPr>
                        </pic:nvPicPr>
                        <pic:blipFill>
                          <a:blip r:embed="rId40"/>
                          <a:stretch>
                            <a:fillRect/>
                          </a:stretch>
                        </pic:blipFill>
                        <pic:spPr>
                          <a:xfrm>
                            <a:off x="0" y="0"/>
                            <a:ext cx="2322830" cy="567055"/>
                          </a:xfrm>
                          <a:prstGeom prst="rect">
                            <a:avLst/>
                          </a:prstGeom>
                          <a:noFill/>
                          <a:ln>
                            <a:noFill/>
                          </a:ln>
                        </pic:spPr>
                      </pic:pic>
                    </a:graphicData>
                  </a:graphic>
                </wp:inline>
              </w:drawing>
            </w:r>
          </w:p>
          <w:p w14:paraId="0B62A4A4">
            <w:pPr>
              <w:pStyle w:val="68"/>
              <w:spacing w:beforeLines="0" w:afterLines="0" w:line="360" w:lineRule="auto"/>
              <w:ind w:firstLine="480"/>
              <w:jc w:val="left"/>
              <w:rPr>
                <w:color w:val="auto"/>
              </w:rPr>
            </w:pPr>
            <w:r>
              <w:rPr>
                <w:color w:val="auto"/>
              </w:rPr>
              <w:t>式中：</w:t>
            </w:r>
          </w:p>
          <w:p w14:paraId="5F28893B">
            <w:pPr>
              <w:pStyle w:val="68"/>
              <w:spacing w:beforeLines="0" w:afterLines="0" w:line="360" w:lineRule="auto"/>
              <w:ind w:firstLine="480"/>
              <w:jc w:val="left"/>
              <w:rPr>
                <w:color w:val="auto"/>
              </w:rPr>
            </w:pPr>
            <w:r>
              <w:rPr>
                <w:color w:val="auto"/>
              </w:rPr>
              <w:t>Ej—核算时段内第j种污染物排放量，t；</w:t>
            </w:r>
          </w:p>
          <w:p w14:paraId="58B0BFF3">
            <w:pPr>
              <w:pStyle w:val="68"/>
              <w:spacing w:beforeLines="0" w:afterLines="0" w:line="360" w:lineRule="auto"/>
              <w:ind w:firstLine="480"/>
              <w:jc w:val="left"/>
              <w:rPr>
                <w:color w:val="auto"/>
              </w:rPr>
            </w:pPr>
            <w:r>
              <w:rPr>
                <w:color w:val="auto"/>
              </w:rPr>
              <w:t>R—核算时段内燃料耗量，t；本项目取</w:t>
            </w:r>
            <w:r>
              <w:rPr>
                <w:rFonts w:hint="eastAsia"/>
                <w:color w:val="auto"/>
                <w:lang w:eastAsia="zh-CN"/>
              </w:rPr>
              <w:t>2181</w:t>
            </w:r>
            <w:r>
              <w:rPr>
                <w:color w:val="auto"/>
              </w:rPr>
              <w:t>；</w:t>
            </w:r>
          </w:p>
          <w:p w14:paraId="2D4D981B">
            <w:pPr>
              <w:pStyle w:val="68"/>
              <w:spacing w:beforeLines="0" w:afterLines="0" w:line="360" w:lineRule="auto"/>
              <w:ind w:firstLine="480"/>
              <w:jc w:val="left"/>
              <w:rPr>
                <w:color w:val="auto"/>
              </w:rPr>
            </w:pPr>
            <w:r>
              <w:rPr>
                <w:color w:val="auto"/>
              </w:rPr>
              <w:t>βj—产污系数，kg/t，参见《排污许可申请与核发技术规范 锅炉》（HJ953），氮氧化物取1.02千克/吨-燃料；</w:t>
            </w:r>
          </w:p>
          <w:p w14:paraId="033222BD">
            <w:pPr>
              <w:pStyle w:val="68"/>
              <w:spacing w:beforeLines="0" w:afterLines="0" w:line="360" w:lineRule="auto"/>
              <w:ind w:firstLine="480"/>
              <w:jc w:val="left"/>
              <w:rPr>
                <w:color w:val="auto"/>
              </w:rPr>
            </w:pPr>
            <w:r>
              <w:rPr>
                <w:color w:val="auto"/>
              </w:rPr>
              <w:t>η—污染物脱除效率，%；本次取</w:t>
            </w:r>
            <w:r>
              <w:rPr>
                <w:rFonts w:hint="eastAsia"/>
                <w:color w:val="auto"/>
              </w:rPr>
              <w:t>30.39</w:t>
            </w:r>
            <w:r>
              <w:rPr>
                <w:color w:val="auto"/>
              </w:rPr>
              <w:t>%；</w:t>
            </w:r>
          </w:p>
          <w:p w14:paraId="3C31E3AD">
            <w:pPr>
              <w:spacing w:line="360" w:lineRule="auto"/>
              <w:ind w:firstLine="480" w:firstLineChars="200"/>
              <w:rPr>
                <w:color w:val="auto"/>
                <w:sz w:val="24"/>
              </w:rPr>
            </w:pPr>
            <w:r>
              <w:rPr>
                <w:color w:val="auto"/>
                <w:sz w:val="24"/>
              </w:rPr>
              <w:t>经计算，本项目</w:t>
            </w:r>
            <w:r>
              <w:rPr>
                <w:rFonts w:hint="eastAsia"/>
                <w:color w:val="auto"/>
                <w:sz w:val="24"/>
              </w:rPr>
              <w:t>2台</w:t>
            </w:r>
            <w:r>
              <w:rPr>
                <w:rFonts w:hint="eastAsia"/>
                <w:color w:val="auto"/>
                <w:sz w:val="24"/>
                <w:lang w:eastAsia="zh-CN"/>
              </w:rPr>
              <w:t>360万kcal/h</w:t>
            </w:r>
            <w:r>
              <w:rPr>
                <w:rFonts w:hint="eastAsia"/>
                <w:color w:val="auto"/>
                <w:sz w:val="24"/>
              </w:rPr>
              <w:t>生物质热风炉</w:t>
            </w:r>
            <w:r>
              <w:rPr>
                <w:color w:val="auto"/>
                <w:sz w:val="24"/>
              </w:rPr>
              <w:t>中氮氧化物排放量为</w:t>
            </w:r>
            <w:r>
              <w:rPr>
                <w:rFonts w:hint="eastAsia"/>
                <w:color w:val="auto"/>
                <w:sz w:val="24"/>
                <w:lang w:eastAsia="zh-CN"/>
              </w:rPr>
              <w:t>1.55</w:t>
            </w:r>
            <w:r>
              <w:rPr>
                <w:color w:val="auto"/>
                <w:sz w:val="24"/>
              </w:rPr>
              <w:t>t/a。</w:t>
            </w:r>
          </w:p>
          <w:p w14:paraId="716BB9DD">
            <w:pPr>
              <w:pStyle w:val="107"/>
              <w:adjustRightInd/>
              <w:snapToGrid/>
              <w:ind w:firstLine="480"/>
              <w:rPr>
                <w:color w:val="auto"/>
                <w:sz w:val="24"/>
              </w:rPr>
            </w:pPr>
            <w:r>
              <w:rPr>
                <w:rFonts w:hint="eastAsia"/>
                <w:color w:val="auto"/>
                <w:sz w:val="24"/>
              </w:rPr>
              <w:t>本项目生物质锅炉排放情况见表4-1。</w:t>
            </w:r>
          </w:p>
          <w:p w14:paraId="6E3D2C40">
            <w:pPr>
              <w:pStyle w:val="69"/>
              <w:ind w:firstLine="482"/>
              <w:jc w:val="center"/>
              <w:rPr>
                <w:b/>
                <w:bCs/>
                <w:color w:val="auto"/>
              </w:rPr>
            </w:pPr>
            <w:r>
              <w:rPr>
                <w:rFonts w:hint="eastAsia"/>
                <w:b/>
                <w:bCs/>
                <w:color w:val="auto"/>
              </w:rPr>
              <w:t>表4-1  生物质热风炉大气污染物排放一览表</w:t>
            </w:r>
          </w:p>
          <w:tbl>
            <w:tblPr>
              <w:tblStyle w:val="35"/>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91"/>
              <w:gridCol w:w="2035"/>
              <w:gridCol w:w="1667"/>
              <w:gridCol w:w="2244"/>
            </w:tblGrid>
            <w:tr w14:paraId="330ED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6" w:type="dxa"/>
                  <w:gridSpan w:val="2"/>
                  <w:tcBorders>
                    <w:left w:val="nil"/>
                  </w:tcBorders>
                  <w:vAlign w:val="center"/>
                </w:tcPr>
                <w:p w14:paraId="7F3EB0C0">
                  <w:pPr>
                    <w:jc w:val="center"/>
                    <w:rPr>
                      <w:color w:val="auto"/>
                      <w:szCs w:val="21"/>
                    </w:rPr>
                  </w:pPr>
                  <w:r>
                    <w:rPr>
                      <w:color w:val="auto"/>
                      <w:szCs w:val="21"/>
                    </w:rPr>
                    <w:t>项目</w:t>
                  </w:r>
                </w:p>
              </w:tc>
              <w:tc>
                <w:tcPr>
                  <w:tcW w:w="1667" w:type="dxa"/>
                  <w:vAlign w:val="center"/>
                </w:tcPr>
                <w:p w14:paraId="3D6882DA">
                  <w:pPr>
                    <w:jc w:val="center"/>
                    <w:rPr>
                      <w:color w:val="auto"/>
                      <w:szCs w:val="21"/>
                    </w:rPr>
                  </w:pPr>
                  <w:r>
                    <w:rPr>
                      <w:color w:val="auto"/>
                      <w:szCs w:val="21"/>
                    </w:rPr>
                    <w:t>单位</w:t>
                  </w:r>
                </w:p>
              </w:tc>
              <w:tc>
                <w:tcPr>
                  <w:tcW w:w="2244" w:type="dxa"/>
                  <w:tcBorders>
                    <w:right w:val="nil"/>
                  </w:tcBorders>
                  <w:vAlign w:val="center"/>
                </w:tcPr>
                <w:p w14:paraId="14992160">
                  <w:pPr>
                    <w:jc w:val="center"/>
                    <w:rPr>
                      <w:color w:val="auto"/>
                      <w:szCs w:val="21"/>
                    </w:rPr>
                  </w:pPr>
                  <w:r>
                    <w:rPr>
                      <w:rFonts w:hint="eastAsia"/>
                      <w:color w:val="auto"/>
                      <w:szCs w:val="21"/>
                      <w:lang w:eastAsia="zh-CN"/>
                    </w:rPr>
                    <w:t>360万kcal/h</w:t>
                  </w:r>
                  <w:r>
                    <w:rPr>
                      <w:rFonts w:hint="eastAsia"/>
                      <w:color w:val="auto"/>
                      <w:szCs w:val="21"/>
                    </w:rPr>
                    <w:t>生物质热风炉</w:t>
                  </w:r>
                </w:p>
              </w:tc>
            </w:tr>
            <w:tr w14:paraId="38FD22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37" w:type="dxa"/>
                  <w:gridSpan w:val="4"/>
                  <w:tcBorders>
                    <w:left w:val="nil"/>
                    <w:right w:val="nil"/>
                  </w:tcBorders>
                  <w:vAlign w:val="center"/>
                </w:tcPr>
                <w:p w14:paraId="60858C33">
                  <w:pPr>
                    <w:jc w:val="center"/>
                    <w:rPr>
                      <w:color w:val="auto"/>
                      <w:szCs w:val="21"/>
                    </w:rPr>
                  </w:pPr>
                  <w:r>
                    <w:rPr>
                      <w:rFonts w:hint="eastAsia"/>
                      <w:b/>
                      <w:bCs/>
                      <w:color w:val="auto"/>
                      <w:szCs w:val="21"/>
                    </w:rPr>
                    <w:t>热风炉1</w:t>
                  </w:r>
                </w:p>
              </w:tc>
            </w:tr>
            <w:tr w14:paraId="043F8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6" w:type="dxa"/>
                  <w:gridSpan w:val="2"/>
                  <w:tcBorders>
                    <w:left w:val="nil"/>
                  </w:tcBorders>
                  <w:vAlign w:val="center"/>
                </w:tcPr>
                <w:p w14:paraId="25641D43">
                  <w:pPr>
                    <w:jc w:val="center"/>
                    <w:rPr>
                      <w:color w:val="auto"/>
                      <w:szCs w:val="21"/>
                    </w:rPr>
                  </w:pPr>
                  <w:r>
                    <w:rPr>
                      <w:color w:val="auto"/>
                      <w:szCs w:val="21"/>
                    </w:rPr>
                    <w:t>烟气量</w:t>
                  </w:r>
                </w:p>
              </w:tc>
              <w:tc>
                <w:tcPr>
                  <w:tcW w:w="1667" w:type="dxa"/>
                  <w:vAlign w:val="center"/>
                </w:tcPr>
                <w:p w14:paraId="7A66AAA6">
                  <w:pPr>
                    <w:jc w:val="center"/>
                    <w:rPr>
                      <w:color w:val="auto"/>
                      <w:szCs w:val="21"/>
                    </w:rPr>
                  </w:pPr>
                  <w:r>
                    <w:rPr>
                      <w:color w:val="auto"/>
                      <w:szCs w:val="21"/>
                    </w:rPr>
                    <w:t>m</w:t>
                  </w:r>
                  <w:r>
                    <w:rPr>
                      <w:color w:val="auto"/>
                      <w:szCs w:val="21"/>
                      <w:vertAlign w:val="superscript"/>
                    </w:rPr>
                    <w:t>3</w:t>
                  </w:r>
                  <w:r>
                    <w:rPr>
                      <w:color w:val="auto"/>
                      <w:szCs w:val="21"/>
                    </w:rPr>
                    <w:t>/h</w:t>
                  </w:r>
                </w:p>
              </w:tc>
              <w:tc>
                <w:tcPr>
                  <w:tcW w:w="2244" w:type="dxa"/>
                  <w:tcBorders>
                    <w:right w:val="nil"/>
                  </w:tcBorders>
                  <w:vAlign w:val="center"/>
                </w:tcPr>
                <w:p w14:paraId="02D1B665">
                  <w:pPr>
                    <w:jc w:val="center"/>
                    <w:rPr>
                      <w:rFonts w:hint="eastAsia" w:eastAsia="宋体"/>
                      <w:color w:val="auto"/>
                      <w:szCs w:val="21"/>
                      <w:lang w:eastAsia="zh-CN"/>
                    </w:rPr>
                  </w:pPr>
                  <w:r>
                    <w:rPr>
                      <w:rFonts w:hint="eastAsia"/>
                      <w:color w:val="auto"/>
                      <w:szCs w:val="21"/>
                      <w:lang w:eastAsia="zh-CN"/>
                    </w:rPr>
                    <w:t>8019.59</w:t>
                  </w:r>
                </w:p>
              </w:tc>
            </w:tr>
            <w:tr w14:paraId="48B3A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91" w:type="dxa"/>
                  <w:vMerge w:val="restart"/>
                  <w:tcBorders>
                    <w:left w:val="nil"/>
                  </w:tcBorders>
                  <w:vAlign w:val="center"/>
                </w:tcPr>
                <w:p w14:paraId="461B5882">
                  <w:pPr>
                    <w:jc w:val="center"/>
                    <w:rPr>
                      <w:color w:val="auto"/>
                      <w:szCs w:val="21"/>
                    </w:rPr>
                  </w:pPr>
                  <w:r>
                    <w:rPr>
                      <w:color w:val="auto"/>
                      <w:szCs w:val="21"/>
                    </w:rPr>
                    <w:t>SO</w:t>
                  </w:r>
                  <w:r>
                    <w:rPr>
                      <w:color w:val="auto"/>
                      <w:szCs w:val="21"/>
                      <w:vertAlign w:val="subscript"/>
                    </w:rPr>
                    <w:t>2</w:t>
                  </w:r>
                </w:p>
              </w:tc>
              <w:tc>
                <w:tcPr>
                  <w:tcW w:w="2035" w:type="dxa"/>
                  <w:vAlign w:val="center"/>
                </w:tcPr>
                <w:p w14:paraId="22B7D03C">
                  <w:pPr>
                    <w:jc w:val="center"/>
                    <w:rPr>
                      <w:color w:val="auto"/>
                      <w:szCs w:val="21"/>
                    </w:rPr>
                  </w:pPr>
                  <w:r>
                    <w:rPr>
                      <w:color w:val="auto"/>
                      <w:szCs w:val="21"/>
                    </w:rPr>
                    <w:t>产生浓度</w:t>
                  </w:r>
                </w:p>
              </w:tc>
              <w:tc>
                <w:tcPr>
                  <w:tcW w:w="1667" w:type="dxa"/>
                  <w:vAlign w:val="center"/>
                </w:tcPr>
                <w:p w14:paraId="407B2122">
                  <w:pPr>
                    <w:jc w:val="center"/>
                    <w:rPr>
                      <w:color w:val="auto"/>
                      <w:szCs w:val="21"/>
                    </w:rPr>
                  </w:pPr>
                  <w:r>
                    <w:rPr>
                      <w:color w:val="auto"/>
                      <w:szCs w:val="21"/>
                    </w:rPr>
                    <w:t>mg/m</w:t>
                  </w:r>
                  <w:r>
                    <w:rPr>
                      <w:color w:val="auto"/>
                      <w:szCs w:val="21"/>
                      <w:vertAlign w:val="superscript"/>
                    </w:rPr>
                    <w:t>3</w:t>
                  </w:r>
                </w:p>
              </w:tc>
              <w:tc>
                <w:tcPr>
                  <w:tcW w:w="2244" w:type="dxa"/>
                  <w:tcBorders>
                    <w:right w:val="nil"/>
                  </w:tcBorders>
                  <w:vAlign w:val="center"/>
                </w:tcPr>
                <w:p w14:paraId="39FE571F">
                  <w:pPr>
                    <w:jc w:val="center"/>
                    <w:rPr>
                      <w:color w:val="auto"/>
                      <w:szCs w:val="21"/>
                    </w:rPr>
                  </w:pPr>
                  <w:r>
                    <w:rPr>
                      <w:rFonts w:hint="eastAsia"/>
                      <w:color w:val="auto"/>
                      <w:szCs w:val="21"/>
                    </w:rPr>
                    <w:t>99.18</w:t>
                  </w:r>
                </w:p>
              </w:tc>
            </w:tr>
            <w:tr w14:paraId="2A152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7749195D">
                  <w:pPr>
                    <w:jc w:val="center"/>
                    <w:rPr>
                      <w:color w:val="auto"/>
                      <w:szCs w:val="21"/>
                    </w:rPr>
                  </w:pPr>
                </w:p>
              </w:tc>
              <w:tc>
                <w:tcPr>
                  <w:tcW w:w="2035" w:type="dxa"/>
                  <w:vAlign w:val="center"/>
                </w:tcPr>
                <w:p w14:paraId="607E1884">
                  <w:pPr>
                    <w:jc w:val="center"/>
                    <w:rPr>
                      <w:color w:val="auto"/>
                      <w:szCs w:val="21"/>
                    </w:rPr>
                  </w:pPr>
                  <w:r>
                    <w:rPr>
                      <w:color w:val="auto"/>
                      <w:szCs w:val="21"/>
                    </w:rPr>
                    <w:t>产生量</w:t>
                  </w:r>
                </w:p>
              </w:tc>
              <w:tc>
                <w:tcPr>
                  <w:tcW w:w="1667" w:type="dxa"/>
                  <w:vAlign w:val="center"/>
                </w:tcPr>
                <w:p w14:paraId="07096D13">
                  <w:pPr>
                    <w:jc w:val="center"/>
                    <w:rPr>
                      <w:color w:val="auto"/>
                      <w:szCs w:val="21"/>
                    </w:rPr>
                  </w:pPr>
                  <w:r>
                    <w:rPr>
                      <w:color w:val="auto"/>
                      <w:szCs w:val="21"/>
                    </w:rPr>
                    <w:t>kg/h</w:t>
                  </w:r>
                </w:p>
              </w:tc>
              <w:tc>
                <w:tcPr>
                  <w:tcW w:w="2244" w:type="dxa"/>
                  <w:tcBorders>
                    <w:right w:val="nil"/>
                  </w:tcBorders>
                  <w:vAlign w:val="center"/>
                </w:tcPr>
                <w:p w14:paraId="7038B72D">
                  <w:pPr>
                    <w:jc w:val="center"/>
                    <w:rPr>
                      <w:rFonts w:hint="eastAsia" w:eastAsia="宋体"/>
                      <w:color w:val="auto"/>
                      <w:szCs w:val="21"/>
                      <w:lang w:eastAsia="zh-CN"/>
                    </w:rPr>
                  </w:pPr>
                  <w:r>
                    <w:rPr>
                      <w:rFonts w:hint="eastAsia"/>
                      <w:color w:val="auto"/>
                      <w:szCs w:val="21"/>
                      <w:lang w:eastAsia="zh-CN"/>
                    </w:rPr>
                    <w:t>0.80</w:t>
                  </w:r>
                </w:p>
              </w:tc>
            </w:tr>
            <w:tr w14:paraId="4F4B6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223DA5B8">
                  <w:pPr>
                    <w:jc w:val="center"/>
                    <w:rPr>
                      <w:color w:val="auto"/>
                      <w:szCs w:val="21"/>
                    </w:rPr>
                  </w:pPr>
                </w:p>
              </w:tc>
              <w:tc>
                <w:tcPr>
                  <w:tcW w:w="2035" w:type="dxa"/>
                  <w:vAlign w:val="center"/>
                </w:tcPr>
                <w:p w14:paraId="21D07D99">
                  <w:pPr>
                    <w:jc w:val="center"/>
                    <w:rPr>
                      <w:color w:val="auto"/>
                      <w:szCs w:val="21"/>
                    </w:rPr>
                  </w:pPr>
                  <w:r>
                    <w:rPr>
                      <w:color w:val="auto"/>
                      <w:szCs w:val="21"/>
                    </w:rPr>
                    <w:t>排放浓度</w:t>
                  </w:r>
                </w:p>
              </w:tc>
              <w:tc>
                <w:tcPr>
                  <w:tcW w:w="1667" w:type="dxa"/>
                  <w:vAlign w:val="center"/>
                </w:tcPr>
                <w:p w14:paraId="741B73CB">
                  <w:pPr>
                    <w:jc w:val="center"/>
                    <w:rPr>
                      <w:color w:val="auto"/>
                      <w:szCs w:val="21"/>
                    </w:rPr>
                  </w:pPr>
                  <w:r>
                    <w:rPr>
                      <w:color w:val="auto"/>
                      <w:szCs w:val="21"/>
                    </w:rPr>
                    <w:t>mg/m</w:t>
                  </w:r>
                  <w:r>
                    <w:rPr>
                      <w:color w:val="auto"/>
                      <w:szCs w:val="21"/>
                      <w:vertAlign w:val="superscript"/>
                    </w:rPr>
                    <w:t>3</w:t>
                  </w:r>
                </w:p>
              </w:tc>
              <w:tc>
                <w:tcPr>
                  <w:tcW w:w="2244" w:type="dxa"/>
                  <w:tcBorders>
                    <w:right w:val="nil"/>
                  </w:tcBorders>
                  <w:vAlign w:val="center"/>
                </w:tcPr>
                <w:p w14:paraId="013C3B51">
                  <w:pPr>
                    <w:jc w:val="center"/>
                    <w:rPr>
                      <w:color w:val="auto"/>
                      <w:szCs w:val="21"/>
                    </w:rPr>
                  </w:pPr>
                  <w:r>
                    <w:rPr>
                      <w:rFonts w:hint="eastAsia"/>
                      <w:color w:val="auto"/>
                      <w:szCs w:val="21"/>
                    </w:rPr>
                    <w:t>99.18</w:t>
                  </w:r>
                </w:p>
              </w:tc>
            </w:tr>
            <w:tr w14:paraId="0469F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991" w:type="dxa"/>
                  <w:vMerge w:val="continue"/>
                  <w:tcBorders>
                    <w:left w:val="nil"/>
                  </w:tcBorders>
                  <w:vAlign w:val="center"/>
                </w:tcPr>
                <w:p w14:paraId="7E8F0B16">
                  <w:pPr>
                    <w:jc w:val="center"/>
                    <w:rPr>
                      <w:color w:val="auto"/>
                      <w:szCs w:val="21"/>
                    </w:rPr>
                  </w:pPr>
                </w:p>
              </w:tc>
              <w:tc>
                <w:tcPr>
                  <w:tcW w:w="2035" w:type="dxa"/>
                  <w:vMerge w:val="restart"/>
                  <w:vAlign w:val="center"/>
                </w:tcPr>
                <w:p w14:paraId="53E1FDD3">
                  <w:pPr>
                    <w:jc w:val="center"/>
                    <w:rPr>
                      <w:color w:val="auto"/>
                      <w:szCs w:val="21"/>
                    </w:rPr>
                  </w:pPr>
                  <w:r>
                    <w:rPr>
                      <w:color w:val="auto"/>
                      <w:szCs w:val="21"/>
                    </w:rPr>
                    <w:t>排放量</w:t>
                  </w:r>
                </w:p>
              </w:tc>
              <w:tc>
                <w:tcPr>
                  <w:tcW w:w="1667" w:type="dxa"/>
                  <w:vAlign w:val="center"/>
                </w:tcPr>
                <w:p w14:paraId="1D07D6BE">
                  <w:pPr>
                    <w:jc w:val="center"/>
                    <w:rPr>
                      <w:color w:val="auto"/>
                      <w:szCs w:val="21"/>
                    </w:rPr>
                  </w:pPr>
                  <w:r>
                    <w:rPr>
                      <w:color w:val="auto"/>
                      <w:szCs w:val="21"/>
                    </w:rPr>
                    <w:t>kg/h</w:t>
                  </w:r>
                </w:p>
              </w:tc>
              <w:tc>
                <w:tcPr>
                  <w:tcW w:w="2244" w:type="dxa"/>
                  <w:tcBorders>
                    <w:right w:val="nil"/>
                  </w:tcBorders>
                  <w:vAlign w:val="center"/>
                </w:tcPr>
                <w:p w14:paraId="60FB457C">
                  <w:pPr>
                    <w:jc w:val="center"/>
                    <w:rPr>
                      <w:rFonts w:hint="eastAsia" w:eastAsia="宋体"/>
                      <w:color w:val="auto"/>
                      <w:szCs w:val="21"/>
                      <w:lang w:eastAsia="zh-CN"/>
                    </w:rPr>
                  </w:pPr>
                  <w:r>
                    <w:rPr>
                      <w:rFonts w:hint="eastAsia"/>
                      <w:color w:val="auto"/>
                      <w:szCs w:val="21"/>
                      <w:lang w:eastAsia="zh-CN"/>
                    </w:rPr>
                    <w:t>0.80</w:t>
                  </w:r>
                </w:p>
              </w:tc>
            </w:tr>
            <w:tr w14:paraId="36B45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91" w:type="dxa"/>
                  <w:vMerge w:val="continue"/>
                  <w:tcBorders>
                    <w:left w:val="nil"/>
                  </w:tcBorders>
                  <w:vAlign w:val="center"/>
                </w:tcPr>
                <w:p w14:paraId="0B131724">
                  <w:pPr>
                    <w:jc w:val="center"/>
                    <w:rPr>
                      <w:color w:val="auto"/>
                      <w:szCs w:val="21"/>
                    </w:rPr>
                  </w:pPr>
                </w:p>
              </w:tc>
              <w:tc>
                <w:tcPr>
                  <w:tcW w:w="2035" w:type="dxa"/>
                  <w:vMerge w:val="continue"/>
                  <w:vAlign w:val="center"/>
                </w:tcPr>
                <w:p w14:paraId="6CB4BABD">
                  <w:pPr>
                    <w:jc w:val="center"/>
                    <w:rPr>
                      <w:color w:val="auto"/>
                      <w:szCs w:val="21"/>
                    </w:rPr>
                  </w:pPr>
                </w:p>
              </w:tc>
              <w:tc>
                <w:tcPr>
                  <w:tcW w:w="1667" w:type="dxa"/>
                  <w:vAlign w:val="center"/>
                </w:tcPr>
                <w:p w14:paraId="3AB0E9C1">
                  <w:pPr>
                    <w:jc w:val="center"/>
                    <w:rPr>
                      <w:color w:val="auto"/>
                      <w:szCs w:val="21"/>
                    </w:rPr>
                  </w:pPr>
                  <w:r>
                    <w:rPr>
                      <w:color w:val="auto"/>
                      <w:szCs w:val="21"/>
                    </w:rPr>
                    <w:t>t/a</w:t>
                  </w:r>
                </w:p>
              </w:tc>
              <w:tc>
                <w:tcPr>
                  <w:tcW w:w="2244" w:type="dxa"/>
                  <w:tcBorders>
                    <w:right w:val="nil"/>
                  </w:tcBorders>
                  <w:vAlign w:val="center"/>
                </w:tcPr>
                <w:p w14:paraId="6388ED4D">
                  <w:pPr>
                    <w:jc w:val="center"/>
                    <w:rPr>
                      <w:rFonts w:hint="eastAsia" w:eastAsia="宋体"/>
                      <w:color w:val="auto"/>
                      <w:szCs w:val="21"/>
                      <w:lang w:eastAsia="zh-CN"/>
                    </w:rPr>
                  </w:pPr>
                  <w:r>
                    <w:rPr>
                      <w:rFonts w:hint="eastAsia"/>
                      <w:color w:val="auto"/>
                      <w:szCs w:val="21"/>
                      <w:lang w:eastAsia="zh-CN"/>
                    </w:rPr>
                    <w:t>0.65</w:t>
                  </w:r>
                </w:p>
              </w:tc>
            </w:tr>
            <w:tr w14:paraId="1956F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restart"/>
                  <w:tcBorders>
                    <w:left w:val="nil"/>
                  </w:tcBorders>
                  <w:vAlign w:val="center"/>
                </w:tcPr>
                <w:p w14:paraId="75FE252C">
                  <w:pPr>
                    <w:jc w:val="center"/>
                    <w:rPr>
                      <w:color w:val="auto"/>
                      <w:szCs w:val="21"/>
                    </w:rPr>
                  </w:pPr>
                  <w:r>
                    <w:rPr>
                      <w:color w:val="auto"/>
                      <w:szCs w:val="21"/>
                    </w:rPr>
                    <w:t>NOx</w:t>
                  </w:r>
                </w:p>
              </w:tc>
              <w:tc>
                <w:tcPr>
                  <w:tcW w:w="2035" w:type="dxa"/>
                  <w:vAlign w:val="center"/>
                </w:tcPr>
                <w:p w14:paraId="3C8712AF">
                  <w:pPr>
                    <w:jc w:val="center"/>
                    <w:rPr>
                      <w:color w:val="auto"/>
                      <w:szCs w:val="21"/>
                    </w:rPr>
                  </w:pPr>
                  <w:r>
                    <w:rPr>
                      <w:color w:val="auto"/>
                      <w:szCs w:val="21"/>
                    </w:rPr>
                    <w:t>产生浓度</w:t>
                  </w:r>
                </w:p>
              </w:tc>
              <w:tc>
                <w:tcPr>
                  <w:tcW w:w="1667" w:type="dxa"/>
                  <w:vAlign w:val="center"/>
                </w:tcPr>
                <w:p w14:paraId="2A86EB94">
                  <w:pPr>
                    <w:jc w:val="center"/>
                    <w:rPr>
                      <w:color w:val="auto"/>
                      <w:szCs w:val="21"/>
                    </w:rPr>
                  </w:pPr>
                  <w:r>
                    <w:rPr>
                      <w:color w:val="auto"/>
                      <w:szCs w:val="21"/>
                    </w:rPr>
                    <w:t>mg/m</w:t>
                  </w:r>
                  <w:r>
                    <w:rPr>
                      <w:color w:val="auto"/>
                      <w:szCs w:val="21"/>
                      <w:vertAlign w:val="superscript"/>
                    </w:rPr>
                    <w:t>3</w:t>
                  </w:r>
                </w:p>
              </w:tc>
              <w:tc>
                <w:tcPr>
                  <w:tcW w:w="2244" w:type="dxa"/>
                  <w:tcBorders>
                    <w:right w:val="nil"/>
                  </w:tcBorders>
                  <w:vAlign w:val="center"/>
                </w:tcPr>
                <w:p w14:paraId="791DD7B1">
                  <w:pPr>
                    <w:jc w:val="center"/>
                    <w:rPr>
                      <w:rFonts w:hint="eastAsia" w:eastAsia="宋体"/>
                      <w:color w:val="auto"/>
                      <w:szCs w:val="21"/>
                      <w:lang w:eastAsia="zh-CN"/>
                    </w:rPr>
                  </w:pPr>
                  <w:r>
                    <w:rPr>
                      <w:rFonts w:hint="eastAsia"/>
                      <w:color w:val="auto"/>
                      <w:szCs w:val="21"/>
                      <w:lang w:eastAsia="zh-CN"/>
                    </w:rPr>
                    <w:t>170.02</w:t>
                  </w:r>
                </w:p>
              </w:tc>
            </w:tr>
            <w:tr w14:paraId="779F58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753F86BF">
                  <w:pPr>
                    <w:jc w:val="center"/>
                    <w:rPr>
                      <w:color w:val="auto"/>
                      <w:szCs w:val="21"/>
                    </w:rPr>
                  </w:pPr>
                </w:p>
              </w:tc>
              <w:tc>
                <w:tcPr>
                  <w:tcW w:w="2035" w:type="dxa"/>
                  <w:vAlign w:val="center"/>
                </w:tcPr>
                <w:p w14:paraId="1B776E49">
                  <w:pPr>
                    <w:jc w:val="center"/>
                    <w:rPr>
                      <w:color w:val="auto"/>
                      <w:szCs w:val="21"/>
                    </w:rPr>
                  </w:pPr>
                  <w:r>
                    <w:rPr>
                      <w:color w:val="auto"/>
                      <w:szCs w:val="21"/>
                    </w:rPr>
                    <w:t>产生量</w:t>
                  </w:r>
                </w:p>
              </w:tc>
              <w:tc>
                <w:tcPr>
                  <w:tcW w:w="1667" w:type="dxa"/>
                  <w:vAlign w:val="center"/>
                </w:tcPr>
                <w:p w14:paraId="24B2EEB8">
                  <w:pPr>
                    <w:jc w:val="center"/>
                    <w:rPr>
                      <w:color w:val="auto"/>
                      <w:szCs w:val="21"/>
                    </w:rPr>
                  </w:pPr>
                  <w:r>
                    <w:rPr>
                      <w:color w:val="auto"/>
                      <w:szCs w:val="21"/>
                    </w:rPr>
                    <w:t>kg/h</w:t>
                  </w:r>
                </w:p>
              </w:tc>
              <w:tc>
                <w:tcPr>
                  <w:tcW w:w="2244" w:type="dxa"/>
                  <w:tcBorders>
                    <w:right w:val="nil"/>
                  </w:tcBorders>
                  <w:vAlign w:val="center"/>
                </w:tcPr>
                <w:p w14:paraId="3BD4C106">
                  <w:pPr>
                    <w:jc w:val="center"/>
                    <w:rPr>
                      <w:rFonts w:hint="default" w:eastAsia="宋体"/>
                      <w:color w:val="auto"/>
                      <w:szCs w:val="21"/>
                      <w:lang w:val="en-US" w:eastAsia="zh-CN"/>
                    </w:rPr>
                  </w:pPr>
                  <w:r>
                    <w:rPr>
                      <w:rFonts w:hint="eastAsia"/>
                      <w:color w:val="auto"/>
                      <w:szCs w:val="21"/>
                      <w:lang w:val="en-US" w:eastAsia="zh-CN"/>
                    </w:rPr>
                    <w:t>1.36</w:t>
                  </w:r>
                </w:p>
              </w:tc>
            </w:tr>
            <w:tr w14:paraId="7666E4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3F99CD78">
                  <w:pPr>
                    <w:jc w:val="center"/>
                    <w:rPr>
                      <w:color w:val="auto"/>
                      <w:szCs w:val="21"/>
                    </w:rPr>
                  </w:pPr>
                </w:p>
              </w:tc>
              <w:tc>
                <w:tcPr>
                  <w:tcW w:w="2035" w:type="dxa"/>
                  <w:vAlign w:val="center"/>
                </w:tcPr>
                <w:p w14:paraId="50BEBE46">
                  <w:pPr>
                    <w:jc w:val="center"/>
                    <w:rPr>
                      <w:color w:val="auto"/>
                      <w:szCs w:val="21"/>
                    </w:rPr>
                  </w:pPr>
                  <w:r>
                    <w:rPr>
                      <w:color w:val="auto"/>
                      <w:szCs w:val="21"/>
                    </w:rPr>
                    <w:t>排放浓度</w:t>
                  </w:r>
                </w:p>
              </w:tc>
              <w:tc>
                <w:tcPr>
                  <w:tcW w:w="1667" w:type="dxa"/>
                  <w:vAlign w:val="center"/>
                </w:tcPr>
                <w:p w14:paraId="63A7CB5F">
                  <w:pPr>
                    <w:jc w:val="center"/>
                    <w:rPr>
                      <w:color w:val="auto"/>
                      <w:szCs w:val="21"/>
                    </w:rPr>
                  </w:pPr>
                  <w:r>
                    <w:rPr>
                      <w:color w:val="auto"/>
                      <w:szCs w:val="21"/>
                    </w:rPr>
                    <w:t>mg/m</w:t>
                  </w:r>
                  <w:r>
                    <w:rPr>
                      <w:color w:val="auto"/>
                      <w:szCs w:val="21"/>
                      <w:vertAlign w:val="superscript"/>
                    </w:rPr>
                    <w:t>3</w:t>
                  </w:r>
                </w:p>
              </w:tc>
              <w:tc>
                <w:tcPr>
                  <w:tcW w:w="2244" w:type="dxa"/>
                  <w:tcBorders>
                    <w:right w:val="nil"/>
                  </w:tcBorders>
                  <w:vAlign w:val="center"/>
                </w:tcPr>
                <w:p w14:paraId="6EEADB1A">
                  <w:pPr>
                    <w:jc w:val="center"/>
                    <w:rPr>
                      <w:rFonts w:hint="eastAsia" w:eastAsia="宋体"/>
                      <w:color w:val="auto"/>
                      <w:szCs w:val="21"/>
                      <w:lang w:eastAsia="zh-CN"/>
                    </w:rPr>
                  </w:pPr>
                  <w:r>
                    <w:rPr>
                      <w:rFonts w:hint="eastAsia"/>
                      <w:color w:val="auto"/>
                      <w:szCs w:val="21"/>
                      <w:lang w:eastAsia="zh-CN"/>
                    </w:rPr>
                    <w:t>118.35</w:t>
                  </w:r>
                </w:p>
              </w:tc>
            </w:tr>
            <w:tr w14:paraId="1EBF2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535A6E10">
                  <w:pPr>
                    <w:jc w:val="center"/>
                    <w:rPr>
                      <w:color w:val="auto"/>
                      <w:szCs w:val="21"/>
                    </w:rPr>
                  </w:pPr>
                </w:p>
              </w:tc>
              <w:tc>
                <w:tcPr>
                  <w:tcW w:w="2035" w:type="dxa"/>
                  <w:vMerge w:val="restart"/>
                  <w:vAlign w:val="center"/>
                </w:tcPr>
                <w:p w14:paraId="433C3AC4">
                  <w:pPr>
                    <w:jc w:val="center"/>
                    <w:rPr>
                      <w:color w:val="auto"/>
                      <w:szCs w:val="21"/>
                    </w:rPr>
                  </w:pPr>
                  <w:r>
                    <w:rPr>
                      <w:color w:val="auto"/>
                      <w:szCs w:val="21"/>
                    </w:rPr>
                    <w:t>排放量</w:t>
                  </w:r>
                </w:p>
              </w:tc>
              <w:tc>
                <w:tcPr>
                  <w:tcW w:w="1667" w:type="dxa"/>
                  <w:vAlign w:val="center"/>
                </w:tcPr>
                <w:p w14:paraId="4682E81C">
                  <w:pPr>
                    <w:jc w:val="center"/>
                    <w:rPr>
                      <w:color w:val="auto"/>
                      <w:szCs w:val="21"/>
                    </w:rPr>
                  </w:pPr>
                  <w:r>
                    <w:rPr>
                      <w:color w:val="auto"/>
                      <w:szCs w:val="21"/>
                    </w:rPr>
                    <w:t>kg/h</w:t>
                  </w:r>
                </w:p>
              </w:tc>
              <w:tc>
                <w:tcPr>
                  <w:tcW w:w="2244" w:type="dxa"/>
                  <w:tcBorders>
                    <w:right w:val="nil"/>
                  </w:tcBorders>
                  <w:vAlign w:val="center"/>
                </w:tcPr>
                <w:p w14:paraId="73177933">
                  <w:pPr>
                    <w:jc w:val="center"/>
                    <w:rPr>
                      <w:rFonts w:hint="eastAsia" w:eastAsia="宋体"/>
                      <w:color w:val="auto"/>
                      <w:szCs w:val="21"/>
                      <w:lang w:eastAsia="zh-CN"/>
                    </w:rPr>
                  </w:pPr>
                  <w:r>
                    <w:rPr>
                      <w:rFonts w:hint="eastAsia"/>
                      <w:color w:val="auto"/>
                      <w:szCs w:val="21"/>
                      <w:lang w:eastAsia="zh-CN"/>
                    </w:rPr>
                    <w:t>0.95</w:t>
                  </w:r>
                </w:p>
              </w:tc>
            </w:tr>
            <w:tr w14:paraId="7C403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1E98E091">
                  <w:pPr>
                    <w:jc w:val="center"/>
                    <w:rPr>
                      <w:color w:val="auto"/>
                      <w:szCs w:val="21"/>
                    </w:rPr>
                  </w:pPr>
                </w:p>
              </w:tc>
              <w:tc>
                <w:tcPr>
                  <w:tcW w:w="2035" w:type="dxa"/>
                  <w:vMerge w:val="continue"/>
                  <w:vAlign w:val="center"/>
                </w:tcPr>
                <w:p w14:paraId="7107C640">
                  <w:pPr>
                    <w:jc w:val="center"/>
                    <w:rPr>
                      <w:color w:val="auto"/>
                      <w:szCs w:val="21"/>
                    </w:rPr>
                  </w:pPr>
                </w:p>
              </w:tc>
              <w:tc>
                <w:tcPr>
                  <w:tcW w:w="1667" w:type="dxa"/>
                  <w:vAlign w:val="center"/>
                </w:tcPr>
                <w:p w14:paraId="0736BDA2">
                  <w:pPr>
                    <w:jc w:val="center"/>
                    <w:rPr>
                      <w:color w:val="auto"/>
                      <w:szCs w:val="21"/>
                    </w:rPr>
                  </w:pPr>
                  <w:r>
                    <w:rPr>
                      <w:color w:val="auto"/>
                      <w:szCs w:val="21"/>
                    </w:rPr>
                    <w:t>t/a</w:t>
                  </w:r>
                </w:p>
              </w:tc>
              <w:tc>
                <w:tcPr>
                  <w:tcW w:w="2244" w:type="dxa"/>
                  <w:tcBorders>
                    <w:right w:val="nil"/>
                  </w:tcBorders>
                  <w:vAlign w:val="center"/>
                </w:tcPr>
                <w:p w14:paraId="76696D46">
                  <w:pPr>
                    <w:jc w:val="center"/>
                    <w:rPr>
                      <w:rFonts w:hint="eastAsia" w:eastAsia="宋体"/>
                      <w:color w:val="auto"/>
                      <w:szCs w:val="21"/>
                      <w:lang w:eastAsia="zh-CN"/>
                    </w:rPr>
                  </w:pPr>
                  <w:r>
                    <w:rPr>
                      <w:rFonts w:hint="eastAsia"/>
                      <w:color w:val="auto"/>
                      <w:szCs w:val="21"/>
                      <w:lang w:eastAsia="zh-CN"/>
                    </w:rPr>
                    <w:t>0.775</w:t>
                  </w:r>
                </w:p>
              </w:tc>
            </w:tr>
            <w:tr w14:paraId="03B0F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restart"/>
                  <w:tcBorders>
                    <w:left w:val="nil"/>
                  </w:tcBorders>
                  <w:vAlign w:val="center"/>
                </w:tcPr>
                <w:p w14:paraId="74A87293">
                  <w:pPr>
                    <w:pStyle w:val="135"/>
                    <w:adjustRightInd/>
                    <w:snapToGrid/>
                    <w:spacing w:line="240" w:lineRule="auto"/>
                    <w:ind w:left="19" w:right="19"/>
                    <w:rPr>
                      <w:color w:val="auto"/>
                      <w:szCs w:val="21"/>
                    </w:rPr>
                  </w:pPr>
                  <w:r>
                    <w:rPr>
                      <w:color w:val="auto"/>
                      <w:szCs w:val="21"/>
                    </w:rPr>
                    <w:t>PM</w:t>
                  </w:r>
                  <w:r>
                    <w:rPr>
                      <w:color w:val="auto"/>
                      <w:szCs w:val="21"/>
                      <w:vertAlign w:val="subscript"/>
                    </w:rPr>
                    <w:t>10</w:t>
                  </w:r>
                </w:p>
              </w:tc>
              <w:tc>
                <w:tcPr>
                  <w:tcW w:w="2035" w:type="dxa"/>
                  <w:vAlign w:val="center"/>
                </w:tcPr>
                <w:p w14:paraId="07B374F8">
                  <w:pPr>
                    <w:jc w:val="center"/>
                    <w:rPr>
                      <w:color w:val="auto"/>
                      <w:szCs w:val="21"/>
                    </w:rPr>
                  </w:pPr>
                  <w:r>
                    <w:rPr>
                      <w:color w:val="auto"/>
                      <w:szCs w:val="21"/>
                    </w:rPr>
                    <w:t>产生浓度</w:t>
                  </w:r>
                </w:p>
              </w:tc>
              <w:tc>
                <w:tcPr>
                  <w:tcW w:w="1667" w:type="dxa"/>
                  <w:vAlign w:val="center"/>
                </w:tcPr>
                <w:p w14:paraId="30E23F0A">
                  <w:pPr>
                    <w:jc w:val="center"/>
                    <w:rPr>
                      <w:color w:val="auto"/>
                      <w:szCs w:val="21"/>
                    </w:rPr>
                  </w:pPr>
                  <w:r>
                    <w:rPr>
                      <w:color w:val="auto"/>
                      <w:szCs w:val="21"/>
                    </w:rPr>
                    <w:t>mg/m</w:t>
                  </w:r>
                  <w:r>
                    <w:rPr>
                      <w:color w:val="auto"/>
                      <w:szCs w:val="21"/>
                      <w:vertAlign w:val="superscript"/>
                    </w:rPr>
                    <w:t>3</w:t>
                  </w:r>
                </w:p>
              </w:tc>
              <w:tc>
                <w:tcPr>
                  <w:tcW w:w="2244" w:type="dxa"/>
                  <w:tcBorders>
                    <w:right w:val="nil"/>
                  </w:tcBorders>
                  <w:vAlign w:val="center"/>
                </w:tcPr>
                <w:p w14:paraId="1D393A4F">
                  <w:pPr>
                    <w:jc w:val="center"/>
                    <w:rPr>
                      <w:rFonts w:hint="eastAsia" w:eastAsia="宋体"/>
                      <w:color w:val="auto"/>
                      <w:szCs w:val="21"/>
                      <w:lang w:eastAsia="zh-CN"/>
                    </w:rPr>
                  </w:pPr>
                  <w:r>
                    <w:rPr>
                      <w:rFonts w:hint="eastAsia"/>
                      <w:color w:val="auto"/>
                      <w:szCs w:val="21"/>
                      <w:lang w:eastAsia="zh-CN"/>
                    </w:rPr>
                    <w:t>8175.33</w:t>
                  </w:r>
                </w:p>
              </w:tc>
            </w:tr>
            <w:tr w14:paraId="1614E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211A5B7E">
                  <w:pPr>
                    <w:jc w:val="center"/>
                    <w:rPr>
                      <w:color w:val="auto"/>
                      <w:szCs w:val="21"/>
                    </w:rPr>
                  </w:pPr>
                </w:p>
              </w:tc>
              <w:tc>
                <w:tcPr>
                  <w:tcW w:w="2035" w:type="dxa"/>
                  <w:vMerge w:val="restart"/>
                  <w:vAlign w:val="center"/>
                </w:tcPr>
                <w:p w14:paraId="5BCDFFF3">
                  <w:pPr>
                    <w:jc w:val="center"/>
                    <w:rPr>
                      <w:color w:val="auto"/>
                      <w:szCs w:val="21"/>
                    </w:rPr>
                  </w:pPr>
                  <w:r>
                    <w:rPr>
                      <w:color w:val="auto"/>
                      <w:szCs w:val="21"/>
                    </w:rPr>
                    <w:t>产生量</w:t>
                  </w:r>
                </w:p>
              </w:tc>
              <w:tc>
                <w:tcPr>
                  <w:tcW w:w="1667" w:type="dxa"/>
                  <w:vAlign w:val="center"/>
                </w:tcPr>
                <w:p w14:paraId="0D2A4457">
                  <w:pPr>
                    <w:jc w:val="center"/>
                    <w:rPr>
                      <w:color w:val="auto"/>
                      <w:szCs w:val="21"/>
                    </w:rPr>
                  </w:pPr>
                  <w:r>
                    <w:rPr>
                      <w:color w:val="auto"/>
                      <w:szCs w:val="21"/>
                    </w:rPr>
                    <w:t>kg/h</w:t>
                  </w:r>
                </w:p>
              </w:tc>
              <w:tc>
                <w:tcPr>
                  <w:tcW w:w="2244" w:type="dxa"/>
                  <w:tcBorders>
                    <w:right w:val="nil"/>
                  </w:tcBorders>
                  <w:vAlign w:val="center"/>
                </w:tcPr>
                <w:p w14:paraId="30A57BE1">
                  <w:pPr>
                    <w:jc w:val="center"/>
                    <w:rPr>
                      <w:rFonts w:hint="eastAsia" w:eastAsia="宋体"/>
                      <w:color w:val="auto"/>
                      <w:szCs w:val="21"/>
                      <w:lang w:eastAsia="zh-CN"/>
                    </w:rPr>
                  </w:pPr>
                  <w:r>
                    <w:rPr>
                      <w:rFonts w:hint="eastAsia"/>
                      <w:color w:val="auto"/>
                      <w:szCs w:val="21"/>
                      <w:lang w:eastAsia="zh-CN"/>
                    </w:rPr>
                    <w:t>65.50</w:t>
                  </w:r>
                </w:p>
              </w:tc>
            </w:tr>
            <w:tr w14:paraId="31D35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2C770024">
                  <w:pPr>
                    <w:jc w:val="center"/>
                    <w:rPr>
                      <w:color w:val="auto"/>
                      <w:szCs w:val="21"/>
                    </w:rPr>
                  </w:pPr>
                </w:p>
              </w:tc>
              <w:tc>
                <w:tcPr>
                  <w:tcW w:w="2035" w:type="dxa"/>
                  <w:vMerge w:val="continue"/>
                  <w:vAlign w:val="center"/>
                </w:tcPr>
                <w:p w14:paraId="5F2B5A45">
                  <w:pPr>
                    <w:jc w:val="center"/>
                    <w:rPr>
                      <w:color w:val="auto"/>
                      <w:szCs w:val="21"/>
                    </w:rPr>
                  </w:pPr>
                </w:p>
              </w:tc>
              <w:tc>
                <w:tcPr>
                  <w:tcW w:w="1667" w:type="dxa"/>
                  <w:vAlign w:val="center"/>
                </w:tcPr>
                <w:p w14:paraId="4E2563C5">
                  <w:pPr>
                    <w:jc w:val="center"/>
                    <w:rPr>
                      <w:color w:val="auto"/>
                      <w:szCs w:val="21"/>
                    </w:rPr>
                  </w:pPr>
                  <w:r>
                    <w:rPr>
                      <w:color w:val="auto"/>
                      <w:szCs w:val="21"/>
                    </w:rPr>
                    <w:t>t/a</w:t>
                  </w:r>
                </w:p>
              </w:tc>
              <w:tc>
                <w:tcPr>
                  <w:tcW w:w="2244" w:type="dxa"/>
                  <w:tcBorders>
                    <w:right w:val="nil"/>
                  </w:tcBorders>
                  <w:vAlign w:val="center"/>
                </w:tcPr>
                <w:p w14:paraId="6C32E558">
                  <w:pPr>
                    <w:jc w:val="center"/>
                    <w:rPr>
                      <w:rFonts w:hint="eastAsia" w:eastAsia="宋体"/>
                      <w:color w:val="auto"/>
                      <w:szCs w:val="21"/>
                      <w:lang w:eastAsia="zh-CN"/>
                    </w:rPr>
                  </w:pPr>
                  <w:r>
                    <w:rPr>
                      <w:rFonts w:hint="eastAsia"/>
                      <w:color w:val="auto"/>
                      <w:szCs w:val="21"/>
                      <w:lang w:eastAsia="zh-CN"/>
                    </w:rPr>
                    <w:t>53.50</w:t>
                  </w:r>
                </w:p>
              </w:tc>
            </w:tr>
            <w:tr w14:paraId="06118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4E771016">
                  <w:pPr>
                    <w:pStyle w:val="135"/>
                    <w:adjustRightInd/>
                    <w:snapToGrid/>
                    <w:spacing w:line="240" w:lineRule="auto"/>
                    <w:ind w:left="19" w:right="19"/>
                    <w:rPr>
                      <w:color w:val="auto"/>
                      <w:szCs w:val="21"/>
                    </w:rPr>
                  </w:pPr>
                </w:p>
              </w:tc>
              <w:tc>
                <w:tcPr>
                  <w:tcW w:w="2035" w:type="dxa"/>
                  <w:vAlign w:val="center"/>
                </w:tcPr>
                <w:p w14:paraId="25005587">
                  <w:pPr>
                    <w:jc w:val="center"/>
                    <w:rPr>
                      <w:color w:val="auto"/>
                      <w:szCs w:val="21"/>
                    </w:rPr>
                  </w:pPr>
                  <w:r>
                    <w:rPr>
                      <w:color w:val="auto"/>
                      <w:szCs w:val="21"/>
                    </w:rPr>
                    <w:t>排放浓度</w:t>
                  </w:r>
                </w:p>
              </w:tc>
              <w:tc>
                <w:tcPr>
                  <w:tcW w:w="1667" w:type="dxa"/>
                  <w:vAlign w:val="center"/>
                </w:tcPr>
                <w:p w14:paraId="2ABF18D7">
                  <w:pPr>
                    <w:jc w:val="center"/>
                    <w:rPr>
                      <w:color w:val="auto"/>
                      <w:szCs w:val="21"/>
                    </w:rPr>
                  </w:pPr>
                  <w:r>
                    <w:rPr>
                      <w:color w:val="auto"/>
                      <w:szCs w:val="21"/>
                    </w:rPr>
                    <w:t>mg/m</w:t>
                  </w:r>
                  <w:r>
                    <w:rPr>
                      <w:color w:val="auto"/>
                      <w:szCs w:val="21"/>
                      <w:vertAlign w:val="superscript"/>
                    </w:rPr>
                    <w:t>3</w:t>
                  </w:r>
                </w:p>
              </w:tc>
              <w:tc>
                <w:tcPr>
                  <w:tcW w:w="2244" w:type="dxa"/>
                  <w:tcBorders>
                    <w:right w:val="nil"/>
                  </w:tcBorders>
                  <w:vAlign w:val="center"/>
                </w:tcPr>
                <w:p w14:paraId="0AD0425C">
                  <w:pPr>
                    <w:jc w:val="center"/>
                    <w:rPr>
                      <w:rFonts w:hint="eastAsia" w:eastAsia="宋体"/>
                      <w:color w:val="auto"/>
                      <w:szCs w:val="21"/>
                      <w:lang w:eastAsia="zh-CN"/>
                    </w:rPr>
                  </w:pPr>
                  <w:r>
                    <w:rPr>
                      <w:rFonts w:hint="eastAsia"/>
                      <w:color w:val="auto"/>
                      <w:szCs w:val="21"/>
                      <w:lang w:eastAsia="zh-CN"/>
                    </w:rPr>
                    <w:t>24.53</w:t>
                  </w:r>
                </w:p>
              </w:tc>
            </w:tr>
            <w:tr w14:paraId="41534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0EDBE8CD">
                  <w:pPr>
                    <w:jc w:val="center"/>
                    <w:rPr>
                      <w:color w:val="auto"/>
                      <w:szCs w:val="21"/>
                    </w:rPr>
                  </w:pPr>
                </w:p>
              </w:tc>
              <w:tc>
                <w:tcPr>
                  <w:tcW w:w="2035" w:type="dxa"/>
                  <w:vMerge w:val="restart"/>
                  <w:vAlign w:val="center"/>
                </w:tcPr>
                <w:p w14:paraId="42522E64">
                  <w:pPr>
                    <w:jc w:val="center"/>
                    <w:rPr>
                      <w:color w:val="auto"/>
                      <w:szCs w:val="21"/>
                    </w:rPr>
                  </w:pPr>
                  <w:r>
                    <w:rPr>
                      <w:color w:val="auto"/>
                      <w:szCs w:val="21"/>
                    </w:rPr>
                    <w:t>排放量</w:t>
                  </w:r>
                </w:p>
              </w:tc>
              <w:tc>
                <w:tcPr>
                  <w:tcW w:w="1667" w:type="dxa"/>
                  <w:vAlign w:val="center"/>
                </w:tcPr>
                <w:p w14:paraId="1671442B">
                  <w:pPr>
                    <w:jc w:val="center"/>
                    <w:rPr>
                      <w:color w:val="auto"/>
                      <w:szCs w:val="21"/>
                    </w:rPr>
                  </w:pPr>
                  <w:r>
                    <w:rPr>
                      <w:color w:val="auto"/>
                      <w:szCs w:val="21"/>
                    </w:rPr>
                    <w:t>kg/h</w:t>
                  </w:r>
                </w:p>
              </w:tc>
              <w:tc>
                <w:tcPr>
                  <w:tcW w:w="2244" w:type="dxa"/>
                  <w:tcBorders>
                    <w:right w:val="nil"/>
                  </w:tcBorders>
                  <w:vAlign w:val="center"/>
                </w:tcPr>
                <w:p w14:paraId="53DAFE47">
                  <w:pPr>
                    <w:jc w:val="center"/>
                    <w:rPr>
                      <w:rFonts w:hint="eastAsia" w:eastAsia="宋体"/>
                      <w:color w:val="auto"/>
                      <w:szCs w:val="21"/>
                      <w:lang w:eastAsia="zh-CN"/>
                    </w:rPr>
                  </w:pPr>
                  <w:r>
                    <w:rPr>
                      <w:rFonts w:hint="eastAsia"/>
                      <w:color w:val="auto"/>
                      <w:szCs w:val="21"/>
                      <w:lang w:eastAsia="zh-CN"/>
                    </w:rPr>
                    <w:t>0.195</w:t>
                  </w:r>
                </w:p>
              </w:tc>
            </w:tr>
            <w:tr w14:paraId="56796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vAlign w:val="center"/>
                </w:tcPr>
                <w:p w14:paraId="629E50FB">
                  <w:pPr>
                    <w:jc w:val="center"/>
                    <w:rPr>
                      <w:color w:val="auto"/>
                      <w:szCs w:val="21"/>
                    </w:rPr>
                  </w:pPr>
                </w:p>
              </w:tc>
              <w:tc>
                <w:tcPr>
                  <w:tcW w:w="2035" w:type="dxa"/>
                  <w:vMerge w:val="continue"/>
                  <w:vAlign w:val="center"/>
                </w:tcPr>
                <w:p w14:paraId="110A61D0">
                  <w:pPr>
                    <w:jc w:val="center"/>
                    <w:rPr>
                      <w:color w:val="auto"/>
                      <w:szCs w:val="21"/>
                    </w:rPr>
                  </w:pPr>
                </w:p>
              </w:tc>
              <w:tc>
                <w:tcPr>
                  <w:tcW w:w="1667" w:type="dxa"/>
                  <w:vAlign w:val="center"/>
                </w:tcPr>
                <w:p w14:paraId="1215CDA1">
                  <w:pPr>
                    <w:jc w:val="center"/>
                    <w:rPr>
                      <w:color w:val="auto"/>
                      <w:szCs w:val="21"/>
                    </w:rPr>
                  </w:pPr>
                  <w:r>
                    <w:rPr>
                      <w:color w:val="auto"/>
                      <w:szCs w:val="21"/>
                    </w:rPr>
                    <w:t>t/a</w:t>
                  </w:r>
                </w:p>
              </w:tc>
              <w:tc>
                <w:tcPr>
                  <w:tcW w:w="2244" w:type="dxa"/>
                  <w:tcBorders>
                    <w:right w:val="nil"/>
                  </w:tcBorders>
                  <w:vAlign w:val="center"/>
                </w:tcPr>
                <w:p w14:paraId="0340FE59">
                  <w:pPr>
                    <w:jc w:val="center"/>
                    <w:rPr>
                      <w:rFonts w:hint="eastAsia" w:eastAsia="宋体"/>
                      <w:color w:val="auto"/>
                      <w:szCs w:val="21"/>
                      <w:lang w:eastAsia="zh-CN"/>
                    </w:rPr>
                  </w:pPr>
                  <w:r>
                    <w:rPr>
                      <w:rFonts w:hint="eastAsia"/>
                      <w:color w:val="auto"/>
                      <w:szCs w:val="21"/>
                      <w:lang w:eastAsia="zh-CN"/>
                    </w:rPr>
                    <w:t>0.16</w:t>
                  </w:r>
                </w:p>
              </w:tc>
            </w:tr>
            <w:tr w14:paraId="1EB46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37" w:type="dxa"/>
                  <w:gridSpan w:val="4"/>
                  <w:tcBorders>
                    <w:left w:val="nil"/>
                    <w:right w:val="nil"/>
                  </w:tcBorders>
                  <w:shd w:val="clear" w:color="auto" w:fill="auto"/>
                  <w:vAlign w:val="center"/>
                </w:tcPr>
                <w:p w14:paraId="78865D43">
                  <w:pPr>
                    <w:jc w:val="center"/>
                    <w:rPr>
                      <w:color w:val="auto"/>
                      <w:szCs w:val="21"/>
                    </w:rPr>
                  </w:pPr>
                  <w:r>
                    <w:rPr>
                      <w:rFonts w:hint="eastAsia"/>
                      <w:b/>
                      <w:bCs/>
                      <w:color w:val="auto"/>
                      <w:szCs w:val="21"/>
                    </w:rPr>
                    <w:t>热风炉2</w:t>
                  </w:r>
                </w:p>
              </w:tc>
            </w:tr>
            <w:tr w14:paraId="38FB8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26" w:type="dxa"/>
                  <w:gridSpan w:val="2"/>
                  <w:tcBorders>
                    <w:left w:val="nil"/>
                  </w:tcBorders>
                  <w:shd w:val="clear" w:color="auto" w:fill="auto"/>
                  <w:vAlign w:val="center"/>
                </w:tcPr>
                <w:p w14:paraId="696CCF48">
                  <w:pPr>
                    <w:jc w:val="center"/>
                    <w:rPr>
                      <w:color w:val="auto"/>
                      <w:szCs w:val="21"/>
                    </w:rPr>
                  </w:pPr>
                  <w:r>
                    <w:rPr>
                      <w:color w:val="auto"/>
                      <w:szCs w:val="21"/>
                    </w:rPr>
                    <w:t>烟气量</w:t>
                  </w:r>
                </w:p>
              </w:tc>
              <w:tc>
                <w:tcPr>
                  <w:tcW w:w="1667" w:type="dxa"/>
                  <w:shd w:val="clear" w:color="auto" w:fill="auto"/>
                  <w:vAlign w:val="center"/>
                </w:tcPr>
                <w:p w14:paraId="2C6C5DA8">
                  <w:pPr>
                    <w:jc w:val="center"/>
                    <w:rPr>
                      <w:color w:val="auto"/>
                      <w:szCs w:val="21"/>
                    </w:rPr>
                  </w:pPr>
                  <w:r>
                    <w:rPr>
                      <w:color w:val="auto"/>
                      <w:szCs w:val="21"/>
                    </w:rPr>
                    <w:t>m</w:t>
                  </w:r>
                  <w:r>
                    <w:rPr>
                      <w:color w:val="auto"/>
                      <w:szCs w:val="21"/>
                      <w:vertAlign w:val="superscript"/>
                    </w:rPr>
                    <w:t>3</w:t>
                  </w:r>
                  <w:r>
                    <w:rPr>
                      <w:color w:val="auto"/>
                      <w:szCs w:val="21"/>
                    </w:rPr>
                    <w:t>/h</w:t>
                  </w:r>
                </w:p>
              </w:tc>
              <w:tc>
                <w:tcPr>
                  <w:tcW w:w="2244" w:type="dxa"/>
                  <w:tcBorders>
                    <w:right w:val="nil"/>
                  </w:tcBorders>
                  <w:vAlign w:val="center"/>
                </w:tcPr>
                <w:p w14:paraId="46F0678E">
                  <w:pPr>
                    <w:jc w:val="center"/>
                    <w:rPr>
                      <w:rFonts w:hint="eastAsia" w:eastAsia="宋体"/>
                      <w:color w:val="auto"/>
                      <w:szCs w:val="21"/>
                      <w:lang w:eastAsia="zh-CN"/>
                    </w:rPr>
                  </w:pPr>
                  <w:r>
                    <w:rPr>
                      <w:rFonts w:hint="eastAsia"/>
                      <w:color w:val="auto"/>
                      <w:szCs w:val="21"/>
                      <w:lang w:eastAsia="zh-CN"/>
                    </w:rPr>
                    <w:t>8019.59</w:t>
                  </w:r>
                </w:p>
              </w:tc>
            </w:tr>
            <w:tr w14:paraId="1C095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restart"/>
                  <w:tcBorders>
                    <w:left w:val="nil"/>
                  </w:tcBorders>
                  <w:shd w:val="clear" w:color="auto" w:fill="auto"/>
                  <w:vAlign w:val="center"/>
                </w:tcPr>
                <w:p w14:paraId="6E605CDE">
                  <w:pPr>
                    <w:jc w:val="center"/>
                    <w:rPr>
                      <w:color w:val="auto"/>
                      <w:szCs w:val="21"/>
                    </w:rPr>
                  </w:pPr>
                  <w:r>
                    <w:rPr>
                      <w:color w:val="auto"/>
                      <w:szCs w:val="21"/>
                    </w:rPr>
                    <w:t>SO</w:t>
                  </w:r>
                  <w:r>
                    <w:rPr>
                      <w:color w:val="auto"/>
                      <w:szCs w:val="21"/>
                      <w:vertAlign w:val="subscript"/>
                    </w:rPr>
                    <w:t>2</w:t>
                  </w:r>
                </w:p>
              </w:tc>
              <w:tc>
                <w:tcPr>
                  <w:tcW w:w="2035" w:type="dxa"/>
                  <w:shd w:val="clear" w:color="auto" w:fill="auto"/>
                  <w:vAlign w:val="center"/>
                </w:tcPr>
                <w:p w14:paraId="08C4A912">
                  <w:pPr>
                    <w:jc w:val="center"/>
                    <w:rPr>
                      <w:color w:val="auto"/>
                      <w:szCs w:val="21"/>
                    </w:rPr>
                  </w:pPr>
                  <w:r>
                    <w:rPr>
                      <w:color w:val="auto"/>
                      <w:szCs w:val="21"/>
                    </w:rPr>
                    <w:t>产生浓度</w:t>
                  </w:r>
                </w:p>
              </w:tc>
              <w:tc>
                <w:tcPr>
                  <w:tcW w:w="1667" w:type="dxa"/>
                  <w:shd w:val="clear" w:color="auto" w:fill="auto"/>
                  <w:vAlign w:val="center"/>
                </w:tcPr>
                <w:p w14:paraId="3083554D">
                  <w:pPr>
                    <w:jc w:val="center"/>
                    <w:rPr>
                      <w:color w:val="auto"/>
                      <w:szCs w:val="21"/>
                    </w:rPr>
                  </w:pPr>
                  <w:r>
                    <w:rPr>
                      <w:color w:val="auto"/>
                      <w:szCs w:val="21"/>
                    </w:rPr>
                    <w:t>mg/m</w:t>
                  </w:r>
                  <w:r>
                    <w:rPr>
                      <w:color w:val="auto"/>
                      <w:szCs w:val="21"/>
                      <w:vertAlign w:val="superscript"/>
                    </w:rPr>
                    <w:t>3</w:t>
                  </w:r>
                </w:p>
              </w:tc>
              <w:tc>
                <w:tcPr>
                  <w:tcW w:w="2244" w:type="dxa"/>
                  <w:tcBorders>
                    <w:right w:val="nil"/>
                  </w:tcBorders>
                  <w:shd w:val="clear" w:color="auto" w:fill="auto"/>
                  <w:vAlign w:val="center"/>
                </w:tcPr>
                <w:p w14:paraId="56ED6201">
                  <w:pPr>
                    <w:jc w:val="center"/>
                    <w:rPr>
                      <w:color w:val="auto"/>
                      <w:szCs w:val="21"/>
                    </w:rPr>
                  </w:pPr>
                  <w:r>
                    <w:rPr>
                      <w:rFonts w:hint="eastAsia"/>
                      <w:color w:val="auto"/>
                      <w:szCs w:val="21"/>
                    </w:rPr>
                    <w:t>99.18</w:t>
                  </w:r>
                </w:p>
              </w:tc>
            </w:tr>
            <w:tr w14:paraId="4B238C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65704AE3">
                  <w:pPr>
                    <w:jc w:val="center"/>
                    <w:rPr>
                      <w:color w:val="auto"/>
                      <w:szCs w:val="21"/>
                    </w:rPr>
                  </w:pPr>
                </w:p>
              </w:tc>
              <w:tc>
                <w:tcPr>
                  <w:tcW w:w="2035" w:type="dxa"/>
                  <w:shd w:val="clear" w:color="auto" w:fill="auto"/>
                  <w:vAlign w:val="center"/>
                </w:tcPr>
                <w:p w14:paraId="5F82C491">
                  <w:pPr>
                    <w:jc w:val="center"/>
                    <w:rPr>
                      <w:color w:val="auto"/>
                      <w:szCs w:val="21"/>
                    </w:rPr>
                  </w:pPr>
                  <w:r>
                    <w:rPr>
                      <w:color w:val="auto"/>
                      <w:szCs w:val="21"/>
                    </w:rPr>
                    <w:t>产生量</w:t>
                  </w:r>
                </w:p>
              </w:tc>
              <w:tc>
                <w:tcPr>
                  <w:tcW w:w="1667" w:type="dxa"/>
                  <w:shd w:val="clear" w:color="auto" w:fill="auto"/>
                  <w:vAlign w:val="center"/>
                </w:tcPr>
                <w:p w14:paraId="08F5BCA1">
                  <w:pPr>
                    <w:jc w:val="center"/>
                    <w:rPr>
                      <w:color w:val="auto"/>
                      <w:szCs w:val="21"/>
                    </w:rPr>
                  </w:pPr>
                  <w:r>
                    <w:rPr>
                      <w:color w:val="auto"/>
                      <w:szCs w:val="21"/>
                    </w:rPr>
                    <w:t>kg/h</w:t>
                  </w:r>
                </w:p>
              </w:tc>
              <w:tc>
                <w:tcPr>
                  <w:tcW w:w="2244" w:type="dxa"/>
                  <w:tcBorders>
                    <w:right w:val="nil"/>
                  </w:tcBorders>
                  <w:shd w:val="clear" w:color="auto" w:fill="auto"/>
                  <w:vAlign w:val="center"/>
                </w:tcPr>
                <w:p w14:paraId="4C2F0C73">
                  <w:pPr>
                    <w:jc w:val="center"/>
                    <w:rPr>
                      <w:rFonts w:hint="eastAsia" w:eastAsia="宋体"/>
                      <w:color w:val="auto"/>
                      <w:szCs w:val="21"/>
                      <w:lang w:eastAsia="zh-CN"/>
                    </w:rPr>
                  </w:pPr>
                  <w:r>
                    <w:rPr>
                      <w:rFonts w:hint="eastAsia"/>
                      <w:color w:val="auto"/>
                      <w:szCs w:val="21"/>
                      <w:lang w:eastAsia="zh-CN"/>
                    </w:rPr>
                    <w:t>0.80</w:t>
                  </w:r>
                </w:p>
              </w:tc>
            </w:tr>
            <w:tr w14:paraId="31F31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3EBC3FF1">
                  <w:pPr>
                    <w:jc w:val="center"/>
                    <w:rPr>
                      <w:color w:val="auto"/>
                      <w:szCs w:val="21"/>
                    </w:rPr>
                  </w:pPr>
                </w:p>
              </w:tc>
              <w:tc>
                <w:tcPr>
                  <w:tcW w:w="2035" w:type="dxa"/>
                  <w:shd w:val="clear" w:color="auto" w:fill="auto"/>
                  <w:vAlign w:val="center"/>
                </w:tcPr>
                <w:p w14:paraId="683D4801">
                  <w:pPr>
                    <w:jc w:val="center"/>
                    <w:rPr>
                      <w:color w:val="auto"/>
                      <w:szCs w:val="21"/>
                    </w:rPr>
                  </w:pPr>
                  <w:r>
                    <w:rPr>
                      <w:color w:val="auto"/>
                      <w:szCs w:val="21"/>
                    </w:rPr>
                    <w:t>排放浓度</w:t>
                  </w:r>
                </w:p>
              </w:tc>
              <w:tc>
                <w:tcPr>
                  <w:tcW w:w="1667" w:type="dxa"/>
                  <w:shd w:val="clear" w:color="auto" w:fill="auto"/>
                  <w:vAlign w:val="center"/>
                </w:tcPr>
                <w:p w14:paraId="266CB12A">
                  <w:pPr>
                    <w:jc w:val="center"/>
                    <w:rPr>
                      <w:color w:val="auto"/>
                      <w:szCs w:val="21"/>
                    </w:rPr>
                  </w:pPr>
                  <w:r>
                    <w:rPr>
                      <w:color w:val="auto"/>
                      <w:szCs w:val="21"/>
                    </w:rPr>
                    <w:t>mg/m</w:t>
                  </w:r>
                  <w:r>
                    <w:rPr>
                      <w:color w:val="auto"/>
                      <w:szCs w:val="21"/>
                      <w:vertAlign w:val="superscript"/>
                    </w:rPr>
                    <w:t>3</w:t>
                  </w:r>
                </w:p>
              </w:tc>
              <w:tc>
                <w:tcPr>
                  <w:tcW w:w="2244" w:type="dxa"/>
                  <w:tcBorders>
                    <w:right w:val="nil"/>
                  </w:tcBorders>
                  <w:shd w:val="clear" w:color="auto" w:fill="auto"/>
                  <w:vAlign w:val="center"/>
                </w:tcPr>
                <w:p w14:paraId="45E6FBD0">
                  <w:pPr>
                    <w:jc w:val="center"/>
                    <w:rPr>
                      <w:color w:val="auto"/>
                      <w:szCs w:val="21"/>
                    </w:rPr>
                  </w:pPr>
                  <w:r>
                    <w:rPr>
                      <w:rFonts w:hint="eastAsia"/>
                      <w:color w:val="auto"/>
                      <w:szCs w:val="21"/>
                    </w:rPr>
                    <w:t>99.18</w:t>
                  </w:r>
                </w:p>
              </w:tc>
            </w:tr>
            <w:tr w14:paraId="1DF5F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09460133">
                  <w:pPr>
                    <w:jc w:val="center"/>
                    <w:rPr>
                      <w:color w:val="auto"/>
                      <w:szCs w:val="21"/>
                    </w:rPr>
                  </w:pPr>
                </w:p>
              </w:tc>
              <w:tc>
                <w:tcPr>
                  <w:tcW w:w="2035" w:type="dxa"/>
                  <w:vMerge w:val="restart"/>
                  <w:shd w:val="clear" w:color="auto" w:fill="auto"/>
                  <w:vAlign w:val="center"/>
                </w:tcPr>
                <w:p w14:paraId="6CC37E7F">
                  <w:pPr>
                    <w:jc w:val="center"/>
                    <w:rPr>
                      <w:color w:val="auto"/>
                      <w:szCs w:val="21"/>
                    </w:rPr>
                  </w:pPr>
                  <w:r>
                    <w:rPr>
                      <w:color w:val="auto"/>
                      <w:szCs w:val="21"/>
                    </w:rPr>
                    <w:t>排放量</w:t>
                  </w:r>
                </w:p>
              </w:tc>
              <w:tc>
                <w:tcPr>
                  <w:tcW w:w="1667" w:type="dxa"/>
                  <w:shd w:val="clear" w:color="auto" w:fill="auto"/>
                  <w:vAlign w:val="center"/>
                </w:tcPr>
                <w:p w14:paraId="06CECA11">
                  <w:pPr>
                    <w:jc w:val="center"/>
                    <w:rPr>
                      <w:color w:val="auto"/>
                      <w:szCs w:val="21"/>
                    </w:rPr>
                  </w:pPr>
                  <w:r>
                    <w:rPr>
                      <w:color w:val="auto"/>
                      <w:szCs w:val="21"/>
                    </w:rPr>
                    <w:t>kg/h</w:t>
                  </w:r>
                </w:p>
              </w:tc>
              <w:tc>
                <w:tcPr>
                  <w:tcW w:w="2244" w:type="dxa"/>
                  <w:tcBorders>
                    <w:right w:val="nil"/>
                  </w:tcBorders>
                  <w:shd w:val="clear" w:color="auto" w:fill="auto"/>
                  <w:vAlign w:val="center"/>
                </w:tcPr>
                <w:p w14:paraId="7352AA6E">
                  <w:pPr>
                    <w:jc w:val="center"/>
                    <w:rPr>
                      <w:rFonts w:hint="eastAsia" w:eastAsia="宋体"/>
                      <w:color w:val="auto"/>
                      <w:szCs w:val="21"/>
                      <w:lang w:eastAsia="zh-CN"/>
                    </w:rPr>
                  </w:pPr>
                  <w:r>
                    <w:rPr>
                      <w:rFonts w:hint="eastAsia"/>
                      <w:color w:val="auto"/>
                      <w:szCs w:val="21"/>
                      <w:lang w:eastAsia="zh-CN"/>
                    </w:rPr>
                    <w:t>0.80</w:t>
                  </w:r>
                </w:p>
              </w:tc>
            </w:tr>
            <w:tr w14:paraId="092A29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4E9CDFA8">
                  <w:pPr>
                    <w:jc w:val="center"/>
                    <w:rPr>
                      <w:color w:val="auto"/>
                      <w:szCs w:val="21"/>
                    </w:rPr>
                  </w:pPr>
                </w:p>
              </w:tc>
              <w:tc>
                <w:tcPr>
                  <w:tcW w:w="2035" w:type="dxa"/>
                  <w:vMerge w:val="continue"/>
                </w:tcPr>
                <w:p w14:paraId="0E6DD6F9">
                  <w:pPr>
                    <w:jc w:val="center"/>
                    <w:rPr>
                      <w:color w:val="auto"/>
                      <w:szCs w:val="21"/>
                    </w:rPr>
                  </w:pPr>
                </w:p>
              </w:tc>
              <w:tc>
                <w:tcPr>
                  <w:tcW w:w="1667" w:type="dxa"/>
                  <w:shd w:val="clear" w:color="auto" w:fill="auto"/>
                  <w:vAlign w:val="center"/>
                </w:tcPr>
                <w:p w14:paraId="699A0AE9">
                  <w:pPr>
                    <w:jc w:val="center"/>
                    <w:rPr>
                      <w:color w:val="auto"/>
                      <w:szCs w:val="21"/>
                    </w:rPr>
                  </w:pPr>
                  <w:r>
                    <w:rPr>
                      <w:color w:val="auto"/>
                      <w:szCs w:val="21"/>
                    </w:rPr>
                    <w:t>t/a</w:t>
                  </w:r>
                </w:p>
              </w:tc>
              <w:tc>
                <w:tcPr>
                  <w:tcW w:w="2244" w:type="dxa"/>
                  <w:tcBorders>
                    <w:right w:val="nil"/>
                  </w:tcBorders>
                  <w:shd w:val="clear" w:color="auto" w:fill="auto"/>
                  <w:vAlign w:val="center"/>
                </w:tcPr>
                <w:p w14:paraId="0E50FC71">
                  <w:pPr>
                    <w:jc w:val="center"/>
                    <w:rPr>
                      <w:rFonts w:hint="eastAsia" w:eastAsia="宋体"/>
                      <w:color w:val="auto"/>
                      <w:szCs w:val="21"/>
                      <w:lang w:eastAsia="zh-CN"/>
                    </w:rPr>
                  </w:pPr>
                  <w:r>
                    <w:rPr>
                      <w:rFonts w:hint="eastAsia"/>
                      <w:color w:val="auto"/>
                      <w:szCs w:val="21"/>
                      <w:lang w:eastAsia="zh-CN"/>
                    </w:rPr>
                    <w:t>0.65</w:t>
                  </w:r>
                </w:p>
              </w:tc>
            </w:tr>
            <w:tr w14:paraId="31273D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restart"/>
                  <w:tcBorders>
                    <w:left w:val="nil"/>
                  </w:tcBorders>
                  <w:shd w:val="clear" w:color="auto" w:fill="auto"/>
                  <w:vAlign w:val="center"/>
                </w:tcPr>
                <w:p w14:paraId="339700DF">
                  <w:pPr>
                    <w:jc w:val="center"/>
                    <w:rPr>
                      <w:color w:val="auto"/>
                      <w:szCs w:val="21"/>
                    </w:rPr>
                  </w:pPr>
                  <w:r>
                    <w:rPr>
                      <w:color w:val="auto"/>
                      <w:szCs w:val="21"/>
                    </w:rPr>
                    <w:t>NOx</w:t>
                  </w:r>
                </w:p>
              </w:tc>
              <w:tc>
                <w:tcPr>
                  <w:tcW w:w="2035" w:type="dxa"/>
                  <w:shd w:val="clear" w:color="auto" w:fill="auto"/>
                  <w:vAlign w:val="center"/>
                </w:tcPr>
                <w:p w14:paraId="54EF7941">
                  <w:pPr>
                    <w:jc w:val="center"/>
                    <w:rPr>
                      <w:color w:val="auto"/>
                      <w:szCs w:val="21"/>
                    </w:rPr>
                  </w:pPr>
                  <w:r>
                    <w:rPr>
                      <w:color w:val="auto"/>
                      <w:szCs w:val="21"/>
                    </w:rPr>
                    <w:t>产生浓度</w:t>
                  </w:r>
                </w:p>
              </w:tc>
              <w:tc>
                <w:tcPr>
                  <w:tcW w:w="1667" w:type="dxa"/>
                  <w:shd w:val="clear" w:color="auto" w:fill="auto"/>
                  <w:vAlign w:val="center"/>
                </w:tcPr>
                <w:p w14:paraId="2427380B">
                  <w:pPr>
                    <w:jc w:val="center"/>
                    <w:rPr>
                      <w:color w:val="auto"/>
                      <w:szCs w:val="21"/>
                    </w:rPr>
                  </w:pPr>
                  <w:r>
                    <w:rPr>
                      <w:color w:val="auto"/>
                      <w:szCs w:val="21"/>
                    </w:rPr>
                    <w:t>mg/m</w:t>
                  </w:r>
                  <w:r>
                    <w:rPr>
                      <w:color w:val="auto"/>
                      <w:szCs w:val="21"/>
                      <w:vertAlign w:val="superscript"/>
                    </w:rPr>
                    <w:t>3</w:t>
                  </w:r>
                </w:p>
              </w:tc>
              <w:tc>
                <w:tcPr>
                  <w:tcW w:w="2244" w:type="dxa"/>
                  <w:tcBorders>
                    <w:right w:val="nil"/>
                  </w:tcBorders>
                  <w:shd w:val="clear" w:color="auto" w:fill="auto"/>
                  <w:vAlign w:val="center"/>
                </w:tcPr>
                <w:p w14:paraId="5C859352">
                  <w:pPr>
                    <w:jc w:val="center"/>
                    <w:rPr>
                      <w:rFonts w:hint="eastAsia" w:eastAsia="宋体"/>
                      <w:color w:val="auto"/>
                      <w:szCs w:val="21"/>
                      <w:lang w:eastAsia="zh-CN"/>
                    </w:rPr>
                  </w:pPr>
                  <w:r>
                    <w:rPr>
                      <w:rFonts w:hint="eastAsia"/>
                      <w:color w:val="auto"/>
                      <w:szCs w:val="21"/>
                      <w:lang w:eastAsia="zh-CN"/>
                    </w:rPr>
                    <w:t>170.02</w:t>
                  </w:r>
                </w:p>
              </w:tc>
            </w:tr>
            <w:tr w14:paraId="3ED2B6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642BC329">
                  <w:pPr>
                    <w:jc w:val="center"/>
                    <w:rPr>
                      <w:color w:val="auto"/>
                      <w:szCs w:val="21"/>
                    </w:rPr>
                  </w:pPr>
                </w:p>
              </w:tc>
              <w:tc>
                <w:tcPr>
                  <w:tcW w:w="2035" w:type="dxa"/>
                  <w:shd w:val="clear" w:color="auto" w:fill="auto"/>
                  <w:vAlign w:val="center"/>
                </w:tcPr>
                <w:p w14:paraId="7E2DB7A5">
                  <w:pPr>
                    <w:jc w:val="center"/>
                    <w:rPr>
                      <w:color w:val="auto"/>
                      <w:szCs w:val="21"/>
                    </w:rPr>
                  </w:pPr>
                  <w:r>
                    <w:rPr>
                      <w:color w:val="auto"/>
                      <w:szCs w:val="21"/>
                    </w:rPr>
                    <w:t>产生量</w:t>
                  </w:r>
                </w:p>
              </w:tc>
              <w:tc>
                <w:tcPr>
                  <w:tcW w:w="1667" w:type="dxa"/>
                  <w:shd w:val="clear" w:color="auto" w:fill="auto"/>
                  <w:vAlign w:val="center"/>
                </w:tcPr>
                <w:p w14:paraId="75974863">
                  <w:pPr>
                    <w:jc w:val="center"/>
                    <w:rPr>
                      <w:color w:val="auto"/>
                      <w:szCs w:val="21"/>
                    </w:rPr>
                  </w:pPr>
                  <w:r>
                    <w:rPr>
                      <w:color w:val="auto"/>
                      <w:szCs w:val="21"/>
                    </w:rPr>
                    <w:t>kg/h</w:t>
                  </w:r>
                </w:p>
              </w:tc>
              <w:tc>
                <w:tcPr>
                  <w:tcW w:w="2244" w:type="dxa"/>
                  <w:tcBorders>
                    <w:right w:val="nil"/>
                  </w:tcBorders>
                  <w:shd w:val="clear" w:color="auto" w:fill="auto"/>
                  <w:vAlign w:val="center"/>
                </w:tcPr>
                <w:p w14:paraId="45FC5E2A">
                  <w:pPr>
                    <w:jc w:val="center"/>
                    <w:rPr>
                      <w:rFonts w:hint="default" w:eastAsia="宋体"/>
                      <w:color w:val="auto"/>
                      <w:szCs w:val="21"/>
                      <w:lang w:val="en-US" w:eastAsia="zh-CN"/>
                    </w:rPr>
                  </w:pPr>
                  <w:r>
                    <w:rPr>
                      <w:rFonts w:hint="eastAsia"/>
                      <w:color w:val="auto"/>
                      <w:szCs w:val="21"/>
                      <w:lang w:val="en-US" w:eastAsia="zh-CN"/>
                    </w:rPr>
                    <w:t>1.36</w:t>
                  </w:r>
                </w:p>
              </w:tc>
            </w:tr>
            <w:tr w14:paraId="7AB0A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58CCE09E">
                  <w:pPr>
                    <w:jc w:val="center"/>
                    <w:rPr>
                      <w:color w:val="auto"/>
                      <w:szCs w:val="21"/>
                    </w:rPr>
                  </w:pPr>
                </w:p>
              </w:tc>
              <w:tc>
                <w:tcPr>
                  <w:tcW w:w="2035" w:type="dxa"/>
                  <w:shd w:val="clear" w:color="auto" w:fill="auto"/>
                  <w:vAlign w:val="center"/>
                </w:tcPr>
                <w:p w14:paraId="03C70A23">
                  <w:pPr>
                    <w:jc w:val="center"/>
                    <w:rPr>
                      <w:color w:val="auto"/>
                      <w:szCs w:val="21"/>
                    </w:rPr>
                  </w:pPr>
                  <w:r>
                    <w:rPr>
                      <w:color w:val="auto"/>
                      <w:szCs w:val="21"/>
                    </w:rPr>
                    <w:t>排放浓度</w:t>
                  </w:r>
                </w:p>
              </w:tc>
              <w:tc>
                <w:tcPr>
                  <w:tcW w:w="1667" w:type="dxa"/>
                  <w:shd w:val="clear" w:color="auto" w:fill="auto"/>
                  <w:vAlign w:val="center"/>
                </w:tcPr>
                <w:p w14:paraId="53B4DB11">
                  <w:pPr>
                    <w:jc w:val="center"/>
                    <w:rPr>
                      <w:color w:val="auto"/>
                      <w:szCs w:val="21"/>
                    </w:rPr>
                  </w:pPr>
                  <w:r>
                    <w:rPr>
                      <w:color w:val="auto"/>
                      <w:szCs w:val="21"/>
                    </w:rPr>
                    <w:t>mg/m</w:t>
                  </w:r>
                  <w:r>
                    <w:rPr>
                      <w:color w:val="auto"/>
                      <w:szCs w:val="21"/>
                      <w:vertAlign w:val="superscript"/>
                    </w:rPr>
                    <w:t>3</w:t>
                  </w:r>
                </w:p>
              </w:tc>
              <w:tc>
                <w:tcPr>
                  <w:tcW w:w="2244" w:type="dxa"/>
                  <w:tcBorders>
                    <w:right w:val="nil"/>
                  </w:tcBorders>
                  <w:shd w:val="clear" w:color="auto" w:fill="auto"/>
                  <w:vAlign w:val="center"/>
                </w:tcPr>
                <w:p w14:paraId="60B4D548">
                  <w:pPr>
                    <w:jc w:val="center"/>
                    <w:rPr>
                      <w:rFonts w:hint="eastAsia" w:eastAsia="宋体"/>
                      <w:color w:val="auto"/>
                      <w:szCs w:val="21"/>
                      <w:lang w:eastAsia="zh-CN"/>
                    </w:rPr>
                  </w:pPr>
                  <w:r>
                    <w:rPr>
                      <w:rFonts w:hint="eastAsia"/>
                      <w:color w:val="auto"/>
                      <w:szCs w:val="21"/>
                      <w:lang w:eastAsia="zh-CN"/>
                    </w:rPr>
                    <w:t>118.35</w:t>
                  </w:r>
                </w:p>
              </w:tc>
            </w:tr>
            <w:tr w14:paraId="21174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23885BB4">
                  <w:pPr>
                    <w:jc w:val="center"/>
                    <w:rPr>
                      <w:color w:val="auto"/>
                      <w:szCs w:val="21"/>
                    </w:rPr>
                  </w:pPr>
                </w:p>
              </w:tc>
              <w:tc>
                <w:tcPr>
                  <w:tcW w:w="2035" w:type="dxa"/>
                  <w:vMerge w:val="restart"/>
                  <w:shd w:val="clear" w:color="auto" w:fill="auto"/>
                  <w:vAlign w:val="center"/>
                </w:tcPr>
                <w:p w14:paraId="67AF7935">
                  <w:pPr>
                    <w:jc w:val="center"/>
                    <w:rPr>
                      <w:color w:val="auto"/>
                      <w:szCs w:val="21"/>
                    </w:rPr>
                  </w:pPr>
                  <w:r>
                    <w:rPr>
                      <w:color w:val="auto"/>
                      <w:szCs w:val="21"/>
                    </w:rPr>
                    <w:t>排放量</w:t>
                  </w:r>
                </w:p>
              </w:tc>
              <w:tc>
                <w:tcPr>
                  <w:tcW w:w="1667" w:type="dxa"/>
                  <w:shd w:val="clear" w:color="auto" w:fill="auto"/>
                  <w:vAlign w:val="center"/>
                </w:tcPr>
                <w:p w14:paraId="3C50EC0D">
                  <w:pPr>
                    <w:jc w:val="center"/>
                    <w:rPr>
                      <w:color w:val="auto"/>
                      <w:szCs w:val="21"/>
                    </w:rPr>
                  </w:pPr>
                  <w:r>
                    <w:rPr>
                      <w:color w:val="auto"/>
                      <w:szCs w:val="21"/>
                    </w:rPr>
                    <w:t>kg/h</w:t>
                  </w:r>
                </w:p>
              </w:tc>
              <w:tc>
                <w:tcPr>
                  <w:tcW w:w="2244" w:type="dxa"/>
                  <w:tcBorders>
                    <w:right w:val="nil"/>
                  </w:tcBorders>
                  <w:shd w:val="clear" w:color="auto" w:fill="auto"/>
                  <w:vAlign w:val="center"/>
                </w:tcPr>
                <w:p w14:paraId="1D7A5AB9">
                  <w:pPr>
                    <w:jc w:val="center"/>
                    <w:rPr>
                      <w:rFonts w:hint="eastAsia" w:eastAsia="宋体"/>
                      <w:color w:val="auto"/>
                      <w:szCs w:val="21"/>
                      <w:lang w:eastAsia="zh-CN"/>
                    </w:rPr>
                  </w:pPr>
                  <w:r>
                    <w:rPr>
                      <w:rFonts w:hint="eastAsia"/>
                      <w:color w:val="auto"/>
                      <w:szCs w:val="21"/>
                      <w:lang w:eastAsia="zh-CN"/>
                    </w:rPr>
                    <w:t>0.95</w:t>
                  </w:r>
                </w:p>
              </w:tc>
            </w:tr>
            <w:tr w14:paraId="04FB9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5128C5F5">
                  <w:pPr>
                    <w:jc w:val="center"/>
                    <w:rPr>
                      <w:color w:val="auto"/>
                      <w:szCs w:val="21"/>
                    </w:rPr>
                  </w:pPr>
                </w:p>
              </w:tc>
              <w:tc>
                <w:tcPr>
                  <w:tcW w:w="2035" w:type="dxa"/>
                  <w:vMerge w:val="continue"/>
                </w:tcPr>
                <w:p w14:paraId="7D82D090">
                  <w:pPr>
                    <w:jc w:val="center"/>
                    <w:rPr>
                      <w:color w:val="auto"/>
                      <w:szCs w:val="21"/>
                    </w:rPr>
                  </w:pPr>
                </w:p>
              </w:tc>
              <w:tc>
                <w:tcPr>
                  <w:tcW w:w="1667" w:type="dxa"/>
                  <w:shd w:val="clear" w:color="auto" w:fill="auto"/>
                  <w:vAlign w:val="center"/>
                </w:tcPr>
                <w:p w14:paraId="638C6433">
                  <w:pPr>
                    <w:jc w:val="center"/>
                    <w:rPr>
                      <w:color w:val="auto"/>
                      <w:szCs w:val="21"/>
                    </w:rPr>
                  </w:pPr>
                  <w:r>
                    <w:rPr>
                      <w:color w:val="auto"/>
                      <w:szCs w:val="21"/>
                    </w:rPr>
                    <w:t>t/a</w:t>
                  </w:r>
                </w:p>
              </w:tc>
              <w:tc>
                <w:tcPr>
                  <w:tcW w:w="2244" w:type="dxa"/>
                  <w:tcBorders>
                    <w:right w:val="nil"/>
                  </w:tcBorders>
                  <w:shd w:val="clear" w:color="auto" w:fill="auto"/>
                  <w:vAlign w:val="center"/>
                </w:tcPr>
                <w:p w14:paraId="60221468">
                  <w:pPr>
                    <w:jc w:val="center"/>
                    <w:rPr>
                      <w:rFonts w:hint="eastAsia" w:eastAsia="宋体"/>
                      <w:color w:val="auto"/>
                      <w:szCs w:val="21"/>
                      <w:lang w:eastAsia="zh-CN"/>
                    </w:rPr>
                  </w:pPr>
                  <w:r>
                    <w:rPr>
                      <w:rFonts w:hint="eastAsia"/>
                      <w:color w:val="auto"/>
                      <w:szCs w:val="21"/>
                      <w:lang w:eastAsia="zh-CN"/>
                    </w:rPr>
                    <w:t>0.775</w:t>
                  </w:r>
                </w:p>
              </w:tc>
            </w:tr>
            <w:tr w14:paraId="4ED09E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restart"/>
                  <w:tcBorders>
                    <w:left w:val="nil"/>
                  </w:tcBorders>
                  <w:shd w:val="clear" w:color="auto" w:fill="auto"/>
                  <w:vAlign w:val="center"/>
                </w:tcPr>
                <w:p w14:paraId="6AB760ED">
                  <w:pPr>
                    <w:pStyle w:val="135"/>
                    <w:adjustRightInd/>
                    <w:snapToGrid/>
                    <w:spacing w:line="240" w:lineRule="auto"/>
                    <w:ind w:left="19" w:right="19"/>
                    <w:rPr>
                      <w:color w:val="auto"/>
                      <w:szCs w:val="21"/>
                    </w:rPr>
                  </w:pPr>
                  <w:r>
                    <w:rPr>
                      <w:color w:val="auto"/>
                      <w:szCs w:val="21"/>
                    </w:rPr>
                    <w:t>PM</w:t>
                  </w:r>
                  <w:r>
                    <w:rPr>
                      <w:color w:val="auto"/>
                      <w:szCs w:val="21"/>
                      <w:vertAlign w:val="subscript"/>
                    </w:rPr>
                    <w:t>10</w:t>
                  </w:r>
                </w:p>
              </w:tc>
              <w:tc>
                <w:tcPr>
                  <w:tcW w:w="2035" w:type="dxa"/>
                  <w:shd w:val="clear" w:color="auto" w:fill="auto"/>
                  <w:vAlign w:val="center"/>
                </w:tcPr>
                <w:p w14:paraId="60B2809C">
                  <w:pPr>
                    <w:jc w:val="center"/>
                    <w:rPr>
                      <w:color w:val="auto"/>
                      <w:szCs w:val="21"/>
                    </w:rPr>
                  </w:pPr>
                  <w:r>
                    <w:rPr>
                      <w:color w:val="auto"/>
                      <w:szCs w:val="21"/>
                    </w:rPr>
                    <w:t>产生浓度</w:t>
                  </w:r>
                </w:p>
              </w:tc>
              <w:tc>
                <w:tcPr>
                  <w:tcW w:w="1667" w:type="dxa"/>
                  <w:shd w:val="clear" w:color="auto" w:fill="auto"/>
                  <w:vAlign w:val="center"/>
                </w:tcPr>
                <w:p w14:paraId="7645FEF1">
                  <w:pPr>
                    <w:jc w:val="center"/>
                    <w:rPr>
                      <w:color w:val="auto"/>
                      <w:szCs w:val="21"/>
                    </w:rPr>
                  </w:pPr>
                  <w:r>
                    <w:rPr>
                      <w:color w:val="auto"/>
                      <w:szCs w:val="21"/>
                    </w:rPr>
                    <w:t>mg/m</w:t>
                  </w:r>
                  <w:r>
                    <w:rPr>
                      <w:color w:val="auto"/>
                      <w:szCs w:val="21"/>
                      <w:vertAlign w:val="superscript"/>
                    </w:rPr>
                    <w:t>3</w:t>
                  </w:r>
                </w:p>
              </w:tc>
              <w:tc>
                <w:tcPr>
                  <w:tcW w:w="2244" w:type="dxa"/>
                  <w:tcBorders>
                    <w:right w:val="nil"/>
                  </w:tcBorders>
                  <w:shd w:val="clear" w:color="auto" w:fill="auto"/>
                  <w:vAlign w:val="center"/>
                </w:tcPr>
                <w:p w14:paraId="143B764C">
                  <w:pPr>
                    <w:jc w:val="center"/>
                    <w:rPr>
                      <w:rFonts w:hint="eastAsia" w:eastAsia="宋体"/>
                      <w:color w:val="auto"/>
                      <w:szCs w:val="21"/>
                      <w:lang w:eastAsia="zh-CN"/>
                    </w:rPr>
                  </w:pPr>
                  <w:r>
                    <w:rPr>
                      <w:rFonts w:hint="eastAsia"/>
                      <w:color w:val="auto"/>
                      <w:szCs w:val="21"/>
                      <w:lang w:eastAsia="zh-CN"/>
                    </w:rPr>
                    <w:t>8175.33</w:t>
                  </w:r>
                </w:p>
              </w:tc>
            </w:tr>
            <w:tr w14:paraId="0BE34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4098F41F">
                  <w:pPr>
                    <w:jc w:val="center"/>
                    <w:rPr>
                      <w:color w:val="auto"/>
                      <w:szCs w:val="21"/>
                    </w:rPr>
                  </w:pPr>
                </w:p>
              </w:tc>
              <w:tc>
                <w:tcPr>
                  <w:tcW w:w="2035" w:type="dxa"/>
                  <w:vMerge w:val="restart"/>
                  <w:shd w:val="clear" w:color="auto" w:fill="auto"/>
                  <w:vAlign w:val="center"/>
                </w:tcPr>
                <w:p w14:paraId="503510AF">
                  <w:pPr>
                    <w:jc w:val="center"/>
                    <w:rPr>
                      <w:color w:val="auto"/>
                      <w:szCs w:val="21"/>
                    </w:rPr>
                  </w:pPr>
                  <w:r>
                    <w:rPr>
                      <w:color w:val="auto"/>
                      <w:szCs w:val="21"/>
                    </w:rPr>
                    <w:t>产生量</w:t>
                  </w:r>
                </w:p>
              </w:tc>
              <w:tc>
                <w:tcPr>
                  <w:tcW w:w="1667" w:type="dxa"/>
                  <w:shd w:val="clear" w:color="auto" w:fill="auto"/>
                  <w:vAlign w:val="center"/>
                </w:tcPr>
                <w:p w14:paraId="5D830908">
                  <w:pPr>
                    <w:jc w:val="center"/>
                    <w:rPr>
                      <w:color w:val="auto"/>
                      <w:szCs w:val="21"/>
                    </w:rPr>
                  </w:pPr>
                  <w:r>
                    <w:rPr>
                      <w:color w:val="auto"/>
                      <w:szCs w:val="21"/>
                    </w:rPr>
                    <w:t>kg/h</w:t>
                  </w:r>
                </w:p>
              </w:tc>
              <w:tc>
                <w:tcPr>
                  <w:tcW w:w="2244" w:type="dxa"/>
                  <w:tcBorders>
                    <w:right w:val="nil"/>
                  </w:tcBorders>
                  <w:shd w:val="clear" w:color="auto" w:fill="auto"/>
                  <w:vAlign w:val="center"/>
                </w:tcPr>
                <w:p w14:paraId="219D9A4E">
                  <w:pPr>
                    <w:jc w:val="center"/>
                    <w:rPr>
                      <w:rFonts w:hint="eastAsia" w:eastAsia="宋体"/>
                      <w:color w:val="auto"/>
                      <w:szCs w:val="21"/>
                      <w:lang w:eastAsia="zh-CN"/>
                    </w:rPr>
                  </w:pPr>
                  <w:r>
                    <w:rPr>
                      <w:rFonts w:hint="eastAsia"/>
                      <w:color w:val="auto"/>
                      <w:szCs w:val="21"/>
                      <w:lang w:eastAsia="zh-CN"/>
                    </w:rPr>
                    <w:t>65.50</w:t>
                  </w:r>
                </w:p>
              </w:tc>
            </w:tr>
            <w:tr w14:paraId="3E58A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65D38217">
                  <w:pPr>
                    <w:jc w:val="center"/>
                    <w:rPr>
                      <w:color w:val="auto"/>
                      <w:szCs w:val="21"/>
                    </w:rPr>
                  </w:pPr>
                </w:p>
              </w:tc>
              <w:tc>
                <w:tcPr>
                  <w:tcW w:w="2035" w:type="dxa"/>
                  <w:vMerge w:val="continue"/>
                </w:tcPr>
                <w:p w14:paraId="3E9C8CE2">
                  <w:pPr>
                    <w:jc w:val="center"/>
                    <w:rPr>
                      <w:color w:val="auto"/>
                      <w:szCs w:val="21"/>
                    </w:rPr>
                  </w:pPr>
                </w:p>
              </w:tc>
              <w:tc>
                <w:tcPr>
                  <w:tcW w:w="1667" w:type="dxa"/>
                  <w:shd w:val="clear" w:color="auto" w:fill="auto"/>
                  <w:vAlign w:val="center"/>
                </w:tcPr>
                <w:p w14:paraId="5882E55D">
                  <w:pPr>
                    <w:jc w:val="center"/>
                    <w:rPr>
                      <w:color w:val="auto"/>
                      <w:szCs w:val="21"/>
                    </w:rPr>
                  </w:pPr>
                  <w:r>
                    <w:rPr>
                      <w:color w:val="auto"/>
                      <w:szCs w:val="21"/>
                    </w:rPr>
                    <w:t>t/a</w:t>
                  </w:r>
                </w:p>
              </w:tc>
              <w:tc>
                <w:tcPr>
                  <w:tcW w:w="2244" w:type="dxa"/>
                  <w:tcBorders>
                    <w:right w:val="nil"/>
                  </w:tcBorders>
                  <w:shd w:val="clear" w:color="auto" w:fill="auto"/>
                  <w:vAlign w:val="center"/>
                </w:tcPr>
                <w:p w14:paraId="0950B34E">
                  <w:pPr>
                    <w:jc w:val="center"/>
                    <w:rPr>
                      <w:rFonts w:hint="eastAsia" w:eastAsia="宋体"/>
                      <w:color w:val="auto"/>
                      <w:szCs w:val="21"/>
                      <w:lang w:eastAsia="zh-CN"/>
                    </w:rPr>
                  </w:pPr>
                  <w:r>
                    <w:rPr>
                      <w:rFonts w:hint="eastAsia"/>
                      <w:color w:val="auto"/>
                      <w:szCs w:val="21"/>
                      <w:lang w:eastAsia="zh-CN"/>
                    </w:rPr>
                    <w:t>53.50</w:t>
                  </w:r>
                </w:p>
              </w:tc>
            </w:tr>
            <w:tr w14:paraId="0AE44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5A3A2E16">
                  <w:pPr>
                    <w:jc w:val="center"/>
                    <w:rPr>
                      <w:color w:val="auto"/>
                      <w:szCs w:val="21"/>
                    </w:rPr>
                  </w:pPr>
                </w:p>
              </w:tc>
              <w:tc>
                <w:tcPr>
                  <w:tcW w:w="2035" w:type="dxa"/>
                  <w:shd w:val="clear" w:color="auto" w:fill="auto"/>
                  <w:vAlign w:val="center"/>
                </w:tcPr>
                <w:p w14:paraId="35F8A1FD">
                  <w:pPr>
                    <w:jc w:val="center"/>
                    <w:rPr>
                      <w:color w:val="auto"/>
                      <w:szCs w:val="21"/>
                    </w:rPr>
                  </w:pPr>
                  <w:r>
                    <w:rPr>
                      <w:color w:val="auto"/>
                      <w:szCs w:val="21"/>
                    </w:rPr>
                    <w:t>排放浓度</w:t>
                  </w:r>
                </w:p>
              </w:tc>
              <w:tc>
                <w:tcPr>
                  <w:tcW w:w="1667" w:type="dxa"/>
                  <w:shd w:val="clear" w:color="auto" w:fill="auto"/>
                  <w:vAlign w:val="center"/>
                </w:tcPr>
                <w:p w14:paraId="2703B35B">
                  <w:pPr>
                    <w:jc w:val="center"/>
                    <w:rPr>
                      <w:color w:val="auto"/>
                      <w:szCs w:val="21"/>
                    </w:rPr>
                  </w:pPr>
                  <w:r>
                    <w:rPr>
                      <w:color w:val="auto"/>
                      <w:szCs w:val="21"/>
                    </w:rPr>
                    <w:t>mg/m</w:t>
                  </w:r>
                  <w:r>
                    <w:rPr>
                      <w:color w:val="auto"/>
                      <w:szCs w:val="21"/>
                      <w:vertAlign w:val="superscript"/>
                    </w:rPr>
                    <w:t>3</w:t>
                  </w:r>
                </w:p>
              </w:tc>
              <w:tc>
                <w:tcPr>
                  <w:tcW w:w="2244" w:type="dxa"/>
                  <w:tcBorders>
                    <w:right w:val="nil"/>
                  </w:tcBorders>
                  <w:shd w:val="clear" w:color="auto" w:fill="auto"/>
                  <w:vAlign w:val="center"/>
                </w:tcPr>
                <w:p w14:paraId="1F66A785">
                  <w:pPr>
                    <w:jc w:val="center"/>
                    <w:rPr>
                      <w:rFonts w:hint="eastAsia" w:eastAsia="宋体"/>
                      <w:color w:val="auto"/>
                      <w:szCs w:val="21"/>
                      <w:lang w:eastAsia="zh-CN"/>
                    </w:rPr>
                  </w:pPr>
                  <w:r>
                    <w:rPr>
                      <w:rFonts w:hint="eastAsia"/>
                      <w:color w:val="auto"/>
                      <w:szCs w:val="21"/>
                      <w:lang w:eastAsia="zh-CN"/>
                    </w:rPr>
                    <w:t>24.53</w:t>
                  </w:r>
                </w:p>
              </w:tc>
            </w:tr>
            <w:tr w14:paraId="5245D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11137301">
                  <w:pPr>
                    <w:jc w:val="center"/>
                    <w:rPr>
                      <w:color w:val="auto"/>
                      <w:szCs w:val="21"/>
                    </w:rPr>
                  </w:pPr>
                </w:p>
              </w:tc>
              <w:tc>
                <w:tcPr>
                  <w:tcW w:w="2035" w:type="dxa"/>
                  <w:vMerge w:val="restart"/>
                  <w:shd w:val="clear" w:color="auto" w:fill="auto"/>
                  <w:vAlign w:val="center"/>
                </w:tcPr>
                <w:p w14:paraId="72C72D1B">
                  <w:pPr>
                    <w:jc w:val="center"/>
                    <w:rPr>
                      <w:color w:val="auto"/>
                      <w:szCs w:val="21"/>
                    </w:rPr>
                  </w:pPr>
                  <w:r>
                    <w:rPr>
                      <w:color w:val="auto"/>
                      <w:szCs w:val="21"/>
                    </w:rPr>
                    <w:t>排放量</w:t>
                  </w:r>
                </w:p>
              </w:tc>
              <w:tc>
                <w:tcPr>
                  <w:tcW w:w="1667" w:type="dxa"/>
                  <w:shd w:val="clear" w:color="auto" w:fill="auto"/>
                  <w:vAlign w:val="center"/>
                </w:tcPr>
                <w:p w14:paraId="5613941D">
                  <w:pPr>
                    <w:jc w:val="center"/>
                    <w:rPr>
                      <w:color w:val="auto"/>
                      <w:szCs w:val="21"/>
                    </w:rPr>
                  </w:pPr>
                  <w:r>
                    <w:rPr>
                      <w:color w:val="auto"/>
                      <w:szCs w:val="21"/>
                    </w:rPr>
                    <w:t>kg/h</w:t>
                  </w:r>
                </w:p>
              </w:tc>
              <w:tc>
                <w:tcPr>
                  <w:tcW w:w="2244" w:type="dxa"/>
                  <w:tcBorders>
                    <w:right w:val="nil"/>
                  </w:tcBorders>
                  <w:shd w:val="clear" w:color="auto" w:fill="auto"/>
                  <w:vAlign w:val="center"/>
                </w:tcPr>
                <w:p w14:paraId="3B19070D">
                  <w:pPr>
                    <w:jc w:val="center"/>
                    <w:rPr>
                      <w:rFonts w:hint="eastAsia" w:eastAsia="宋体"/>
                      <w:color w:val="auto"/>
                      <w:szCs w:val="21"/>
                      <w:lang w:eastAsia="zh-CN"/>
                    </w:rPr>
                  </w:pPr>
                  <w:r>
                    <w:rPr>
                      <w:rFonts w:hint="eastAsia"/>
                      <w:color w:val="auto"/>
                      <w:szCs w:val="21"/>
                      <w:lang w:eastAsia="zh-CN"/>
                    </w:rPr>
                    <w:t>0.195</w:t>
                  </w:r>
                </w:p>
              </w:tc>
            </w:tr>
            <w:tr w14:paraId="24EF9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vMerge w:val="continue"/>
                  <w:tcBorders>
                    <w:left w:val="nil"/>
                  </w:tcBorders>
                </w:tcPr>
                <w:p w14:paraId="54A731B2">
                  <w:pPr>
                    <w:jc w:val="center"/>
                    <w:rPr>
                      <w:color w:val="auto"/>
                      <w:szCs w:val="21"/>
                    </w:rPr>
                  </w:pPr>
                </w:p>
              </w:tc>
              <w:tc>
                <w:tcPr>
                  <w:tcW w:w="2035" w:type="dxa"/>
                  <w:vMerge w:val="continue"/>
                </w:tcPr>
                <w:p w14:paraId="792DDAAC">
                  <w:pPr>
                    <w:jc w:val="center"/>
                    <w:rPr>
                      <w:color w:val="auto"/>
                      <w:szCs w:val="21"/>
                    </w:rPr>
                  </w:pPr>
                </w:p>
              </w:tc>
              <w:tc>
                <w:tcPr>
                  <w:tcW w:w="1667" w:type="dxa"/>
                  <w:shd w:val="clear" w:color="auto" w:fill="auto"/>
                  <w:vAlign w:val="center"/>
                </w:tcPr>
                <w:p w14:paraId="1B657717">
                  <w:pPr>
                    <w:jc w:val="center"/>
                    <w:rPr>
                      <w:color w:val="auto"/>
                      <w:szCs w:val="21"/>
                    </w:rPr>
                  </w:pPr>
                  <w:r>
                    <w:rPr>
                      <w:color w:val="auto"/>
                      <w:szCs w:val="21"/>
                    </w:rPr>
                    <w:t>t/a</w:t>
                  </w:r>
                </w:p>
              </w:tc>
              <w:tc>
                <w:tcPr>
                  <w:tcW w:w="2244" w:type="dxa"/>
                  <w:tcBorders>
                    <w:right w:val="nil"/>
                  </w:tcBorders>
                  <w:shd w:val="clear" w:color="auto" w:fill="auto"/>
                  <w:vAlign w:val="center"/>
                </w:tcPr>
                <w:p w14:paraId="63C3281F">
                  <w:pPr>
                    <w:jc w:val="center"/>
                    <w:rPr>
                      <w:rFonts w:hint="eastAsia" w:eastAsia="宋体"/>
                      <w:color w:val="auto"/>
                      <w:szCs w:val="21"/>
                      <w:lang w:eastAsia="zh-CN"/>
                    </w:rPr>
                  </w:pPr>
                  <w:r>
                    <w:rPr>
                      <w:rFonts w:hint="eastAsia"/>
                      <w:color w:val="auto"/>
                      <w:szCs w:val="21"/>
                      <w:lang w:eastAsia="zh-CN"/>
                    </w:rPr>
                    <w:t>0.16</w:t>
                  </w:r>
                </w:p>
              </w:tc>
            </w:tr>
          </w:tbl>
          <w:p w14:paraId="0277B428">
            <w:pPr>
              <w:pStyle w:val="107"/>
              <w:ind w:firstLine="480"/>
              <w:rPr>
                <w:color w:val="auto"/>
                <w:sz w:val="24"/>
              </w:rPr>
            </w:pPr>
            <w:r>
              <w:rPr>
                <w:rFonts w:hint="eastAsia"/>
                <w:color w:val="auto"/>
                <w:sz w:val="24"/>
              </w:rPr>
              <w:t>本项目</w:t>
            </w:r>
            <w:r>
              <w:rPr>
                <w:rFonts w:hint="eastAsia"/>
                <w:color w:val="auto"/>
                <w:sz w:val="24"/>
                <w:lang w:eastAsia="zh-CN"/>
              </w:rPr>
              <w:t>360万kcal/h</w:t>
            </w:r>
            <w:r>
              <w:rPr>
                <w:rFonts w:hint="eastAsia"/>
                <w:color w:val="auto"/>
                <w:sz w:val="24"/>
              </w:rPr>
              <w:t>生物质热风炉1，</w:t>
            </w:r>
            <w:r>
              <w:rPr>
                <w:color w:val="auto"/>
                <w:sz w:val="24"/>
              </w:rPr>
              <w:t>DA00</w:t>
            </w:r>
            <w:r>
              <w:rPr>
                <w:rFonts w:hint="eastAsia"/>
                <w:color w:val="auto"/>
                <w:sz w:val="24"/>
              </w:rPr>
              <w:t>1</w:t>
            </w:r>
            <w:r>
              <w:rPr>
                <w:color w:val="auto"/>
                <w:sz w:val="24"/>
              </w:rPr>
              <w:t>的SO</w:t>
            </w:r>
            <w:r>
              <w:rPr>
                <w:color w:val="auto"/>
                <w:sz w:val="24"/>
                <w:vertAlign w:val="subscript"/>
              </w:rPr>
              <w:t>2</w:t>
            </w:r>
            <w:r>
              <w:rPr>
                <w:color w:val="auto"/>
                <w:sz w:val="24"/>
              </w:rPr>
              <w:t>排放速率为</w:t>
            </w:r>
            <w:r>
              <w:rPr>
                <w:rFonts w:hint="eastAsia"/>
                <w:color w:val="auto"/>
                <w:sz w:val="24"/>
                <w:lang w:eastAsia="zh-CN"/>
              </w:rPr>
              <w:t>0.80</w:t>
            </w:r>
            <w:r>
              <w:rPr>
                <w:color w:val="auto"/>
                <w:sz w:val="24"/>
              </w:rPr>
              <w:t>kg/h，排放量为</w:t>
            </w:r>
            <w:r>
              <w:rPr>
                <w:rFonts w:hint="eastAsia"/>
                <w:color w:val="auto"/>
                <w:sz w:val="24"/>
                <w:lang w:eastAsia="zh-CN"/>
              </w:rPr>
              <w:t>0.65</w:t>
            </w:r>
            <w:r>
              <w:rPr>
                <w:color w:val="auto"/>
                <w:sz w:val="24"/>
              </w:rPr>
              <w:t>t/a，排放浓度为</w:t>
            </w:r>
            <w:r>
              <w:rPr>
                <w:rFonts w:hint="eastAsia"/>
                <w:color w:val="auto"/>
                <w:sz w:val="24"/>
              </w:rPr>
              <w:t>99.18</w:t>
            </w:r>
            <w:r>
              <w:rPr>
                <w:color w:val="auto"/>
                <w:sz w:val="24"/>
              </w:rPr>
              <w:t>mg/m</w:t>
            </w:r>
            <w:r>
              <w:rPr>
                <w:color w:val="auto"/>
                <w:sz w:val="24"/>
                <w:vertAlign w:val="superscript"/>
              </w:rPr>
              <w:t>3</w:t>
            </w:r>
            <w:r>
              <w:rPr>
                <w:color w:val="auto"/>
                <w:sz w:val="24"/>
              </w:rPr>
              <w:t>；NOx排放速率为</w:t>
            </w:r>
            <w:r>
              <w:rPr>
                <w:rFonts w:hint="eastAsia"/>
                <w:color w:val="auto"/>
                <w:sz w:val="24"/>
                <w:lang w:eastAsia="zh-CN"/>
              </w:rPr>
              <w:t>0.95</w:t>
            </w:r>
            <w:r>
              <w:rPr>
                <w:color w:val="auto"/>
                <w:sz w:val="24"/>
              </w:rPr>
              <w:t>kg/h，排放量为</w:t>
            </w:r>
            <w:r>
              <w:rPr>
                <w:rFonts w:hint="eastAsia"/>
                <w:color w:val="auto"/>
                <w:sz w:val="24"/>
                <w:lang w:eastAsia="zh-CN"/>
              </w:rPr>
              <w:t>0.775</w:t>
            </w:r>
            <w:r>
              <w:rPr>
                <w:color w:val="auto"/>
                <w:sz w:val="24"/>
              </w:rPr>
              <w:t>t/a，排放浓度为</w:t>
            </w:r>
            <w:r>
              <w:rPr>
                <w:rFonts w:hint="eastAsia"/>
                <w:color w:val="auto"/>
                <w:sz w:val="24"/>
                <w:lang w:eastAsia="zh-CN"/>
              </w:rPr>
              <w:t>118.35</w:t>
            </w:r>
            <w:r>
              <w:rPr>
                <w:color w:val="auto"/>
                <w:sz w:val="24"/>
              </w:rPr>
              <w:t>mg/m</w:t>
            </w:r>
            <w:r>
              <w:rPr>
                <w:color w:val="auto"/>
                <w:sz w:val="24"/>
                <w:vertAlign w:val="superscript"/>
              </w:rPr>
              <w:t>3</w:t>
            </w:r>
            <w:r>
              <w:rPr>
                <w:color w:val="auto"/>
                <w:sz w:val="24"/>
              </w:rPr>
              <w:t>；颗粒物产生量</w:t>
            </w:r>
            <w:r>
              <w:rPr>
                <w:rFonts w:hint="eastAsia"/>
                <w:color w:val="auto"/>
                <w:sz w:val="24"/>
                <w:lang w:eastAsia="zh-CN"/>
              </w:rPr>
              <w:t>65.50</w:t>
            </w:r>
            <w:r>
              <w:rPr>
                <w:color w:val="auto"/>
                <w:sz w:val="24"/>
              </w:rPr>
              <w:t>kg/h，产生浓度为</w:t>
            </w:r>
            <w:r>
              <w:rPr>
                <w:rFonts w:hint="eastAsia"/>
                <w:color w:val="auto"/>
                <w:sz w:val="24"/>
                <w:lang w:eastAsia="zh-CN"/>
              </w:rPr>
              <w:t>8175.33</w:t>
            </w:r>
            <w:r>
              <w:rPr>
                <w:color w:val="auto"/>
                <w:sz w:val="24"/>
              </w:rPr>
              <w:t>mg/m</w:t>
            </w:r>
            <w:r>
              <w:rPr>
                <w:color w:val="auto"/>
                <w:sz w:val="24"/>
                <w:vertAlign w:val="superscript"/>
              </w:rPr>
              <w:t>3</w:t>
            </w:r>
            <w:r>
              <w:rPr>
                <w:color w:val="auto"/>
                <w:sz w:val="24"/>
              </w:rPr>
              <w:t>，经布袋除尘器（处理效率99.7%）处理后排放速率为</w:t>
            </w:r>
            <w:r>
              <w:rPr>
                <w:rFonts w:hint="eastAsia"/>
                <w:color w:val="auto"/>
                <w:sz w:val="24"/>
                <w:lang w:eastAsia="zh-CN"/>
              </w:rPr>
              <w:t>0.195</w:t>
            </w:r>
            <w:r>
              <w:rPr>
                <w:color w:val="auto"/>
                <w:sz w:val="24"/>
              </w:rPr>
              <w:t>kg/h，排放量为</w:t>
            </w:r>
            <w:r>
              <w:rPr>
                <w:rFonts w:hint="eastAsia"/>
                <w:color w:val="auto"/>
                <w:sz w:val="24"/>
                <w:lang w:eastAsia="zh-CN"/>
              </w:rPr>
              <w:t>0.16</w:t>
            </w:r>
            <w:r>
              <w:rPr>
                <w:color w:val="auto"/>
                <w:sz w:val="24"/>
              </w:rPr>
              <w:t>t/a，排放浓度为</w:t>
            </w:r>
            <w:r>
              <w:rPr>
                <w:rFonts w:hint="eastAsia"/>
                <w:color w:val="auto"/>
                <w:sz w:val="24"/>
                <w:lang w:eastAsia="zh-CN"/>
              </w:rPr>
              <w:t>24.53</w:t>
            </w:r>
            <w:r>
              <w:rPr>
                <w:color w:val="auto"/>
                <w:sz w:val="24"/>
              </w:rPr>
              <w:t>mg/m</w:t>
            </w:r>
            <w:r>
              <w:rPr>
                <w:color w:val="auto"/>
                <w:sz w:val="24"/>
                <w:vertAlign w:val="superscript"/>
              </w:rPr>
              <w:t>3</w:t>
            </w:r>
            <w:r>
              <w:rPr>
                <w:rFonts w:hint="eastAsia"/>
                <w:color w:val="auto"/>
                <w:sz w:val="24"/>
              </w:rPr>
              <w:t>；</w:t>
            </w:r>
          </w:p>
          <w:p w14:paraId="7ABB3045">
            <w:pPr>
              <w:pStyle w:val="107"/>
              <w:ind w:firstLine="480"/>
              <w:rPr>
                <w:color w:val="auto"/>
                <w:sz w:val="24"/>
              </w:rPr>
            </w:pPr>
            <w:r>
              <w:rPr>
                <w:rFonts w:hint="eastAsia"/>
                <w:color w:val="auto"/>
                <w:sz w:val="24"/>
              </w:rPr>
              <w:t>本项目</w:t>
            </w:r>
            <w:r>
              <w:rPr>
                <w:rFonts w:hint="eastAsia"/>
                <w:color w:val="auto"/>
                <w:sz w:val="24"/>
                <w:lang w:eastAsia="zh-CN"/>
              </w:rPr>
              <w:t>360万kcal/h</w:t>
            </w:r>
            <w:r>
              <w:rPr>
                <w:rFonts w:hint="eastAsia"/>
                <w:color w:val="auto"/>
                <w:sz w:val="24"/>
              </w:rPr>
              <w:t>生物质热风炉2，</w:t>
            </w:r>
            <w:r>
              <w:rPr>
                <w:color w:val="auto"/>
                <w:sz w:val="24"/>
              </w:rPr>
              <w:t>DA00</w:t>
            </w:r>
            <w:r>
              <w:rPr>
                <w:rFonts w:hint="eastAsia"/>
                <w:color w:val="auto"/>
                <w:sz w:val="24"/>
              </w:rPr>
              <w:t>2</w:t>
            </w:r>
            <w:r>
              <w:rPr>
                <w:color w:val="auto"/>
                <w:sz w:val="24"/>
              </w:rPr>
              <w:t>的SO</w:t>
            </w:r>
            <w:r>
              <w:rPr>
                <w:color w:val="auto"/>
                <w:sz w:val="24"/>
                <w:vertAlign w:val="subscript"/>
              </w:rPr>
              <w:t>2</w:t>
            </w:r>
            <w:r>
              <w:rPr>
                <w:color w:val="auto"/>
                <w:sz w:val="24"/>
              </w:rPr>
              <w:t>排放速率为</w:t>
            </w:r>
            <w:r>
              <w:rPr>
                <w:rFonts w:hint="eastAsia"/>
                <w:color w:val="auto"/>
                <w:sz w:val="24"/>
                <w:lang w:eastAsia="zh-CN"/>
              </w:rPr>
              <w:t>0.80</w:t>
            </w:r>
            <w:r>
              <w:rPr>
                <w:color w:val="auto"/>
                <w:sz w:val="24"/>
              </w:rPr>
              <w:t>kg/h，排放量为</w:t>
            </w:r>
            <w:r>
              <w:rPr>
                <w:rFonts w:hint="eastAsia"/>
                <w:color w:val="auto"/>
                <w:sz w:val="24"/>
                <w:lang w:eastAsia="zh-CN"/>
              </w:rPr>
              <w:t>0.65</w:t>
            </w:r>
            <w:r>
              <w:rPr>
                <w:color w:val="auto"/>
                <w:sz w:val="24"/>
              </w:rPr>
              <w:t>t/a，排放浓度为</w:t>
            </w:r>
            <w:r>
              <w:rPr>
                <w:rFonts w:hint="eastAsia"/>
                <w:color w:val="auto"/>
                <w:sz w:val="24"/>
              </w:rPr>
              <w:t>99.18</w:t>
            </w:r>
            <w:r>
              <w:rPr>
                <w:color w:val="auto"/>
                <w:sz w:val="24"/>
              </w:rPr>
              <w:t>mg/m</w:t>
            </w:r>
            <w:r>
              <w:rPr>
                <w:color w:val="auto"/>
                <w:sz w:val="24"/>
                <w:vertAlign w:val="superscript"/>
              </w:rPr>
              <w:t>3</w:t>
            </w:r>
            <w:r>
              <w:rPr>
                <w:color w:val="auto"/>
                <w:sz w:val="24"/>
              </w:rPr>
              <w:t>；NOx排放速率为</w:t>
            </w:r>
            <w:r>
              <w:rPr>
                <w:rFonts w:hint="eastAsia"/>
                <w:color w:val="auto"/>
                <w:sz w:val="24"/>
                <w:lang w:eastAsia="zh-CN"/>
              </w:rPr>
              <w:t>0.95</w:t>
            </w:r>
            <w:r>
              <w:rPr>
                <w:color w:val="auto"/>
                <w:sz w:val="24"/>
              </w:rPr>
              <w:t>kg/h，排放量为</w:t>
            </w:r>
            <w:r>
              <w:rPr>
                <w:rFonts w:hint="eastAsia"/>
                <w:color w:val="auto"/>
                <w:sz w:val="24"/>
                <w:lang w:eastAsia="zh-CN"/>
              </w:rPr>
              <w:t>0.775</w:t>
            </w:r>
            <w:r>
              <w:rPr>
                <w:color w:val="auto"/>
                <w:sz w:val="24"/>
              </w:rPr>
              <w:t>t/a，排放浓度为</w:t>
            </w:r>
            <w:r>
              <w:rPr>
                <w:rFonts w:hint="eastAsia"/>
                <w:color w:val="auto"/>
                <w:sz w:val="24"/>
                <w:lang w:eastAsia="zh-CN"/>
              </w:rPr>
              <w:t>118.35</w:t>
            </w:r>
            <w:r>
              <w:rPr>
                <w:color w:val="auto"/>
                <w:sz w:val="24"/>
              </w:rPr>
              <w:t>mg/m</w:t>
            </w:r>
            <w:r>
              <w:rPr>
                <w:color w:val="auto"/>
                <w:sz w:val="24"/>
                <w:vertAlign w:val="superscript"/>
              </w:rPr>
              <w:t>3</w:t>
            </w:r>
            <w:r>
              <w:rPr>
                <w:color w:val="auto"/>
                <w:sz w:val="24"/>
              </w:rPr>
              <w:t>；颗粒物产生量</w:t>
            </w:r>
            <w:r>
              <w:rPr>
                <w:rFonts w:hint="eastAsia"/>
                <w:color w:val="auto"/>
                <w:sz w:val="24"/>
                <w:lang w:eastAsia="zh-CN"/>
              </w:rPr>
              <w:t>65.50</w:t>
            </w:r>
            <w:r>
              <w:rPr>
                <w:color w:val="auto"/>
                <w:sz w:val="24"/>
              </w:rPr>
              <w:t>kg/h，产生浓度为</w:t>
            </w:r>
            <w:r>
              <w:rPr>
                <w:rFonts w:hint="eastAsia"/>
                <w:color w:val="auto"/>
                <w:sz w:val="24"/>
                <w:lang w:eastAsia="zh-CN"/>
              </w:rPr>
              <w:t>8175.33</w:t>
            </w:r>
            <w:r>
              <w:rPr>
                <w:color w:val="auto"/>
                <w:sz w:val="24"/>
              </w:rPr>
              <w:t>mg/m</w:t>
            </w:r>
            <w:r>
              <w:rPr>
                <w:color w:val="auto"/>
                <w:sz w:val="24"/>
                <w:vertAlign w:val="superscript"/>
              </w:rPr>
              <w:t>3</w:t>
            </w:r>
            <w:r>
              <w:rPr>
                <w:color w:val="auto"/>
                <w:sz w:val="24"/>
              </w:rPr>
              <w:t>，经布袋除尘器（处理效率99.7%）处理后排放速率为</w:t>
            </w:r>
            <w:r>
              <w:rPr>
                <w:rFonts w:hint="eastAsia"/>
                <w:color w:val="auto"/>
                <w:sz w:val="24"/>
                <w:lang w:eastAsia="zh-CN"/>
              </w:rPr>
              <w:t>0.195</w:t>
            </w:r>
            <w:r>
              <w:rPr>
                <w:color w:val="auto"/>
                <w:sz w:val="24"/>
              </w:rPr>
              <w:t>kg/h，排放量为</w:t>
            </w:r>
            <w:r>
              <w:rPr>
                <w:rFonts w:hint="eastAsia"/>
                <w:color w:val="auto"/>
                <w:sz w:val="24"/>
                <w:lang w:eastAsia="zh-CN"/>
              </w:rPr>
              <w:t>0.16</w:t>
            </w:r>
            <w:r>
              <w:rPr>
                <w:color w:val="auto"/>
                <w:sz w:val="24"/>
              </w:rPr>
              <w:t>t/a，排放浓度为</w:t>
            </w:r>
            <w:r>
              <w:rPr>
                <w:rFonts w:hint="eastAsia"/>
                <w:color w:val="auto"/>
                <w:sz w:val="24"/>
                <w:lang w:eastAsia="zh-CN"/>
              </w:rPr>
              <w:t>24.53</w:t>
            </w:r>
            <w:r>
              <w:rPr>
                <w:color w:val="auto"/>
                <w:sz w:val="24"/>
              </w:rPr>
              <w:t>mg/m</w:t>
            </w:r>
            <w:r>
              <w:rPr>
                <w:color w:val="auto"/>
                <w:sz w:val="24"/>
                <w:vertAlign w:val="superscript"/>
              </w:rPr>
              <w:t>3</w:t>
            </w:r>
            <w:r>
              <w:rPr>
                <w:rFonts w:hint="eastAsia"/>
                <w:color w:val="auto"/>
                <w:sz w:val="24"/>
              </w:rPr>
              <w:t>。</w:t>
            </w:r>
          </w:p>
          <w:p w14:paraId="471B5DCF">
            <w:pPr>
              <w:pStyle w:val="107"/>
              <w:ind w:firstLine="480"/>
              <w:rPr>
                <w:color w:val="auto"/>
                <w:sz w:val="24"/>
              </w:rPr>
            </w:pPr>
            <w:r>
              <w:rPr>
                <w:color w:val="auto"/>
                <w:sz w:val="24"/>
              </w:rPr>
              <w:t>本项目</w:t>
            </w:r>
            <w:r>
              <w:rPr>
                <w:rFonts w:hint="eastAsia"/>
                <w:color w:val="auto"/>
                <w:sz w:val="24"/>
              </w:rPr>
              <w:t>2台</w:t>
            </w:r>
            <w:r>
              <w:rPr>
                <w:rFonts w:hint="eastAsia"/>
                <w:color w:val="auto"/>
                <w:sz w:val="24"/>
                <w:lang w:eastAsia="zh-CN"/>
              </w:rPr>
              <w:t>360万kcal/h</w:t>
            </w:r>
            <w:r>
              <w:rPr>
                <w:rFonts w:hint="eastAsia"/>
                <w:color w:val="auto"/>
                <w:sz w:val="24"/>
              </w:rPr>
              <w:t>生物质热风炉产生的</w:t>
            </w:r>
            <w:r>
              <w:rPr>
                <w:bCs/>
                <w:color w:val="auto"/>
                <w:sz w:val="24"/>
              </w:rPr>
              <w:t>烟气SO</w:t>
            </w:r>
            <w:r>
              <w:rPr>
                <w:bCs/>
                <w:color w:val="auto"/>
                <w:sz w:val="24"/>
                <w:vertAlign w:val="subscript"/>
              </w:rPr>
              <w:t>2</w:t>
            </w:r>
            <w:r>
              <w:rPr>
                <w:bCs/>
                <w:color w:val="auto"/>
                <w:sz w:val="24"/>
              </w:rPr>
              <w:t>、烟（粉）尘和烟气黑度排放浓度</w:t>
            </w:r>
            <w:r>
              <w:rPr>
                <w:rFonts w:hint="eastAsia"/>
                <w:bCs/>
                <w:color w:val="auto"/>
                <w:sz w:val="24"/>
              </w:rPr>
              <w:t>均</w:t>
            </w:r>
            <w:r>
              <w:rPr>
                <w:bCs/>
                <w:color w:val="auto"/>
                <w:sz w:val="24"/>
              </w:rPr>
              <w:t>满足《工业炉窑大气污染物排放标准》（GB9078-1996）表2、表4标准。</w:t>
            </w:r>
            <w:r>
              <w:rPr>
                <w:rFonts w:hint="eastAsia"/>
                <w:color w:val="auto"/>
                <w:sz w:val="24"/>
                <w:lang w:eastAsia="zh-CN"/>
              </w:rPr>
              <w:t>360万kcal/h</w:t>
            </w:r>
            <w:r>
              <w:rPr>
                <w:rFonts w:hint="eastAsia"/>
                <w:color w:val="auto"/>
                <w:sz w:val="24"/>
              </w:rPr>
              <w:t>生物质热风炉1，</w:t>
            </w:r>
            <w:r>
              <w:rPr>
                <w:bCs/>
                <w:color w:val="auto"/>
                <w:sz w:val="24"/>
              </w:rPr>
              <w:t>烟气</w:t>
            </w:r>
            <w:r>
              <w:rPr>
                <w:color w:val="auto"/>
                <w:sz w:val="24"/>
              </w:rPr>
              <w:t>经由</w:t>
            </w:r>
            <w:r>
              <w:rPr>
                <w:rFonts w:hint="eastAsia"/>
                <w:color w:val="auto"/>
                <w:sz w:val="24"/>
              </w:rPr>
              <w:t>15</w:t>
            </w:r>
            <w:r>
              <w:rPr>
                <w:color w:val="auto"/>
                <w:sz w:val="24"/>
              </w:rPr>
              <w:t>m高烟囱（DA00</w:t>
            </w:r>
            <w:r>
              <w:rPr>
                <w:rFonts w:hint="eastAsia"/>
                <w:color w:val="auto"/>
                <w:sz w:val="24"/>
              </w:rPr>
              <w:t>1</w:t>
            </w:r>
            <w:r>
              <w:rPr>
                <w:color w:val="auto"/>
                <w:sz w:val="24"/>
              </w:rPr>
              <w:t>）排放</w:t>
            </w:r>
            <w:r>
              <w:rPr>
                <w:rFonts w:hint="eastAsia"/>
                <w:color w:val="auto"/>
                <w:sz w:val="24"/>
              </w:rPr>
              <w:t>；</w:t>
            </w:r>
            <w:r>
              <w:rPr>
                <w:rFonts w:hint="eastAsia"/>
                <w:color w:val="auto"/>
                <w:sz w:val="24"/>
                <w:lang w:eastAsia="zh-CN"/>
              </w:rPr>
              <w:t>360万kcal/h</w:t>
            </w:r>
            <w:r>
              <w:rPr>
                <w:rFonts w:hint="eastAsia"/>
                <w:color w:val="auto"/>
                <w:sz w:val="24"/>
              </w:rPr>
              <w:t>生物质热风炉2，</w:t>
            </w:r>
            <w:r>
              <w:rPr>
                <w:bCs/>
                <w:color w:val="auto"/>
                <w:sz w:val="24"/>
              </w:rPr>
              <w:t>烟气</w:t>
            </w:r>
            <w:r>
              <w:rPr>
                <w:color w:val="auto"/>
                <w:sz w:val="24"/>
              </w:rPr>
              <w:t>经由</w:t>
            </w:r>
            <w:r>
              <w:rPr>
                <w:rFonts w:hint="eastAsia"/>
                <w:color w:val="auto"/>
                <w:sz w:val="24"/>
              </w:rPr>
              <w:t>15</w:t>
            </w:r>
            <w:r>
              <w:rPr>
                <w:color w:val="auto"/>
                <w:sz w:val="24"/>
              </w:rPr>
              <w:t>m高烟囱（DA00</w:t>
            </w:r>
            <w:r>
              <w:rPr>
                <w:rFonts w:hint="eastAsia"/>
                <w:color w:val="auto"/>
                <w:sz w:val="24"/>
              </w:rPr>
              <w:t>2</w:t>
            </w:r>
            <w:r>
              <w:rPr>
                <w:color w:val="auto"/>
                <w:sz w:val="24"/>
              </w:rPr>
              <w:t>）排放。</w:t>
            </w:r>
          </w:p>
          <w:p w14:paraId="1DC9EFDB">
            <w:pPr>
              <w:adjustRightInd w:val="0"/>
              <w:spacing w:line="360" w:lineRule="auto"/>
              <w:ind w:firstLine="480" w:firstLineChars="200"/>
              <w:jc w:val="left"/>
              <w:rPr>
                <w:color w:val="auto"/>
                <w:kern w:val="0"/>
                <w:sz w:val="24"/>
              </w:rPr>
            </w:pPr>
            <w:r>
              <w:rPr>
                <w:color w:val="auto"/>
                <w:kern w:val="0"/>
                <w:sz w:val="24"/>
              </w:rPr>
              <w:t>（2）无组织粉尘</w:t>
            </w:r>
          </w:p>
          <w:p w14:paraId="144D8DED">
            <w:pPr>
              <w:widowControl/>
              <w:spacing w:line="360" w:lineRule="auto"/>
              <w:ind w:firstLine="480" w:firstLineChars="200"/>
              <w:jc w:val="left"/>
              <w:rPr>
                <w:color w:val="auto"/>
                <w:kern w:val="0"/>
                <w:sz w:val="24"/>
                <w:lang w:bidi="ar"/>
              </w:rPr>
            </w:pPr>
            <w:r>
              <w:rPr>
                <w:color w:val="auto"/>
                <w:kern w:val="0"/>
                <w:sz w:val="24"/>
                <w:lang w:bidi="ar"/>
              </w:rPr>
              <w:t>①燃料</w:t>
            </w:r>
            <w:r>
              <w:rPr>
                <w:rFonts w:hint="eastAsia"/>
                <w:color w:val="auto"/>
                <w:kern w:val="0"/>
                <w:sz w:val="24"/>
                <w:lang w:bidi="ar"/>
              </w:rPr>
              <w:t>储存</w:t>
            </w:r>
            <w:r>
              <w:rPr>
                <w:color w:val="auto"/>
                <w:kern w:val="0"/>
                <w:sz w:val="24"/>
                <w:lang w:bidi="ar"/>
              </w:rPr>
              <w:t>粉尘</w:t>
            </w:r>
          </w:p>
          <w:p w14:paraId="380F72DB">
            <w:pPr>
              <w:widowControl/>
              <w:spacing w:line="360" w:lineRule="auto"/>
              <w:ind w:firstLine="480" w:firstLineChars="200"/>
              <w:jc w:val="left"/>
              <w:rPr>
                <w:color w:val="auto"/>
                <w:kern w:val="0"/>
                <w:sz w:val="24"/>
                <w:lang w:bidi="ar"/>
              </w:rPr>
            </w:pPr>
            <w:r>
              <w:rPr>
                <w:color w:val="auto"/>
                <w:kern w:val="0"/>
                <w:sz w:val="24"/>
                <w:lang w:bidi="ar"/>
              </w:rPr>
              <w:t>本项目生物质成型燃料储存在</w:t>
            </w:r>
            <w:r>
              <w:rPr>
                <w:rFonts w:hint="eastAsia"/>
                <w:color w:val="auto"/>
                <w:kern w:val="0"/>
                <w:sz w:val="24"/>
                <w:lang w:bidi="ar"/>
              </w:rPr>
              <w:t>厂区</w:t>
            </w:r>
            <w:r>
              <w:rPr>
                <w:color w:val="auto"/>
                <w:kern w:val="0"/>
                <w:sz w:val="24"/>
                <w:lang w:bidi="ar"/>
              </w:rPr>
              <w:t>密闭</w:t>
            </w:r>
            <w:r>
              <w:rPr>
                <w:rFonts w:hint="eastAsia"/>
                <w:color w:val="auto"/>
                <w:kern w:val="0"/>
                <w:sz w:val="24"/>
                <w:lang w:bidi="ar"/>
              </w:rPr>
              <w:t>燃料间内</w:t>
            </w:r>
            <w:r>
              <w:rPr>
                <w:color w:val="auto"/>
                <w:kern w:val="0"/>
                <w:sz w:val="24"/>
                <w:lang w:bidi="ar"/>
              </w:rPr>
              <w:t>，粉尘主要为燃料堆取中产生粉尘，产生量较少，安装换气扇、定期通风，无组织粉尘通过上述措施处理后可满足《大气污染物综合排放标准》（GB16297-1996）表2无组织排放浓度限值要求。</w:t>
            </w:r>
          </w:p>
          <w:p w14:paraId="0F84B93A">
            <w:pPr>
              <w:widowControl/>
              <w:spacing w:line="360" w:lineRule="auto"/>
              <w:ind w:firstLine="480" w:firstLineChars="200"/>
              <w:jc w:val="left"/>
              <w:rPr>
                <w:color w:val="auto"/>
                <w:kern w:val="0"/>
                <w:sz w:val="24"/>
                <w:lang w:bidi="ar"/>
              </w:rPr>
            </w:pPr>
            <w:r>
              <w:rPr>
                <w:color w:val="auto"/>
                <w:kern w:val="0"/>
                <w:sz w:val="24"/>
                <w:lang w:bidi="ar"/>
              </w:rPr>
              <w:t>②</w:t>
            </w:r>
            <w:r>
              <w:rPr>
                <w:rFonts w:hint="eastAsia"/>
                <w:color w:val="auto"/>
                <w:kern w:val="0"/>
                <w:sz w:val="24"/>
                <w:lang w:bidi="ar"/>
              </w:rPr>
              <w:t>卸粮废气</w:t>
            </w:r>
          </w:p>
          <w:p w14:paraId="26A9E052">
            <w:pPr>
              <w:pStyle w:val="137"/>
              <w:spacing w:line="360" w:lineRule="auto"/>
              <w:ind w:firstLine="480"/>
              <w:rPr>
                <w:rFonts w:eastAsia="宋体"/>
                <w:color w:val="auto"/>
              </w:rPr>
            </w:pPr>
            <w:r>
              <w:rPr>
                <w:rFonts w:eastAsia="宋体"/>
                <w:color w:val="auto"/>
              </w:rPr>
              <w:t>本项目</w:t>
            </w:r>
            <w:r>
              <w:rPr>
                <w:rFonts w:hint="eastAsia" w:eastAsia="宋体"/>
                <w:color w:val="auto"/>
              </w:rPr>
              <w:t>原粮</w:t>
            </w:r>
            <w:r>
              <w:rPr>
                <w:rFonts w:eastAsia="宋体"/>
                <w:color w:val="auto"/>
              </w:rPr>
              <w:t>外购进场卸料到</w:t>
            </w:r>
            <w:r>
              <w:rPr>
                <w:rFonts w:hint="eastAsia" w:eastAsia="宋体"/>
                <w:color w:val="auto"/>
              </w:rPr>
              <w:t>潮粮仓</w:t>
            </w:r>
            <w:r>
              <w:rPr>
                <w:rFonts w:eastAsia="宋体"/>
                <w:color w:val="auto"/>
              </w:rPr>
              <w:t>、</w:t>
            </w:r>
            <w:r>
              <w:rPr>
                <w:rFonts w:hint="eastAsia" w:eastAsia="宋体"/>
                <w:color w:val="auto"/>
              </w:rPr>
              <w:t>烘干后的干粮</w:t>
            </w:r>
            <w:r>
              <w:rPr>
                <w:rFonts w:eastAsia="宋体"/>
                <w:color w:val="auto"/>
              </w:rPr>
              <w:t>装车运输出厂时会产生无组织粉尘。</w:t>
            </w:r>
            <w:r>
              <w:rPr>
                <w:rStyle w:val="99"/>
                <w:color w:val="auto"/>
              </w:rPr>
              <w:t>根据《污染源源强核算技术指南 准则》（HJ884-2018）中，3.11产污系数法计算本项目</w:t>
            </w:r>
            <w:r>
              <w:rPr>
                <w:rFonts w:eastAsia="宋体"/>
                <w:color w:val="auto"/>
              </w:rPr>
              <w:t>卸料粉尘排放</w:t>
            </w:r>
            <w:r>
              <w:rPr>
                <w:rStyle w:val="99"/>
                <w:color w:val="auto"/>
              </w:rPr>
              <w:t>源强。</w:t>
            </w:r>
            <w:r>
              <w:rPr>
                <w:rFonts w:eastAsia="宋体"/>
                <w:color w:val="auto"/>
              </w:rPr>
              <w:t>根据《扬尘源颗粒物排放清单编制技术指南（试行）》</w:t>
            </w:r>
            <w:r>
              <w:rPr>
                <w:rFonts w:eastAsia="宋体"/>
                <w:color w:val="auto"/>
                <w:szCs w:val="24"/>
              </w:rPr>
              <w:t>堆场的扬尘源排放量是装卸、运输引起的扬尘与堆积存放期间风蚀扬尘的加和，</w:t>
            </w:r>
            <w:r>
              <w:rPr>
                <w:rFonts w:hint="eastAsia" w:eastAsia="宋体"/>
                <w:color w:val="auto"/>
                <w:szCs w:val="24"/>
              </w:rPr>
              <w:t>应堆存至密闭的潮粮库中，故只计算</w:t>
            </w:r>
            <w:r>
              <w:rPr>
                <w:rFonts w:eastAsia="宋体"/>
                <w:color w:val="auto"/>
                <w:szCs w:val="24"/>
              </w:rPr>
              <w:t>装卸、运输引起的扬尘</w:t>
            </w:r>
            <w:r>
              <w:rPr>
                <w:rFonts w:hint="eastAsia" w:eastAsia="宋体"/>
                <w:color w:val="auto"/>
                <w:szCs w:val="24"/>
              </w:rPr>
              <w:t>，</w:t>
            </w:r>
            <w:r>
              <w:rPr>
                <w:rFonts w:eastAsia="宋体"/>
                <w:color w:val="auto"/>
                <w:szCs w:val="24"/>
              </w:rPr>
              <w:t>计算公式如下</w:t>
            </w:r>
            <w:r>
              <w:rPr>
                <w:rFonts w:hint="eastAsia" w:eastAsia="宋体"/>
                <w:color w:val="auto"/>
                <w:szCs w:val="24"/>
              </w:rPr>
              <w:t>：</w:t>
            </w:r>
          </w:p>
          <w:p w14:paraId="1E1239AF">
            <w:pPr>
              <w:pStyle w:val="137"/>
              <w:spacing w:line="360" w:lineRule="auto"/>
              <w:ind w:firstLine="0" w:firstLineChars="0"/>
              <w:jc w:val="center"/>
              <w:rPr>
                <w:rFonts w:eastAsia="宋体"/>
                <w:color w:val="auto"/>
              </w:rPr>
            </w:pPr>
            <w:r>
              <w:rPr>
                <w:rFonts w:eastAsia="宋体"/>
                <w:color w:val="auto"/>
              </w:rPr>
              <w:drawing>
                <wp:inline distT="0" distB="0" distL="0" distR="0">
                  <wp:extent cx="2800350" cy="809625"/>
                  <wp:effectExtent l="0" t="0" r="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800350" cy="809625"/>
                          </a:xfrm>
                          <a:prstGeom prst="rect">
                            <a:avLst/>
                          </a:prstGeom>
                          <a:noFill/>
                          <a:ln>
                            <a:noFill/>
                          </a:ln>
                        </pic:spPr>
                      </pic:pic>
                    </a:graphicData>
                  </a:graphic>
                </wp:inline>
              </w:drawing>
            </w:r>
          </w:p>
          <w:p w14:paraId="7835126F">
            <w:pPr>
              <w:pStyle w:val="137"/>
              <w:spacing w:line="360" w:lineRule="auto"/>
              <w:ind w:firstLine="0" w:firstLineChars="0"/>
              <w:rPr>
                <w:rFonts w:eastAsia="宋体"/>
                <w:color w:val="auto"/>
              </w:rPr>
            </w:pPr>
            <w:r>
              <w:rPr>
                <w:rFonts w:eastAsia="宋体"/>
                <w:color w:val="auto"/>
              </w:rPr>
              <w:t>式中：E</w:t>
            </w:r>
            <w:r>
              <w:rPr>
                <w:rFonts w:eastAsia="宋体"/>
                <w:color w:val="auto"/>
                <w:vertAlign w:val="subscript"/>
              </w:rPr>
              <w:t>h</w:t>
            </w:r>
            <w:r>
              <w:rPr>
                <w:rFonts w:eastAsia="宋体"/>
                <w:color w:val="auto"/>
              </w:rPr>
              <w:t>：堆场装卸扬尘的排放系数，kg/t；</w:t>
            </w:r>
          </w:p>
          <w:p w14:paraId="2EB0BC8D">
            <w:pPr>
              <w:pStyle w:val="137"/>
              <w:spacing w:line="360" w:lineRule="auto"/>
              <w:ind w:firstLine="480"/>
              <w:rPr>
                <w:rFonts w:eastAsia="宋体"/>
                <w:color w:val="auto"/>
              </w:rPr>
            </w:pPr>
            <w:r>
              <w:rPr>
                <w:rFonts w:eastAsia="宋体"/>
                <w:color w:val="auto"/>
              </w:rPr>
              <w:t>k</w:t>
            </w:r>
            <w:r>
              <w:rPr>
                <w:rFonts w:eastAsia="宋体"/>
                <w:color w:val="auto"/>
                <w:vertAlign w:val="subscript"/>
              </w:rPr>
              <w:t>i</w:t>
            </w:r>
            <w:r>
              <w:rPr>
                <w:rFonts w:eastAsia="宋体"/>
                <w:color w:val="auto"/>
              </w:rPr>
              <w:t>：物料的粒度乘数，根据《扬尘源颗粒物排放清单编制技术指南（试行）》中表10，TSP取0.74；</w:t>
            </w:r>
          </w:p>
          <w:p w14:paraId="0988071B">
            <w:pPr>
              <w:pStyle w:val="137"/>
              <w:spacing w:line="360" w:lineRule="auto"/>
              <w:ind w:firstLine="480"/>
              <w:rPr>
                <w:rFonts w:eastAsia="宋体"/>
                <w:color w:val="auto"/>
              </w:rPr>
            </w:pPr>
            <w:r>
              <w:rPr>
                <w:rFonts w:eastAsia="宋体"/>
                <w:color w:val="auto"/>
              </w:rPr>
              <w:t>u：地面平均风速，m/s，取当地年平均风速</w:t>
            </w:r>
            <w:r>
              <w:rPr>
                <w:rFonts w:hint="eastAsia" w:eastAsia="宋体"/>
                <w:color w:val="auto"/>
              </w:rPr>
              <w:t>3.8</w:t>
            </w:r>
            <w:r>
              <w:rPr>
                <w:rFonts w:eastAsia="宋体"/>
                <w:color w:val="auto"/>
              </w:rPr>
              <w:t>m/s；</w:t>
            </w:r>
          </w:p>
          <w:p w14:paraId="5D51AF25">
            <w:pPr>
              <w:pStyle w:val="137"/>
              <w:spacing w:line="360" w:lineRule="auto"/>
              <w:ind w:firstLine="480"/>
              <w:rPr>
                <w:rFonts w:eastAsia="宋体"/>
                <w:color w:val="auto"/>
              </w:rPr>
            </w:pPr>
            <w:r>
              <w:rPr>
                <w:rFonts w:eastAsia="宋体"/>
                <w:color w:val="auto"/>
              </w:rPr>
              <w:t>M：物料含水率，%。</w:t>
            </w:r>
            <w:r>
              <w:rPr>
                <w:rFonts w:hint="eastAsia" w:eastAsia="宋体"/>
                <w:color w:val="auto"/>
              </w:rPr>
              <w:t>玉米含水率30%，水稻含水率为18%</w:t>
            </w:r>
            <w:r>
              <w:rPr>
                <w:rFonts w:eastAsia="宋体"/>
                <w:color w:val="auto"/>
              </w:rPr>
              <w:t>；</w:t>
            </w:r>
          </w:p>
          <w:p w14:paraId="6C048BA7">
            <w:pPr>
              <w:pStyle w:val="137"/>
              <w:spacing w:line="360" w:lineRule="auto"/>
              <w:ind w:firstLine="480"/>
              <w:rPr>
                <w:rFonts w:eastAsia="宋体"/>
                <w:color w:val="auto"/>
              </w:rPr>
            </w:pPr>
            <w:r>
              <w:rPr>
                <w:rFonts w:eastAsia="宋体"/>
                <w:color w:val="auto"/>
              </w:rPr>
              <w:t>η：污染控制技术对扬尘的去除效率，%。根据《扬尘源颗粒物排放清单编制技术指南（试行）》中表12，项目输送点位连续洒水操作，TSP控制效率为74%。</w:t>
            </w:r>
          </w:p>
          <w:p w14:paraId="383D16D3">
            <w:pPr>
              <w:pStyle w:val="137"/>
              <w:spacing w:line="360" w:lineRule="auto"/>
              <w:ind w:firstLine="480"/>
              <w:rPr>
                <w:rFonts w:eastAsia="宋体"/>
                <w:bCs/>
                <w:color w:val="auto"/>
                <w:highlight w:val="none"/>
              </w:rPr>
            </w:pPr>
            <w:r>
              <w:rPr>
                <w:rFonts w:eastAsia="宋体"/>
                <w:bCs/>
                <w:color w:val="auto"/>
                <w:highlight w:val="none"/>
              </w:rPr>
              <w:t>经计算可知，Eh</w:t>
            </w:r>
            <w:r>
              <w:rPr>
                <w:rFonts w:hint="eastAsia" w:eastAsia="宋体"/>
                <w:bCs/>
                <w:color w:val="auto"/>
                <w:highlight w:val="none"/>
              </w:rPr>
              <w:t>玉米</w:t>
            </w:r>
            <w:r>
              <w:rPr>
                <w:rFonts w:eastAsia="宋体"/>
                <w:bCs/>
                <w:color w:val="auto"/>
                <w:highlight w:val="none"/>
              </w:rPr>
              <w:t>为0.00</w:t>
            </w:r>
            <w:r>
              <w:rPr>
                <w:rFonts w:hint="eastAsia" w:eastAsia="宋体"/>
                <w:bCs/>
                <w:color w:val="auto"/>
                <w:highlight w:val="none"/>
                <w:lang w:val="en-US" w:eastAsia="zh-CN"/>
              </w:rPr>
              <w:t>9</w:t>
            </w:r>
            <w:r>
              <w:rPr>
                <w:rFonts w:eastAsia="宋体"/>
                <w:bCs/>
                <w:color w:val="auto"/>
                <w:highlight w:val="none"/>
              </w:rPr>
              <w:t>kg/t，Eh</w:t>
            </w:r>
            <w:r>
              <w:rPr>
                <w:rFonts w:hint="eastAsia" w:eastAsia="宋体"/>
                <w:bCs/>
                <w:color w:val="auto"/>
                <w:highlight w:val="none"/>
              </w:rPr>
              <w:t>水稻</w:t>
            </w:r>
            <w:r>
              <w:rPr>
                <w:rFonts w:eastAsia="宋体"/>
                <w:bCs/>
                <w:color w:val="auto"/>
                <w:highlight w:val="none"/>
              </w:rPr>
              <w:t>为0.0</w:t>
            </w:r>
            <w:r>
              <w:rPr>
                <w:rFonts w:hint="eastAsia" w:eastAsia="宋体"/>
                <w:bCs/>
                <w:color w:val="auto"/>
                <w:highlight w:val="none"/>
                <w:lang w:val="en-US" w:eastAsia="zh-CN"/>
              </w:rPr>
              <w:t>18</w:t>
            </w:r>
            <w:r>
              <w:rPr>
                <w:rFonts w:eastAsia="宋体"/>
                <w:bCs/>
                <w:color w:val="auto"/>
                <w:highlight w:val="none"/>
              </w:rPr>
              <w:t>kg/t</w:t>
            </w:r>
            <w:r>
              <w:rPr>
                <w:rFonts w:hint="eastAsia" w:eastAsia="宋体"/>
                <w:bCs/>
                <w:color w:val="auto"/>
                <w:highlight w:val="none"/>
              </w:rPr>
              <w:t>；</w:t>
            </w:r>
          </w:p>
          <w:p w14:paraId="600C82E1">
            <w:pPr>
              <w:pStyle w:val="68"/>
              <w:spacing w:beforeLines="0" w:afterLines="0" w:line="360" w:lineRule="auto"/>
              <w:ind w:firstLine="480"/>
              <w:jc w:val="center"/>
              <w:rPr>
                <w:color w:val="auto"/>
              </w:rPr>
            </w:pPr>
            <w:r>
              <w:rPr>
                <w:rFonts w:hint="eastAsia"/>
                <w:color w:val="auto"/>
                <w:position w:val="-28"/>
              </w:rPr>
              <w:object>
                <v:shape id="_x0000_i1038" o:spt="75" type="#_x0000_t75" style="height:34pt;width:186.95pt;" o:ole="t" filled="f" o:preferrelative="t" stroked="f" coordsize="21600,21600">
                  <v:path/>
                  <v:fill on="f" focussize="0,0"/>
                  <v:stroke on="f" joinstyle="miter"/>
                  <v:imagedata r:id="rId43" o:title=""/>
                  <o:lock v:ext="edit" aspectratio="t"/>
                  <w10:wrap type="none"/>
                  <w10:anchorlock/>
                </v:shape>
                <o:OLEObject Type="Embed" ProgID="Equation.3" ShapeID="_x0000_i1038" DrawAspect="Content" ObjectID="_1468075738" r:id="rId42">
                  <o:LockedField>false</o:LockedField>
                </o:OLEObject>
              </w:object>
            </w:r>
          </w:p>
          <w:p w14:paraId="0E38032D">
            <w:pPr>
              <w:pStyle w:val="68"/>
              <w:spacing w:beforeLines="0" w:afterLines="0" w:line="360" w:lineRule="auto"/>
              <w:ind w:firstLine="480"/>
              <w:rPr>
                <w:color w:val="auto"/>
              </w:rPr>
            </w:pPr>
            <w:r>
              <w:rPr>
                <w:color w:val="auto"/>
              </w:rPr>
              <w:t>1)Wy为堆场扬尘源中颗粒物总排放量。</w:t>
            </w:r>
          </w:p>
          <w:p w14:paraId="66A843DC">
            <w:pPr>
              <w:pStyle w:val="68"/>
              <w:spacing w:beforeLines="0" w:afterLines="0" w:line="360" w:lineRule="auto"/>
              <w:ind w:firstLine="480"/>
              <w:rPr>
                <w:color w:val="auto"/>
              </w:rPr>
            </w:pPr>
            <w:r>
              <w:rPr>
                <w:color w:val="auto"/>
              </w:rPr>
              <w:t>2)</w:t>
            </w:r>
            <w:r>
              <w:rPr>
                <w:rFonts w:hint="eastAsia"/>
                <w:color w:val="auto"/>
              </w:rPr>
              <w:t>Eh</w:t>
            </w:r>
            <w:r>
              <w:rPr>
                <w:color w:val="auto"/>
              </w:rPr>
              <w:t>为堆场装卸运输过程的扬尘颗粒物排放系数，</w:t>
            </w:r>
            <w:r>
              <w:rPr>
                <w:bCs/>
                <w:color w:val="auto"/>
              </w:rPr>
              <w:t>Eh</w:t>
            </w:r>
            <w:r>
              <w:rPr>
                <w:rFonts w:hint="eastAsia"/>
                <w:bCs/>
                <w:color w:val="auto"/>
              </w:rPr>
              <w:t>玉米</w:t>
            </w:r>
            <w:r>
              <w:rPr>
                <w:bCs/>
                <w:color w:val="auto"/>
              </w:rPr>
              <w:t>为</w:t>
            </w:r>
            <w:r>
              <w:rPr>
                <w:rFonts w:hint="eastAsia"/>
                <w:bCs/>
                <w:color w:val="auto"/>
                <w:lang w:eastAsia="zh-CN"/>
              </w:rPr>
              <w:t>0.009</w:t>
            </w:r>
            <w:r>
              <w:rPr>
                <w:bCs/>
                <w:color w:val="auto"/>
              </w:rPr>
              <w:t>kg/t，Eh</w:t>
            </w:r>
            <w:r>
              <w:rPr>
                <w:rFonts w:hint="eastAsia"/>
                <w:bCs/>
                <w:color w:val="auto"/>
              </w:rPr>
              <w:t>水稻</w:t>
            </w:r>
            <w:r>
              <w:rPr>
                <w:bCs/>
                <w:color w:val="auto"/>
              </w:rPr>
              <w:t>为</w:t>
            </w:r>
            <w:r>
              <w:rPr>
                <w:rFonts w:hint="eastAsia"/>
                <w:bCs/>
                <w:color w:val="auto"/>
                <w:lang w:eastAsia="zh-CN"/>
              </w:rPr>
              <w:t>0.018</w:t>
            </w:r>
            <w:r>
              <w:rPr>
                <w:bCs/>
                <w:color w:val="auto"/>
              </w:rPr>
              <w:t>kg/t</w:t>
            </w:r>
            <w:r>
              <w:rPr>
                <w:rFonts w:hint="eastAsia"/>
                <w:bCs/>
                <w:color w:val="auto"/>
              </w:rPr>
              <w:t>；</w:t>
            </w:r>
          </w:p>
          <w:p w14:paraId="71A0ECA2">
            <w:pPr>
              <w:pStyle w:val="68"/>
              <w:spacing w:beforeLines="0" w:afterLines="0" w:line="360" w:lineRule="auto"/>
              <w:ind w:firstLine="480"/>
              <w:rPr>
                <w:color w:val="auto"/>
              </w:rPr>
            </w:pPr>
            <w:r>
              <w:rPr>
                <w:color w:val="auto"/>
              </w:rPr>
              <w:t>3)m为每年料堆物料装卸总次数。</w:t>
            </w:r>
            <w:r>
              <w:rPr>
                <w:rFonts w:hint="eastAsia"/>
                <w:color w:val="auto"/>
              </w:rPr>
              <w:t>取250次</w:t>
            </w:r>
          </w:p>
          <w:p w14:paraId="71D4799C">
            <w:pPr>
              <w:pStyle w:val="68"/>
              <w:spacing w:beforeLines="0" w:afterLines="0" w:line="360" w:lineRule="auto"/>
              <w:ind w:firstLine="480"/>
              <w:rPr>
                <w:color w:val="auto"/>
              </w:rPr>
            </w:pPr>
            <w:r>
              <w:rPr>
                <w:color w:val="auto"/>
              </w:rPr>
              <w:t>4)Gy为第i次装卸过程的物料装卸量，t。</w:t>
            </w:r>
            <w:r>
              <w:rPr>
                <w:rFonts w:hint="eastAsia"/>
                <w:color w:val="auto"/>
              </w:rPr>
              <w:t>取40</w:t>
            </w:r>
          </w:p>
          <w:p w14:paraId="2EC996CE">
            <w:pPr>
              <w:pStyle w:val="68"/>
              <w:spacing w:beforeLines="0" w:afterLines="0" w:line="360" w:lineRule="auto"/>
              <w:ind w:firstLine="480"/>
              <w:rPr>
                <w:color w:val="auto"/>
              </w:rPr>
            </w:pPr>
            <w:r>
              <w:rPr>
                <w:color w:val="auto"/>
              </w:rPr>
              <w:t>5)E</w:t>
            </w:r>
            <w:r>
              <w:rPr>
                <w:rFonts w:hint="eastAsia"/>
                <w:color w:val="auto"/>
              </w:rPr>
              <w:t>w</w:t>
            </w:r>
            <w:r>
              <w:rPr>
                <w:color w:val="auto"/>
              </w:rPr>
              <w:t>为料堆受到风蚀作用的颗粒物排放系数，kg/m</w:t>
            </w:r>
            <w:r>
              <w:rPr>
                <w:color w:val="auto"/>
                <w:vertAlign w:val="superscript"/>
              </w:rPr>
              <w:t>2</w:t>
            </w:r>
            <w:r>
              <w:rPr>
                <w:color w:val="auto"/>
              </w:rPr>
              <w:t>，</w:t>
            </w:r>
            <w:r>
              <w:rPr>
                <w:rFonts w:hint="eastAsia"/>
                <w:color w:val="auto"/>
              </w:rPr>
              <w:t>本项目料堆为密闭式储存故无需计算堆积存放期间风蚀扬尘</w:t>
            </w:r>
            <w:r>
              <w:rPr>
                <w:color w:val="auto"/>
              </w:rPr>
              <w:t>。</w:t>
            </w:r>
          </w:p>
          <w:p w14:paraId="4C42F2DC">
            <w:pPr>
              <w:pStyle w:val="68"/>
              <w:spacing w:beforeLines="0" w:afterLines="0" w:line="360" w:lineRule="auto"/>
              <w:ind w:firstLine="480"/>
              <w:rPr>
                <w:color w:val="auto"/>
              </w:rPr>
            </w:pPr>
            <w:r>
              <w:rPr>
                <w:color w:val="auto"/>
              </w:rPr>
              <w:t>6)Ay为料堆表面积，m</w:t>
            </w:r>
            <w:r>
              <w:rPr>
                <w:color w:val="auto"/>
                <w:vertAlign w:val="superscript"/>
              </w:rPr>
              <w:t>2</w:t>
            </w:r>
            <w:r>
              <w:rPr>
                <w:color w:val="auto"/>
              </w:rPr>
              <w:t>。</w:t>
            </w:r>
            <w:r>
              <w:rPr>
                <w:rFonts w:hint="eastAsia"/>
                <w:color w:val="auto"/>
              </w:rPr>
              <w:t>取0</w:t>
            </w:r>
          </w:p>
          <w:p w14:paraId="17D698C6">
            <w:pPr>
              <w:pStyle w:val="68"/>
              <w:spacing w:beforeLines="0" w:afterLines="0" w:line="360" w:lineRule="auto"/>
              <w:ind w:firstLine="480"/>
              <w:rPr>
                <w:color w:val="auto"/>
              </w:rPr>
            </w:pPr>
            <w:r>
              <w:rPr>
                <w:rFonts w:hint="eastAsia"/>
                <w:color w:val="auto"/>
              </w:rPr>
              <w:t>经计算，装卸玉米</w:t>
            </w:r>
            <w:r>
              <w:rPr>
                <w:color w:val="auto"/>
              </w:rPr>
              <w:t>粉尘</w:t>
            </w:r>
            <w:r>
              <w:rPr>
                <w:rFonts w:hint="eastAsia"/>
                <w:color w:val="auto"/>
                <w:lang w:val="en-US" w:eastAsia="zh-CN"/>
              </w:rPr>
              <w:t>排放</w:t>
            </w:r>
            <w:r>
              <w:rPr>
                <w:rFonts w:hint="eastAsia"/>
                <w:color w:val="auto"/>
              </w:rPr>
              <w:t>量为</w:t>
            </w:r>
            <w:r>
              <w:rPr>
                <w:rFonts w:hint="eastAsia"/>
                <w:color w:val="auto"/>
                <w:lang w:eastAsia="zh-CN"/>
              </w:rPr>
              <w:t>0.089</w:t>
            </w:r>
            <w:r>
              <w:rPr>
                <w:rFonts w:hint="eastAsia"/>
                <w:color w:val="auto"/>
              </w:rPr>
              <w:t>t/a，水稻</w:t>
            </w:r>
            <w:r>
              <w:rPr>
                <w:color w:val="auto"/>
              </w:rPr>
              <w:t>排放量为</w:t>
            </w:r>
            <w:r>
              <w:rPr>
                <w:rFonts w:hint="eastAsia"/>
                <w:color w:val="auto"/>
                <w:lang w:eastAsia="zh-CN"/>
              </w:rPr>
              <w:t>0.18</w:t>
            </w:r>
            <w:r>
              <w:rPr>
                <w:rFonts w:hint="eastAsia"/>
                <w:color w:val="auto"/>
              </w:rPr>
              <w:t>‬</w:t>
            </w:r>
            <w:r>
              <w:rPr>
                <w:color w:val="auto"/>
              </w:rPr>
              <w:t>t/a</w:t>
            </w:r>
            <w:r>
              <w:rPr>
                <w:rFonts w:hint="eastAsia"/>
                <w:color w:val="auto"/>
                <w:lang w:eastAsia="zh-CN"/>
              </w:rPr>
              <w:t>；</w:t>
            </w:r>
            <w:r>
              <w:rPr>
                <w:rFonts w:hint="eastAsia"/>
                <w:color w:val="auto"/>
              </w:rPr>
              <w:t>装卸</w:t>
            </w:r>
            <w:r>
              <w:rPr>
                <w:rFonts w:hint="eastAsia"/>
                <w:color w:val="auto"/>
                <w:lang w:val="en-US" w:eastAsia="zh-CN"/>
              </w:rPr>
              <w:t>玉米</w:t>
            </w:r>
            <w:r>
              <w:rPr>
                <w:rFonts w:hint="eastAsia"/>
                <w:color w:val="auto"/>
              </w:rPr>
              <w:t>粉尘产生量为</w:t>
            </w:r>
            <w:r>
              <w:rPr>
                <w:rFonts w:hint="eastAsia"/>
                <w:color w:val="auto"/>
                <w:lang w:val="en-US" w:eastAsia="zh-CN"/>
              </w:rPr>
              <w:t>0.34</w:t>
            </w:r>
            <w:r>
              <w:rPr>
                <w:rFonts w:hint="eastAsia"/>
                <w:color w:val="auto"/>
              </w:rPr>
              <w:t>t/a，</w:t>
            </w:r>
            <w:r>
              <w:rPr>
                <w:rFonts w:hint="eastAsia"/>
                <w:color w:val="auto"/>
                <w:lang w:val="en-US" w:eastAsia="zh-CN"/>
              </w:rPr>
              <w:t>0.42kg/h；装卸水稻粉尘产生量为0.70t/a，0.86kg/h；则</w:t>
            </w:r>
            <w:r>
              <w:rPr>
                <w:rFonts w:hint="eastAsia"/>
                <w:color w:val="auto"/>
              </w:rPr>
              <w:t>装卸粉尘排放量为</w:t>
            </w:r>
            <w:r>
              <w:rPr>
                <w:rFonts w:hint="eastAsia"/>
                <w:color w:val="auto"/>
                <w:lang w:eastAsia="zh-CN"/>
              </w:rPr>
              <w:t>0.27</w:t>
            </w:r>
            <w:r>
              <w:rPr>
                <w:rFonts w:hint="eastAsia"/>
                <w:color w:val="auto"/>
              </w:rPr>
              <w:t>t/a，排放速率为</w:t>
            </w:r>
            <w:r>
              <w:rPr>
                <w:rFonts w:hint="eastAsia"/>
                <w:color w:val="auto"/>
                <w:lang w:eastAsia="zh-CN"/>
              </w:rPr>
              <w:t>0.33</w:t>
            </w:r>
            <w:r>
              <w:rPr>
                <w:rFonts w:hint="eastAsia"/>
                <w:color w:val="auto"/>
              </w:rPr>
              <w:t>kg/h</w:t>
            </w:r>
            <w:r>
              <w:rPr>
                <w:color w:val="auto"/>
              </w:rPr>
              <w:t>。</w:t>
            </w:r>
          </w:p>
          <w:p w14:paraId="6B3E28EC">
            <w:pPr>
              <w:widowControl/>
              <w:spacing w:line="360" w:lineRule="auto"/>
              <w:ind w:firstLine="480" w:firstLineChars="200"/>
              <w:jc w:val="both"/>
              <w:rPr>
                <w:color w:val="auto"/>
                <w:kern w:val="0"/>
                <w:sz w:val="24"/>
                <w:lang w:bidi="ar"/>
              </w:rPr>
            </w:pPr>
            <w:r>
              <w:rPr>
                <w:color w:val="auto"/>
                <w:kern w:val="0"/>
                <w:sz w:val="24"/>
                <w:lang w:bidi="ar"/>
              </w:rPr>
              <w:t>③筛分粉尘</w:t>
            </w:r>
          </w:p>
          <w:p w14:paraId="3F2E7AE2">
            <w:pPr>
              <w:widowControl/>
              <w:spacing w:line="360" w:lineRule="auto"/>
              <w:ind w:firstLine="480" w:firstLineChars="200"/>
              <w:jc w:val="both"/>
              <w:rPr>
                <w:rFonts w:hint="eastAsia"/>
                <w:color w:val="auto"/>
                <w:kern w:val="0"/>
                <w:sz w:val="24"/>
                <w:lang w:val="en-US" w:eastAsia="zh-CN" w:bidi="ar"/>
              </w:rPr>
            </w:pPr>
            <w:r>
              <w:rPr>
                <w:rFonts w:hint="eastAsia"/>
                <w:color w:val="auto"/>
                <w:kern w:val="0"/>
                <w:sz w:val="24"/>
                <w:lang w:val="en-US" w:eastAsia="zh-CN" w:bidi="ar"/>
              </w:rPr>
              <w:t>玉米</w:t>
            </w:r>
          </w:p>
          <w:p w14:paraId="5A3A99DC">
            <w:pPr>
              <w:widowControl/>
              <w:spacing w:line="360" w:lineRule="auto"/>
              <w:ind w:firstLine="480" w:firstLineChars="200"/>
              <w:jc w:val="both"/>
              <w:rPr>
                <w:color w:val="auto"/>
                <w:kern w:val="0"/>
                <w:sz w:val="24"/>
                <w:lang w:bidi="ar"/>
              </w:rPr>
            </w:pPr>
            <w:r>
              <w:rPr>
                <w:color w:val="auto"/>
                <w:kern w:val="0"/>
                <w:sz w:val="24"/>
                <w:lang w:bidi="ar"/>
              </w:rPr>
              <w:t>本项目烘干玉米需要进行初清，根据《逸散性工业粉尘控制技术》第五章谷物仓储中的颗粒特性，过筛工序逸散</w:t>
            </w:r>
            <w:r>
              <w:rPr>
                <w:rFonts w:hint="eastAsia"/>
                <w:color w:val="auto"/>
                <w:kern w:val="0"/>
                <w:sz w:val="24"/>
                <w:lang w:bidi="ar"/>
              </w:rPr>
              <w:t>粉</w:t>
            </w:r>
            <w:r>
              <w:rPr>
                <w:color w:val="auto"/>
                <w:kern w:val="0"/>
                <w:sz w:val="24"/>
                <w:lang w:bidi="ar"/>
              </w:rPr>
              <w:t>尘排放因子取</w:t>
            </w:r>
            <w:r>
              <w:rPr>
                <w:rFonts w:hint="eastAsia"/>
                <w:color w:val="auto"/>
                <w:kern w:val="0"/>
                <w:sz w:val="24"/>
                <w:lang w:val="en-US" w:eastAsia="zh-CN" w:bidi="ar"/>
              </w:rPr>
              <w:t>0.1</w:t>
            </w:r>
            <w:r>
              <w:rPr>
                <w:color w:val="auto"/>
                <w:kern w:val="0"/>
                <w:sz w:val="24"/>
                <w:lang w:bidi="ar"/>
              </w:rPr>
              <w:t>kg/t，筛分玉米量为</w:t>
            </w:r>
            <w:r>
              <w:rPr>
                <w:rFonts w:hint="eastAsia"/>
                <w:color w:val="auto"/>
                <w:kern w:val="0"/>
                <w:sz w:val="24"/>
                <w:lang w:bidi="ar"/>
              </w:rPr>
              <w:t>15</w:t>
            </w:r>
            <w:r>
              <w:rPr>
                <w:color w:val="auto"/>
                <w:kern w:val="0"/>
                <w:sz w:val="24"/>
                <w:lang w:bidi="ar"/>
              </w:rPr>
              <w:t>000t/a，</w:t>
            </w:r>
            <w:r>
              <w:rPr>
                <w:rFonts w:hint="eastAsia"/>
                <w:color w:val="auto"/>
                <w:kern w:val="0"/>
                <w:sz w:val="24"/>
                <w:lang w:val="en-US" w:eastAsia="zh-CN" w:bidi="ar"/>
              </w:rPr>
              <w:t>装卸过程产生的玉米粉尘量为0.70t/a，则玉米筛分总量为14999.3</w:t>
            </w:r>
            <w:r>
              <w:rPr>
                <w:rFonts w:hint="eastAsia"/>
                <w:color w:val="auto"/>
                <w:kern w:val="0"/>
                <w:sz w:val="24"/>
                <w:lang w:bidi="ar"/>
              </w:rPr>
              <w:t>‬t；</w:t>
            </w:r>
            <w:r>
              <w:rPr>
                <w:color w:val="auto"/>
                <w:kern w:val="0"/>
                <w:sz w:val="24"/>
                <w:lang w:bidi="ar"/>
              </w:rPr>
              <w:t>筛分粉尘产生量</w:t>
            </w:r>
            <w:r>
              <w:rPr>
                <w:rFonts w:hint="eastAsia"/>
                <w:color w:val="auto"/>
                <w:kern w:val="0"/>
                <w:sz w:val="24"/>
                <w:lang w:val="en-US" w:eastAsia="zh-CN" w:bidi="ar"/>
              </w:rPr>
              <w:t>约</w:t>
            </w:r>
            <w:r>
              <w:rPr>
                <w:color w:val="auto"/>
                <w:kern w:val="0"/>
                <w:sz w:val="24"/>
                <w:lang w:bidi="ar"/>
              </w:rPr>
              <w:t>为</w:t>
            </w:r>
            <w:r>
              <w:rPr>
                <w:rFonts w:hint="eastAsia"/>
                <w:color w:val="auto"/>
                <w:kern w:val="0"/>
                <w:sz w:val="24"/>
                <w:lang w:val="en-US" w:eastAsia="zh-CN" w:bidi="ar"/>
              </w:rPr>
              <w:t>1.50</w:t>
            </w:r>
            <w:r>
              <w:rPr>
                <w:color w:val="auto"/>
                <w:kern w:val="0"/>
                <w:sz w:val="24"/>
                <w:lang w:bidi="ar"/>
              </w:rPr>
              <w:t>t/a，年工作</w:t>
            </w:r>
            <w:r>
              <w:rPr>
                <w:rFonts w:hint="eastAsia"/>
                <w:color w:val="auto"/>
                <w:kern w:val="0"/>
                <w:sz w:val="24"/>
                <w:lang w:eastAsia="zh-CN" w:bidi="ar"/>
              </w:rPr>
              <w:t>204</w:t>
            </w:r>
            <w:r>
              <w:rPr>
                <w:rFonts w:hint="eastAsia"/>
                <w:color w:val="auto"/>
                <w:kern w:val="0"/>
                <w:sz w:val="24"/>
                <w:lang w:bidi="ar"/>
              </w:rPr>
              <w:t>h</w:t>
            </w:r>
            <w:r>
              <w:rPr>
                <w:color w:val="auto"/>
                <w:kern w:val="0"/>
                <w:sz w:val="24"/>
                <w:lang w:bidi="ar"/>
              </w:rPr>
              <w:t>，产生速率为</w:t>
            </w:r>
            <w:r>
              <w:rPr>
                <w:rFonts w:hint="eastAsia"/>
                <w:color w:val="auto"/>
                <w:kern w:val="0"/>
                <w:sz w:val="24"/>
                <w:lang w:eastAsia="zh-CN" w:bidi="ar"/>
              </w:rPr>
              <w:t>7.35</w:t>
            </w:r>
            <w:r>
              <w:rPr>
                <w:color w:val="auto"/>
                <w:kern w:val="0"/>
                <w:sz w:val="24"/>
                <w:lang w:bidi="ar"/>
              </w:rPr>
              <w:t>kg/h。项目清粮采用</w:t>
            </w:r>
            <w:r>
              <w:rPr>
                <w:rFonts w:hint="eastAsia"/>
                <w:color w:val="auto"/>
                <w:kern w:val="0"/>
                <w:sz w:val="24"/>
                <w:lang w:bidi="ar"/>
              </w:rPr>
              <w:t>密闭式滚筒筛</w:t>
            </w:r>
            <w:r>
              <w:rPr>
                <w:color w:val="auto"/>
                <w:kern w:val="0"/>
                <w:sz w:val="24"/>
                <w:lang w:bidi="ar"/>
              </w:rPr>
              <w:t>，</w:t>
            </w:r>
            <w:r>
              <w:rPr>
                <w:rFonts w:hint="eastAsia"/>
                <w:color w:val="auto"/>
                <w:kern w:val="0"/>
                <w:sz w:val="24"/>
                <w:lang w:bidi="ar"/>
              </w:rPr>
              <w:t>圆筒初清筛底部排风口被布袋所密封，收集除尘灰，</w:t>
            </w:r>
            <w:r>
              <w:rPr>
                <w:color w:val="auto"/>
                <w:kern w:val="0"/>
                <w:sz w:val="24"/>
                <w:lang w:bidi="ar"/>
              </w:rPr>
              <w:t>粉尘去除效率可达到99%以上，最终筛分工序</w:t>
            </w:r>
            <w:r>
              <w:rPr>
                <w:rFonts w:hint="eastAsia"/>
                <w:color w:val="auto"/>
                <w:kern w:val="0"/>
                <w:sz w:val="24"/>
                <w:lang w:val="en-US" w:eastAsia="zh-CN" w:bidi="ar"/>
              </w:rPr>
              <w:t>玉米</w:t>
            </w:r>
            <w:r>
              <w:rPr>
                <w:color w:val="auto"/>
                <w:kern w:val="0"/>
                <w:sz w:val="24"/>
                <w:lang w:bidi="ar"/>
              </w:rPr>
              <w:t>无组织粉尘排放量为</w:t>
            </w:r>
            <w:r>
              <w:rPr>
                <w:rFonts w:hint="eastAsia"/>
                <w:color w:val="auto"/>
                <w:kern w:val="0"/>
                <w:sz w:val="24"/>
                <w:lang w:val="en-US" w:eastAsia="zh-CN" w:bidi="ar"/>
              </w:rPr>
              <w:t>0.015</w:t>
            </w:r>
            <w:r>
              <w:rPr>
                <w:color w:val="auto"/>
                <w:kern w:val="0"/>
                <w:sz w:val="24"/>
                <w:lang w:bidi="ar"/>
              </w:rPr>
              <w:t>t/a，排放速率</w:t>
            </w:r>
            <w:r>
              <w:rPr>
                <w:rFonts w:hint="eastAsia"/>
                <w:color w:val="auto"/>
                <w:kern w:val="0"/>
                <w:sz w:val="24"/>
                <w:lang w:val="en-US" w:eastAsia="zh-CN" w:bidi="ar"/>
              </w:rPr>
              <w:t>约为0.07</w:t>
            </w:r>
            <w:r>
              <w:rPr>
                <w:color w:val="auto"/>
                <w:kern w:val="0"/>
                <w:sz w:val="24"/>
                <w:lang w:bidi="ar"/>
              </w:rPr>
              <w:t>kg/h。</w:t>
            </w:r>
          </w:p>
          <w:p w14:paraId="7C2C9F1E">
            <w:pPr>
              <w:widowControl/>
              <w:spacing w:line="360" w:lineRule="auto"/>
              <w:ind w:firstLine="480" w:firstLineChars="200"/>
              <w:jc w:val="both"/>
              <w:rPr>
                <w:rFonts w:hint="eastAsia"/>
                <w:color w:val="auto"/>
                <w:kern w:val="0"/>
                <w:sz w:val="24"/>
                <w:lang w:val="en-US" w:eastAsia="zh-CN" w:bidi="ar"/>
              </w:rPr>
            </w:pPr>
            <w:r>
              <w:rPr>
                <w:rFonts w:hint="eastAsia"/>
                <w:color w:val="auto"/>
                <w:kern w:val="0"/>
                <w:sz w:val="24"/>
                <w:lang w:val="en-US" w:eastAsia="zh-CN" w:bidi="ar"/>
              </w:rPr>
              <w:t>水稻</w:t>
            </w:r>
          </w:p>
          <w:p w14:paraId="7C92582D">
            <w:pPr>
              <w:widowControl/>
              <w:spacing w:line="360" w:lineRule="auto"/>
              <w:ind w:firstLine="480" w:firstLineChars="200"/>
              <w:jc w:val="both"/>
              <w:rPr>
                <w:color w:val="auto"/>
                <w:kern w:val="0"/>
                <w:sz w:val="24"/>
                <w:lang w:bidi="ar"/>
              </w:rPr>
            </w:pPr>
            <w:r>
              <w:rPr>
                <w:color w:val="auto"/>
                <w:kern w:val="0"/>
                <w:sz w:val="24"/>
                <w:lang w:bidi="ar"/>
              </w:rPr>
              <w:t>本项目烘干</w:t>
            </w:r>
            <w:r>
              <w:rPr>
                <w:rFonts w:hint="eastAsia"/>
                <w:color w:val="auto"/>
                <w:kern w:val="0"/>
                <w:sz w:val="24"/>
                <w:lang w:val="en-US" w:eastAsia="zh-CN" w:bidi="ar"/>
              </w:rPr>
              <w:t>水稻</w:t>
            </w:r>
            <w:r>
              <w:rPr>
                <w:color w:val="auto"/>
                <w:kern w:val="0"/>
                <w:sz w:val="24"/>
                <w:lang w:bidi="ar"/>
              </w:rPr>
              <w:t>需要进行初清，根据《逸散性工业粉尘控制技术》第五章谷物仓储中的颗粒特性，过筛工序逸散</w:t>
            </w:r>
            <w:r>
              <w:rPr>
                <w:rFonts w:hint="eastAsia"/>
                <w:color w:val="auto"/>
                <w:kern w:val="0"/>
                <w:sz w:val="24"/>
                <w:lang w:bidi="ar"/>
              </w:rPr>
              <w:t>粉</w:t>
            </w:r>
            <w:r>
              <w:rPr>
                <w:color w:val="auto"/>
                <w:kern w:val="0"/>
                <w:sz w:val="24"/>
                <w:lang w:bidi="ar"/>
              </w:rPr>
              <w:t>尘排放因子取</w:t>
            </w:r>
            <w:r>
              <w:rPr>
                <w:rFonts w:hint="eastAsia"/>
                <w:color w:val="auto"/>
                <w:kern w:val="0"/>
                <w:sz w:val="24"/>
                <w:lang w:val="en-US" w:eastAsia="zh-CN" w:bidi="ar"/>
              </w:rPr>
              <w:t>0.25</w:t>
            </w:r>
            <w:r>
              <w:rPr>
                <w:color w:val="auto"/>
                <w:kern w:val="0"/>
                <w:sz w:val="24"/>
                <w:lang w:bidi="ar"/>
              </w:rPr>
              <w:t>kg/t，筛分</w:t>
            </w:r>
            <w:r>
              <w:rPr>
                <w:rFonts w:hint="eastAsia"/>
                <w:color w:val="auto"/>
                <w:kern w:val="0"/>
                <w:sz w:val="24"/>
                <w:lang w:val="en-US" w:eastAsia="zh-CN" w:bidi="ar"/>
              </w:rPr>
              <w:t>水稻</w:t>
            </w:r>
            <w:r>
              <w:rPr>
                <w:color w:val="auto"/>
                <w:kern w:val="0"/>
                <w:sz w:val="24"/>
                <w:lang w:bidi="ar"/>
              </w:rPr>
              <w:t>量为</w:t>
            </w:r>
            <w:r>
              <w:rPr>
                <w:rFonts w:hint="eastAsia"/>
                <w:color w:val="auto"/>
                <w:kern w:val="0"/>
                <w:sz w:val="24"/>
                <w:lang w:bidi="ar"/>
              </w:rPr>
              <w:t>5</w:t>
            </w:r>
            <w:r>
              <w:rPr>
                <w:color w:val="auto"/>
                <w:kern w:val="0"/>
                <w:sz w:val="24"/>
                <w:lang w:bidi="ar"/>
              </w:rPr>
              <w:t>000t/a，</w:t>
            </w:r>
            <w:r>
              <w:rPr>
                <w:rFonts w:hint="eastAsia"/>
                <w:color w:val="auto"/>
                <w:kern w:val="0"/>
                <w:sz w:val="24"/>
                <w:lang w:val="en-US" w:eastAsia="zh-CN" w:bidi="ar"/>
              </w:rPr>
              <w:t>装卸过程产生的水稻粉尘量为0.34t/a，则水稻筛分总量为4999.66</w:t>
            </w:r>
            <w:r>
              <w:rPr>
                <w:rFonts w:hint="eastAsia"/>
                <w:color w:val="auto"/>
                <w:kern w:val="0"/>
                <w:sz w:val="24"/>
                <w:lang w:bidi="ar"/>
              </w:rPr>
              <w:t>‬t；</w:t>
            </w:r>
            <w:r>
              <w:rPr>
                <w:color w:val="auto"/>
                <w:kern w:val="0"/>
                <w:sz w:val="24"/>
                <w:lang w:bidi="ar"/>
              </w:rPr>
              <w:t>筛分粉尘产生量</w:t>
            </w:r>
            <w:r>
              <w:rPr>
                <w:rFonts w:hint="eastAsia"/>
                <w:color w:val="auto"/>
                <w:kern w:val="0"/>
                <w:sz w:val="24"/>
                <w:lang w:val="en-US" w:eastAsia="zh-CN" w:bidi="ar"/>
              </w:rPr>
              <w:t>约</w:t>
            </w:r>
            <w:r>
              <w:rPr>
                <w:color w:val="auto"/>
                <w:kern w:val="0"/>
                <w:sz w:val="24"/>
                <w:lang w:bidi="ar"/>
              </w:rPr>
              <w:t>为</w:t>
            </w:r>
            <w:r>
              <w:rPr>
                <w:rFonts w:hint="eastAsia"/>
                <w:color w:val="auto"/>
                <w:kern w:val="0"/>
                <w:sz w:val="24"/>
                <w:lang w:val="en-US" w:eastAsia="zh-CN" w:bidi="ar"/>
              </w:rPr>
              <w:t>1.25</w:t>
            </w:r>
            <w:r>
              <w:rPr>
                <w:color w:val="auto"/>
                <w:kern w:val="0"/>
                <w:sz w:val="24"/>
                <w:lang w:bidi="ar"/>
              </w:rPr>
              <w:t>t/a，年工作</w:t>
            </w:r>
            <w:r>
              <w:rPr>
                <w:rFonts w:hint="eastAsia"/>
                <w:color w:val="auto"/>
                <w:kern w:val="0"/>
                <w:sz w:val="24"/>
                <w:lang w:eastAsia="zh-CN" w:bidi="ar"/>
              </w:rPr>
              <w:t>204</w:t>
            </w:r>
            <w:r>
              <w:rPr>
                <w:rFonts w:hint="eastAsia"/>
                <w:color w:val="auto"/>
                <w:kern w:val="0"/>
                <w:sz w:val="24"/>
                <w:lang w:bidi="ar"/>
              </w:rPr>
              <w:t>h</w:t>
            </w:r>
            <w:r>
              <w:rPr>
                <w:color w:val="auto"/>
                <w:kern w:val="0"/>
                <w:sz w:val="24"/>
                <w:lang w:bidi="ar"/>
              </w:rPr>
              <w:t>，产生速率为</w:t>
            </w:r>
            <w:r>
              <w:rPr>
                <w:rFonts w:hint="eastAsia"/>
                <w:color w:val="auto"/>
                <w:kern w:val="0"/>
                <w:sz w:val="24"/>
                <w:lang w:val="en-US" w:eastAsia="zh-CN" w:bidi="ar"/>
              </w:rPr>
              <w:t>6.13</w:t>
            </w:r>
            <w:r>
              <w:rPr>
                <w:color w:val="auto"/>
                <w:kern w:val="0"/>
                <w:sz w:val="24"/>
                <w:lang w:bidi="ar"/>
              </w:rPr>
              <w:t>kg/h。项目清粮采用</w:t>
            </w:r>
            <w:r>
              <w:rPr>
                <w:rFonts w:hint="eastAsia"/>
                <w:color w:val="auto"/>
                <w:kern w:val="0"/>
                <w:sz w:val="24"/>
                <w:lang w:bidi="ar"/>
              </w:rPr>
              <w:t>密闭式滚筒筛</w:t>
            </w:r>
            <w:r>
              <w:rPr>
                <w:color w:val="auto"/>
                <w:kern w:val="0"/>
                <w:sz w:val="24"/>
                <w:lang w:bidi="ar"/>
              </w:rPr>
              <w:t>，</w:t>
            </w:r>
            <w:r>
              <w:rPr>
                <w:rFonts w:hint="eastAsia"/>
                <w:color w:val="auto"/>
                <w:kern w:val="0"/>
                <w:sz w:val="24"/>
                <w:lang w:bidi="ar"/>
              </w:rPr>
              <w:t>圆筒初清筛底部排风口被布袋所密封，收集除尘灰，</w:t>
            </w:r>
            <w:r>
              <w:rPr>
                <w:color w:val="auto"/>
                <w:kern w:val="0"/>
                <w:sz w:val="24"/>
                <w:lang w:bidi="ar"/>
              </w:rPr>
              <w:t>粉尘去除效率可达到99%以上，最终筛分工序</w:t>
            </w:r>
            <w:r>
              <w:rPr>
                <w:rFonts w:hint="eastAsia"/>
                <w:color w:val="auto"/>
                <w:kern w:val="0"/>
                <w:sz w:val="24"/>
                <w:lang w:val="en-US" w:eastAsia="zh-CN" w:bidi="ar"/>
              </w:rPr>
              <w:t>水稻</w:t>
            </w:r>
            <w:r>
              <w:rPr>
                <w:color w:val="auto"/>
                <w:kern w:val="0"/>
                <w:sz w:val="24"/>
                <w:lang w:bidi="ar"/>
              </w:rPr>
              <w:t>无组织粉尘排放量为</w:t>
            </w:r>
            <w:r>
              <w:rPr>
                <w:rFonts w:hint="eastAsia"/>
                <w:color w:val="auto"/>
                <w:kern w:val="0"/>
                <w:sz w:val="24"/>
                <w:lang w:val="en-US" w:eastAsia="zh-CN" w:bidi="ar"/>
              </w:rPr>
              <w:t>0.012</w:t>
            </w:r>
            <w:r>
              <w:rPr>
                <w:color w:val="auto"/>
                <w:kern w:val="0"/>
                <w:sz w:val="24"/>
                <w:lang w:bidi="ar"/>
              </w:rPr>
              <w:t>/a，排放速率</w:t>
            </w:r>
            <w:r>
              <w:rPr>
                <w:rFonts w:hint="eastAsia"/>
                <w:color w:val="auto"/>
                <w:kern w:val="0"/>
                <w:sz w:val="24"/>
                <w:lang w:val="en-US" w:eastAsia="zh-CN" w:bidi="ar"/>
              </w:rPr>
              <w:t>约为0.06</w:t>
            </w:r>
            <w:r>
              <w:rPr>
                <w:color w:val="auto"/>
                <w:kern w:val="0"/>
                <w:sz w:val="24"/>
                <w:lang w:bidi="ar"/>
              </w:rPr>
              <w:t>kg/h。</w:t>
            </w:r>
          </w:p>
          <w:p w14:paraId="24232676">
            <w:pPr>
              <w:widowControl/>
              <w:spacing w:line="360" w:lineRule="auto"/>
              <w:ind w:firstLine="480" w:firstLineChars="200"/>
              <w:jc w:val="both"/>
              <w:rPr>
                <w:rFonts w:hint="eastAsia" w:eastAsia="宋体"/>
                <w:color w:val="auto"/>
                <w:kern w:val="0"/>
                <w:sz w:val="24"/>
                <w:lang w:val="en-US" w:eastAsia="zh-CN" w:bidi="ar"/>
              </w:rPr>
            </w:pPr>
            <w:r>
              <w:rPr>
                <w:rFonts w:hint="eastAsia"/>
                <w:color w:val="auto"/>
                <w:kern w:val="0"/>
                <w:sz w:val="24"/>
                <w:lang w:val="en-US" w:eastAsia="zh-CN" w:bidi="ar"/>
              </w:rPr>
              <w:t>则筛分粉尘排放量约为0.015t/a+0.012t/a=0.027t/a，排放速率约为0.13</w:t>
            </w:r>
            <w:r>
              <w:rPr>
                <w:color w:val="auto"/>
                <w:kern w:val="0"/>
                <w:sz w:val="24"/>
                <w:lang w:bidi="ar"/>
              </w:rPr>
              <w:t>kg/h</w:t>
            </w:r>
            <w:r>
              <w:rPr>
                <w:rFonts w:hint="eastAsia"/>
                <w:color w:val="auto"/>
                <w:kern w:val="0"/>
                <w:sz w:val="24"/>
                <w:lang w:eastAsia="zh-CN" w:bidi="ar"/>
              </w:rPr>
              <w:t>。</w:t>
            </w:r>
          </w:p>
          <w:p w14:paraId="14FF9602">
            <w:pPr>
              <w:widowControl/>
              <w:spacing w:line="360" w:lineRule="auto"/>
              <w:ind w:firstLine="480" w:firstLineChars="200"/>
              <w:jc w:val="left"/>
              <w:rPr>
                <w:color w:val="auto"/>
                <w:kern w:val="0"/>
                <w:sz w:val="24"/>
                <w:lang w:bidi="ar"/>
              </w:rPr>
            </w:pPr>
            <w:r>
              <w:rPr>
                <w:color w:val="auto"/>
                <w:kern w:val="0"/>
                <w:sz w:val="24"/>
                <w:lang w:bidi="ar"/>
              </w:rPr>
              <w:t>④烘干</w:t>
            </w:r>
            <w:r>
              <w:rPr>
                <w:rFonts w:hint="eastAsia"/>
                <w:color w:val="auto"/>
                <w:kern w:val="0"/>
                <w:sz w:val="24"/>
                <w:lang w:bidi="ar"/>
              </w:rPr>
              <w:t>塔废气</w:t>
            </w:r>
          </w:p>
          <w:p w14:paraId="3EFD7B83">
            <w:pPr>
              <w:widowControl/>
              <w:spacing w:line="360" w:lineRule="auto"/>
              <w:ind w:firstLine="480" w:firstLineChars="200"/>
              <w:jc w:val="both"/>
              <w:rPr>
                <w:rFonts w:hint="eastAsia"/>
                <w:color w:val="auto"/>
                <w:kern w:val="0"/>
                <w:sz w:val="24"/>
                <w:highlight w:val="none"/>
                <w:lang w:val="en-US" w:eastAsia="zh-CN" w:bidi="ar"/>
              </w:rPr>
            </w:pPr>
            <w:r>
              <w:rPr>
                <w:rFonts w:hint="eastAsia"/>
                <w:color w:val="auto"/>
                <w:kern w:val="0"/>
                <w:sz w:val="24"/>
                <w:highlight w:val="none"/>
                <w:lang w:val="en-US" w:eastAsia="zh-CN" w:bidi="ar"/>
              </w:rPr>
              <w:t>玉米</w:t>
            </w:r>
          </w:p>
          <w:p w14:paraId="4DBA8DF1">
            <w:pPr>
              <w:widowControl/>
              <w:spacing w:line="360" w:lineRule="auto"/>
              <w:ind w:firstLine="480" w:firstLineChars="200"/>
              <w:jc w:val="both"/>
              <w:rPr>
                <w:color w:val="auto"/>
                <w:kern w:val="0"/>
                <w:sz w:val="24"/>
                <w:highlight w:val="none"/>
                <w:lang w:bidi="ar"/>
              </w:rPr>
            </w:pPr>
            <w:r>
              <w:rPr>
                <w:color w:val="auto"/>
                <w:kern w:val="0"/>
                <w:sz w:val="24"/>
                <w:highlight w:val="none"/>
                <w:lang w:bidi="ar"/>
              </w:rPr>
              <w:t>本项目在粮食初清过程中已将绝大部分杂质清除干净，烘干过程中粉尘产生量根据《逸散性工业粉尘控制技术》第五章谷物仓储中的颗粒特性，干燥工序逸散尘排放因子取</w:t>
            </w:r>
            <w:r>
              <w:rPr>
                <w:rFonts w:hint="eastAsia"/>
                <w:color w:val="auto"/>
                <w:kern w:val="0"/>
                <w:sz w:val="24"/>
                <w:highlight w:val="none"/>
                <w:lang w:val="en-US" w:eastAsia="zh-CN" w:bidi="ar"/>
              </w:rPr>
              <w:t>0.1</w:t>
            </w:r>
            <w:r>
              <w:rPr>
                <w:color w:val="auto"/>
                <w:kern w:val="0"/>
                <w:sz w:val="24"/>
                <w:highlight w:val="none"/>
                <w:lang w:bidi="ar"/>
              </w:rPr>
              <w:t>kg/t，烘干玉米量为</w:t>
            </w:r>
            <w:r>
              <w:rPr>
                <w:rFonts w:hint="eastAsia"/>
                <w:color w:val="auto"/>
                <w:kern w:val="0"/>
                <w:sz w:val="24"/>
                <w:highlight w:val="none"/>
                <w:lang w:bidi="ar"/>
              </w:rPr>
              <w:t>15</w:t>
            </w:r>
            <w:r>
              <w:rPr>
                <w:color w:val="auto"/>
                <w:kern w:val="0"/>
                <w:sz w:val="24"/>
                <w:highlight w:val="none"/>
                <w:lang w:bidi="ar"/>
              </w:rPr>
              <w:t>000t/a，</w:t>
            </w:r>
            <w:r>
              <w:rPr>
                <w:rFonts w:hint="eastAsia"/>
                <w:color w:val="auto"/>
                <w:kern w:val="0"/>
                <w:sz w:val="24"/>
                <w:lang w:val="en-US" w:eastAsia="zh-CN" w:bidi="ar"/>
              </w:rPr>
              <w:t>装卸过程产生的玉米粉尘量为0.70t/a，筛分玉米工序产生的粉尘量为0.015t/a，则</w:t>
            </w:r>
            <w:r>
              <w:rPr>
                <w:rFonts w:hint="eastAsia"/>
                <w:color w:val="auto"/>
                <w:kern w:val="0"/>
                <w:sz w:val="24"/>
                <w:highlight w:val="none"/>
                <w:lang w:val="en-US" w:eastAsia="zh-CN" w:bidi="ar"/>
              </w:rPr>
              <w:t>烘干玉米量为14999.285t/a；</w:t>
            </w:r>
            <w:r>
              <w:rPr>
                <w:color w:val="auto"/>
                <w:kern w:val="0"/>
                <w:sz w:val="24"/>
                <w:highlight w:val="none"/>
                <w:lang w:bidi="ar"/>
              </w:rPr>
              <w:t>则粉尘产生量约</w:t>
            </w:r>
            <w:r>
              <w:rPr>
                <w:rFonts w:hint="eastAsia"/>
                <w:color w:val="auto"/>
                <w:kern w:val="0"/>
                <w:sz w:val="24"/>
                <w:highlight w:val="none"/>
                <w:lang w:val="en-US" w:eastAsia="zh-CN" w:bidi="ar"/>
              </w:rPr>
              <w:t>1.50</w:t>
            </w:r>
            <w:r>
              <w:rPr>
                <w:color w:val="auto"/>
                <w:kern w:val="0"/>
                <w:sz w:val="24"/>
                <w:highlight w:val="none"/>
                <w:lang w:bidi="ar"/>
              </w:rPr>
              <w:t>t/a，产生速率为</w:t>
            </w:r>
            <w:r>
              <w:rPr>
                <w:rFonts w:hint="eastAsia"/>
                <w:color w:val="auto"/>
                <w:kern w:val="0"/>
                <w:sz w:val="24"/>
                <w:highlight w:val="none"/>
                <w:lang w:val="en-US" w:eastAsia="zh-CN" w:bidi="ar"/>
              </w:rPr>
              <w:t>1.84</w:t>
            </w:r>
            <w:r>
              <w:rPr>
                <w:color w:val="auto"/>
                <w:kern w:val="0"/>
                <w:sz w:val="24"/>
                <w:highlight w:val="none"/>
                <w:lang w:bidi="ar"/>
              </w:rPr>
              <w:t>kg/h。</w:t>
            </w:r>
            <w:r>
              <w:rPr>
                <w:color w:val="auto"/>
                <w:sz w:val="24"/>
                <w:highlight w:val="none"/>
              </w:rPr>
              <w:t>烘干塔塔体自带彩钢罩，具有防风抑尘功能，为环保型烘干塔，根据《排放源统计调查产排污核算方法和系数手册》</w:t>
            </w:r>
            <w:r>
              <w:rPr>
                <w:rFonts w:hint="eastAsia" w:ascii="宋体" w:hAnsi="宋体" w:cs="宋体"/>
                <w:color w:val="auto"/>
                <w:sz w:val="24"/>
                <w:highlight w:val="none"/>
              </w:rPr>
              <w:t>“</w:t>
            </w:r>
            <w:r>
              <w:rPr>
                <w:color w:val="auto"/>
                <w:sz w:val="24"/>
                <w:highlight w:val="none"/>
              </w:rPr>
              <w:t>附表2固体物料堆存颗粒物产排污核算系数手册</w:t>
            </w:r>
            <w:r>
              <w:rPr>
                <w:rFonts w:hint="eastAsia"/>
                <w:color w:val="auto"/>
                <w:sz w:val="24"/>
                <w:highlight w:val="none"/>
                <w:lang w:eastAsia="zh-CN"/>
              </w:rPr>
              <w:t>”</w:t>
            </w:r>
            <w:r>
              <w:rPr>
                <w:color w:val="auto"/>
                <w:sz w:val="24"/>
                <w:highlight w:val="none"/>
              </w:rPr>
              <w:t>中</w:t>
            </w:r>
            <w:r>
              <w:rPr>
                <w:rFonts w:hint="eastAsia"/>
                <w:color w:val="auto"/>
                <w:sz w:val="24"/>
                <w:highlight w:val="none"/>
                <w:lang w:eastAsia="zh-CN"/>
              </w:rPr>
              <w:t>“</w:t>
            </w:r>
            <w:r>
              <w:rPr>
                <w:color w:val="auto"/>
                <w:sz w:val="24"/>
                <w:highlight w:val="none"/>
              </w:rPr>
              <w:t>附录4：粉尘控制措施控制效率，围挡控制效率为60%</w:t>
            </w:r>
            <w:r>
              <w:rPr>
                <w:rFonts w:hint="eastAsia" w:ascii="宋体" w:hAnsi="宋体" w:cs="宋体"/>
                <w:color w:val="auto"/>
                <w:sz w:val="24"/>
                <w:highlight w:val="none"/>
              </w:rPr>
              <w:t>”</w:t>
            </w:r>
            <w:r>
              <w:rPr>
                <w:color w:val="auto"/>
                <w:sz w:val="24"/>
                <w:highlight w:val="none"/>
              </w:rPr>
              <w:t>，所以本项目烘干塔彩钢罩抑尘效率按60%计，则烘干工段无组织粉尘排放量为</w:t>
            </w:r>
            <w:r>
              <w:rPr>
                <w:rFonts w:hint="eastAsia"/>
                <w:color w:val="auto"/>
                <w:kern w:val="0"/>
                <w:sz w:val="24"/>
                <w:highlight w:val="none"/>
                <w:lang w:val="en-US" w:eastAsia="zh-CN"/>
              </w:rPr>
              <w:t>0.74</w:t>
            </w:r>
            <w:r>
              <w:rPr>
                <w:color w:val="auto"/>
                <w:sz w:val="24"/>
                <w:highlight w:val="none"/>
              </w:rPr>
              <w:t>kg/h</w:t>
            </w:r>
            <w:r>
              <w:rPr>
                <w:rFonts w:hint="eastAsia"/>
                <w:color w:val="auto"/>
                <w:kern w:val="0"/>
                <w:sz w:val="24"/>
                <w:highlight w:val="none"/>
              </w:rPr>
              <w:t>、</w:t>
            </w:r>
            <w:r>
              <w:rPr>
                <w:rFonts w:hint="eastAsia"/>
                <w:color w:val="auto"/>
                <w:sz w:val="24"/>
                <w:highlight w:val="none"/>
                <w:lang w:val="en-US" w:eastAsia="zh-CN"/>
              </w:rPr>
              <w:t>0.60</w:t>
            </w:r>
            <w:r>
              <w:rPr>
                <w:color w:val="auto"/>
                <w:sz w:val="24"/>
                <w:highlight w:val="none"/>
              </w:rPr>
              <w:t>t/a。</w:t>
            </w:r>
          </w:p>
          <w:p w14:paraId="16515234">
            <w:pPr>
              <w:widowControl/>
              <w:spacing w:line="360" w:lineRule="auto"/>
              <w:ind w:firstLine="480" w:firstLineChars="200"/>
              <w:jc w:val="both"/>
              <w:rPr>
                <w:rFonts w:hint="default"/>
                <w:color w:val="auto"/>
                <w:kern w:val="0"/>
                <w:sz w:val="24"/>
                <w:highlight w:val="none"/>
                <w:lang w:val="en-US" w:eastAsia="zh-CN" w:bidi="ar"/>
              </w:rPr>
            </w:pPr>
            <w:r>
              <w:rPr>
                <w:rFonts w:hint="eastAsia"/>
                <w:color w:val="auto"/>
                <w:kern w:val="0"/>
                <w:sz w:val="24"/>
                <w:highlight w:val="none"/>
                <w:lang w:val="en-US" w:eastAsia="zh-CN" w:bidi="ar"/>
              </w:rPr>
              <w:t>水稻</w:t>
            </w:r>
          </w:p>
          <w:p w14:paraId="631DA725">
            <w:pPr>
              <w:widowControl/>
              <w:spacing w:line="360" w:lineRule="auto"/>
              <w:ind w:firstLine="480" w:firstLineChars="200"/>
              <w:jc w:val="both"/>
              <w:rPr>
                <w:color w:val="auto"/>
                <w:sz w:val="24"/>
                <w:highlight w:val="none"/>
              </w:rPr>
            </w:pPr>
            <w:r>
              <w:rPr>
                <w:color w:val="auto"/>
                <w:kern w:val="0"/>
                <w:sz w:val="24"/>
                <w:highlight w:val="none"/>
                <w:lang w:bidi="ar"/>
              </w:rPr>
              <w:t>本项目在粮食初清过程中已将绝大部分杂质清除干净，烘干过程中粉尘产生量根据《逸散性工业粉尘控制技术》第五章谷物仓储中的颗粒特性，干燥工序逸散尘排放因子取</w:t>
            </w:r>
            <w:r>
              <w:rPr>
                <w:rFonts w:hint="eastAsia"/>
                <w:color w:val="auto"/>
                <w:kern w:val="0"/>
                <w:sz w:val="24"/>
                <w:highlight w:val="none"/>
                <w:lang w:val="en-US" w:eastAsia="zh-CN" w:bidi="ar"/>
              </w:rPr>
              <w:t>0.25</w:t>
            </w:r>
            <w:r>
              <w:rPr>
                <w:color w:val="auto"/>
                <w:kern w:val="0"/>
                <w:sz w:val="24"/>
                <w:highlight w:val="none"/>
                <w:lang w:bidi="ar"/>
              </w:rPr>
              <w:t>kg/t，烘干</w:t>
            </w:r>
            <w:r>
              <w:rPr>
                <w:rFonts w:hint="eastAsia"/>
                <w:color w:val="auto"/>
                <w:kern w:val="0"/>
                <w:sz w:val="24"/>
                <w:highlight w:val="none"/>
                <w:lang w:bidi="ar"/>
              </w:rPr>
              <w:t>水稻量为5000t，</w:t>
            </w:r>
            <w:r>
              <w:rPr>
                <w:rFonts w:hint="eastAsia"/>
                <w:color w:val="auto"/>
                <w:kern w:val="0"/>
                <w:sz w:val="24"/>
                <w:lang w:val="en-US" w:eastAsia="zh-CN" w:bidi="ar"/>
              </w:rPr>
              <w:t>装卸过程产生的水稻粉尘量为0.34t/a，筛分水稻工序产生的粉尘量为0.012t/a，</w:t>
            </w:r>
            <w:r>
              <w:rPr>
                <w:rFonts w:hint="eastAsia"/>
                <w:color w:val="auto"/>
                <w:kern w:val="0"/>
                <w:sz w:val="24"/>
                <w:highlight w:val="none"/>
                <w:lang w:val="en-US" w:eastAsia="zh-CN" w:bidi="ar"/>
              </w:rPr>
              <w:t>则烘干水稻量4999.648t/a‬</w:t>
            </w:r>
            <w:r>
              <w:rPr>
                <w:rFonts w:hint="eastAsia"/>
                <w:color w:val="auto"/>
                <w:kern w:val="0"/>
                <w:sz w:val="24"/>
                <w:highlight w:val="none"/>
                <w:lang w:bidi="ar"/>
              </w:rPr>
              <w:t>，</w:t>
            </w:r>
            <w:r>
              <w:rPr>
                <w:color w:val="auto"/>
                <w:kern w:val="0"/>
                <w:sz w:val="24"/>
                <w:highlight w:val="none"/>
                <w:lang w:bidi="ar"/>
              </w:rPr>
              <w:t>则粉尘产生量约</w:t>
            </w:r>
            <w:r>
              <w:rPr>
                <w:rFonts w:hint="eastAsia"/>
                <w:color w:val="auto"/>
                <w:kern w:val="0"/>
                <w:sz w:val="24"/>
                <w:highlight w:val="none"/>
                <w:lang w:val="en-US" w:eastAsia="zh-CN" w:bidi="ar"/>
              </w:rPr>
              <w:t>1.25</w:t>
            </w:r>
            <w:r>
              <w:rPr>
                <w:color w:val="auto"/>
                <w:kern w:val="0"/>
                <w:sz w:val="24"/>
                <w:highlight w:val="none"/>
                <w:lang w:bidi="ar"/>
              </w:rPr>
              <w:t>t/a，产生速率为</w:t>
            </w:r>
            <w:r>
              <w:rPr>
                <w:rFonts w:hint="eastAsia"/>
                <w:color w:val="auto"/>
                <w:kern w:val="0"/>
                <w:sz w:val="24"/>
                <w:highlight w:val="none"/>
                <w:lang w:val="en-US" w:eastAsia="zh-CN" w:bidi="ar"/>
              </w:rPr>
              <w:t>1.53</w:t>
            </w:r>
            <w:r>
              <w:rPr>
                <w:color w:val="auto"/>
                <w:kern w:val="0"/>
                <w:sz w:val="24"/>
                <w:highlight w:val="none"/>
                <w:lang w:bidi="ar"/>
              </w:rPr>
              <w:t>kg/h。</w:t>
            </w:r>
            <w:r>
              <w:rPr>
                <w:color w:val="auto"/>
                <w:sz w:val="24"/>
                <w:highlight w:val="none"/>
              </w:rPr>
              <w:t>烘干塔塔体自带彩钢罩，具有防风抑尘功能，为环保型烘干塔，根据《排放源统计调查产排污核算方法和系数手册》</w:t>
            </w:r>
            <w:r>
              <w:rPr>
                <w:rFonts w:hint="eastAsia" w:ascii="宋体" w:hAnsi="宋体" w:cs="宋体"/>
                <w:color w:val="auto"/>
                <w:sz w:val="24"/>
                <w:highlight w:val="none"/>
              </w:rPr>
              <w:t>“</w:t>
            </w:r>
            <w:r>
              <w:rPr>
                <w:color w:val="auto"/>
                <w:sz w:val="24"/>
                <w:highlight w:val="none"/>
              </w:rPr>
              <w:t>附表2固体物料堆存颗粒物产排污核算系数手册</w:t>
            </w:r>
            <w:r>
              <w:rPr>
                <w:rFonts w:hint="eastAsia"/>
                <w:color w:val="auto"/>
                <w:sz w:val="24"/>
                <w:highlight w:val="none"/>
                <w:lang w:eastAsia="zh-CN"/>
              </w:rPr>
              <w:t>”</w:t>
            </w:r>
            <w:r>
              <w:rPr>
                <w:color w:val="auto"/>
                <w:sz w:val="24"/>
                <w:highlight w:val="none"/>
              </w:rPr>
              <w:t>中</w:t>
            </w:r>
            <w:r>
              <w:rPr>
                <w:rFonts w:hint="eastAsia"/>
                <w:color w:val="auto"/>
                <w:sz w:val="24"/>
                <w:highlight w:val="none"/>
                <w:lang w:eastAsia="zh-CN"/>
              </w:rPr>
              <w:t>“</w:t>
            </w:r>
            <w:r>
              <w:rPr>
                <w:color w:val="auto"/>
                <w:sz w:val="24"/>
                <w:highlight w:val="none"/>
              </w:rPr>
              <w:t>附录4：粉尘控制措施控制效率，围挡控制效率为60%</w:t>
            </w:r>
            <w:r>
              <w:rPr>
                <w:rFonts w:hint="eastAsia" w:ascii="宋体" w:hAnsi="宋体" w:cs="宋体"/>
                <w:color w:val="auto"/>
                <w:sz w:val="24"/>
                <w:highlight w:val="none"/>
              </w:rPr>
              <w:t>”</w:t>
            </w:r>
            <w:r>
              <w:rPr>
                <w:color w:val="auto"/>
                <w:sz w:val="24"/>
                <w:highlight w:val="none"/>
              </w:rPr>
              <w:t>，所以本项目烘干塔彩钢罩抑尘效率按60%计，则烘干工段无组织粉尘排放量为</w:t>
            </w:r>
            <w:r>
              <w:rPr>
                <w:rFonts w:hint="eastAsia"/>
                <w:color w:val="auto"/>
                <w:kern w:val="0"/>
                <w:sz w:val="24"/>
                <w:highlight w:val="none"/>
                <w:lang w:val="en-US" w:eastAsia="zh-CN"/>
              </w:rPr>
              <w:t>0.61</w:t>
            </w:r>
            <w:r>
              <w:rPr>
                <w:color w:val="auto"/>
                <w:sz w:val="24"/>
                <w:highlight w:val="none"/>
              </w:rPr>
              <w:t>kg/h</w:t>
            </w:r>
            <w:r>
              <w:rPr>
                <w:rFonts w:hint="eastAsia"/>
                <w:color w:val="auto"/>
                <w:kern w:val="0"/>
                <w:sz w:val="24"/>
                <w:highlight w:val="none"/>
              </w:rPr>
              <w:t>、</w:t>
            </w:r>
            <w:r>
              <w:rPr>
                <w:rFonts w:hint="eastAsia"/>
                <w:color w:val="auto"/>
                <w:sz w:val="24"/>
                <w:highlight w:val="none"/>
                <w:lang w:val="en-US" w:eastAsia="zh-CN"/>
              </w:rPr>
              <w:t>0.50</w:t>
            </w:r>
            <w:r>
              <w:rPr>
                <w:color w:val="auto"/>
                <w:sz w:val="24"/>
                <w:highlight w:val="none"/>
              </w:rPr>
              <w:t>t/a。</w:t>
            </w:r>
          </w:p>
          <w:p w14:paraId="0ED61901">
            <w:pPr>
              <w:widowControl/>
              <w:spacing w:line="360" w:lineRule="auto"/>
              <w:ind w:firstLine="480" w:firstLineChars="200"/>
              <w:jc w:val="both"/>
              <w:rPr>
                <w:rFonts w:hint="default" w:eastAsia="宋体"/>
                <w:color w:val="auto"/>
                <w:sz w:val="24"/>
                <w:highlight w:val="none"/>
                <w:lang w:val="en-US" w:eastAsia="zh-CN"/>
              </w:rPr>
            </w:pPr>
            <w:r>
              <w:rPr>
                <w:rFonts w:hint="eastAsia"/>
                <w:color w:val="auto"/>
                <w:sz w:val="24"/>
                <w:highlight w:val="none"/>
                <w:lang w:val="en-US" w:eastAsia="zh-CN"/>
              </w:rPr>
              <w:t>则烘干粉尘量约为0.60</w:t>
            </w:r>
            <w:r>
              <w:rPr>
                <w:rFonts w:hint="eastAsia"/>
                <w:color w:val="auto"/>
                <w:kern w:val="0"/>
                <w:sz w:val="24"/>
                <w:lang w:val="en-US" w:eastAsia="zh-CN" w:bidi="ar"/>
              </w:rPr>
              <w:t>t/a</w:t>
            </w:r>
            <w:r>
              <w:rPr>
                <w:rFonts w:hint="eastAsia"/>
                <w:color w:val="auto"/>
                <w:sz w:val="24"/>
                <w:highlight w:val="none"/>
                <w:lang w:val="en-US" w:eastAsia="zh-CN"/>
              </w:rPr>
              <w:t>+0.50</w:t>
            </w:r>
            <w:r>
              <w:rPr>
                <w:rFonts w:hint="eastAsia"/>
                <w:color w:val="auto"/>
                <w:kern w:val="0"/>
                <w:sz w:val="24"/>
                <w:lang w:val="en-US" w:eastAsia="zh-CN" w:bidi="ar"/>
              </w:rPr>
              <w:t>t/a</w:t>
            </w:r>
            <w:r>
              <w:rPr>
                <w:rFonts w:hint="eastAsia"/>
                <w:color w:val="auto"/>
                <w:sz w:val="24"/>
                <w:highlight w:val="none"/>
                <w:lang w:val="en-US" w:eastAsia="zh-CN"/>
              </w:rPr>
              <w:t>=1.10</w:t>
            </w:r>
            <w:r>
              <w:rPr>
                <w:rFonts w:hint="eastAsia"/>
                <w:color w:val="auto"/>
                <w:kern w:val="0"/>
                <w:sz w:val="24"/>
                <w:lang w:val="en-US" w:eastAsia="zh-CN" w:bidi="ar"/>
              </w:rPr>
              <w:t>t/a，排放速率约为1.35kg/h。</w:t>
            </w:r>
          </w:p>
          <w:p w14:paraId="4B1C3BDA">
            <w:pPr>
              <w:widowControl/>
              <w:spacing w:line="360" w:lineRule="auto"/>
              <w:ind w:firstLine="480" w:firstLineChars="200"/>
              <w:jc w:val="left"/>
              <w:rPr>
                <w:color w:val="auto"/>
                <w:kern w:val="0"/>
                <w:sz w:val="24"/>
                <w:lang w:bidi="ar"/>
              </w:rPr>
            </w:pPr>
            <w:r>
              <w:rPr>
                <w:color w:val="auto"/>
                <w:kern w:val="0"/>
                <w:sz w:val="24"/>
                <w:lang w:bidi="ar"/>
              </w:rPr>
              <w:fldChar w:fldCharType="begin"/>
            </w:r>
            <w:r>
              <w:rPr>
                <w:color w:val="auto"/>
                <w:kern w:val="0"/>
                <w:sz w:val="24"/>
                <w:lang w:bidi="ar"/>
              </w:rPr>
              <w:instrText xml:space="preserve"> = 5 \* GB3 \* MERGEFORMAT </w:instrText>
            </w:r>
            <w:r>
              <w:rPr>
                <w:color w:val="auto"/>
                <w:kern w:val="0"/>
                <w:sz w:val="24"/>
                <w:lang w:bidi="ar"/>
              </w:rPr>
              <w:fldChar w:fldCharType="separate"/>
            </w:r>
            <w:r>
              <w:rPr>
                <w:color w:val="auto"/>
                <w:kern w:val="0"/>
                <w:sz w:val="24"/>
                <w:lang w:bidi="ar"/>
              </w:rPr>
              <w:t>⑤</w:t>
            </w:r>
            <w:r>
              <w:rPr>
                <w:color w:val="auto"/>
                <w:kern w:val="0"/>
                <w:sz w:val="24"/>
                <w:lang w:bidi="ar"/>
              </w:rPr>
              <w:fldChar w:fldCharType="end"/>
            </w:r>
            <w:r>
              <w:rPr>
                <w:rFonts w:hint="eastAsia"/>
                <w:color w:val="auto"/>
                <w:kern w:val="0"/>
                <w:sz w:val="24"/>
                <w:lang w:bidi="ar"/>
              </w:rPr>
              <w:t>燃料、灰渣转运</w:t>
            </w:r>
            <w:r>
              <w:rPr>
                <w:color w:val="auto"/>
                <w:kern w:val="0"/>
                <w:sz w:val="24"/>
                <w:lang w:bidi="ar"/>
              </w:rPr>
              <w:t>扬尘</w:t>
            </w:r>
          </w:p>
          <w:p w14:paraId="537D335D">
            <w:pPr>
              <w:widowControl/>
              <w:spacing w:line="360" w:lineRule="auto"/>
              <w:ind w:firstLine="480" w:firstLineChars="200"/>
              <w:jc w:val="left"/>
              <w:rPr>
                <w:color w:val="auto"/>
                <w:kern w:val="0"/>
                <w:sz w:val="24"/>
                <w:lang w:bidi="ar"/>
              </w:rPr>
            </w:pPr>
            <w:r>
              <w:rPr>
                <w:color w:val="auto"/>
                <w:kern w:val="0"/>
                <w:sz w:val="24"/>
                <w:lang w:bidi="ar"/>
              </w:rPr>
              <w:t>本项目</w:t>
            </w:r>
            <w:r>
              <w:rPr>
                <w:rFonts w:hint="eastAsia"/>
                <w:color w:val="auto"/>
                <w:kern w:val="0"/>
                <w:sz w:val="24"/>
                <w:lang w:bidi="ar"/>
              </w:rPr>
              <w:t>燃料生物质和灰渣分区储存在厂区库房，库房为封闭式库房。</w:t>
            </w:r>
            <w:r>
              <w:rPr>
                <w:color w:val="auto"/>
                <w:sz w:val="24"/>
              </w:rPr>
              <w:t>燃料厂内运输</w:t>
            </w:r>
            <w:r>
              <w:rPr>
                <w:rFonts w:hint="eastAsia"/>
                <w:color w:val="auto"/>
                <w:kern w:val="0"/>
                <w:sz w:val="24"/>
                <w:lang w:bidi="ar"/>
              </w:rPr>
              <w:t>过程中加盖苫布，</w:t>
            </w:r>
            <w:r>
              <w:rPr>
                <w:color w:val="auto"/>
                <w:kern w:val="0"/>
                <w:sz w:val="24"/>
                <w:lang w:bidi="ar"/>
              </w:rPr>
              <w:t>大风天气禁止转运。灰渣调湿后转运，转运时加盖苫布，大风天气禁止转运。</w:t>
            </w:r>
          </w:p>
          <w:p w14:paraId="23D02ACF">
            <w:pPr>
              <w:widowControl/>
              <w:spacing w:line="360" w:lineRule="auto"/>
              <w:ind w:firstLine="480" w:firstLineChars="200"/>
              <w:jc w:val="left"/>
              <w:rPr>
                <w:color w:val="auto"/>
                <w:kern w:val="0"/>
                <w:sz w:val="24"/>
                <w:lang w:bidi="ar"/>
              </w:rPr>
            </w:pPr>
            <w:r>
              <w:rPr>
                <w:rFonts w:hint="eastAsia"/>
                <w:color w:val="auto"/>
                <w:kern w:val="0"/>
                <w:sz w:val="24"/>
                <w:lang w:bidi="ar"/>
              </w:rPr>
              <w:t>采取以上治理措施后，厂区</w:t>
            </w:r>
            <w:r>
              <w:rPr>
                <w:color w:val="auto"/>
                <w:kern w:val="0"/>
                <w:sz w:val="24"/>
                <w:lang w:bidi="ar"/>
              </w:rPr>
              <w:t>无组织粉尘</w:t>
            </w:r>
            <w:r>
              <w:rPr>
                <w:rFonts w:hint="eastAsia"/>
                <w:color w:val="auto"/>
                <w:kern w:val="0"/>
                <w:sz w:val="24"/>
                <w:lang w:bidi="ar"/>
              </w:rPr>
              <w:t>排放</w:t>
            </w:r>
            <w:r>
              <w:rPr>
                <w:color w:val="auto"/>
                <w:kern w:val="0"/>
                <w:sz w:val="24"/>
                <w:lang w:bidi="ar"/>
              </w:rPr>
              <w:t>满足《大气污染物综合排放标准》（GB16297-1996）表2无组织排放浓度限值要求。</w:t>
            </w:r>
          </w:p>
          <w:p w14:paraId="54B4999A">
            <w:pPr>
              <w:widowControl/>
              <w:spacing w:line="360" w:lineRule="auto"/>
              <w:ind w:firstLine="480" w:firstLineChars="200"/>
              <w:jc w:val="left"/>
              <w:rPr>
                <w:color w:val="auto"/>
                <w:kern w:val="0"/>
                <w:sz w:val="24"/>
                <w:lang w:bidi="ar"/>
              </w:rPr>
            </w:pPr>
            <w:r>
              <w:rPr>
                <w:rFonts w:hint="eastAsia"/>
                <w:color w:val="auto"/>
                <w:kern w:val="0"/>
                <w:sz w:val="24"/>
                <w:lang w:bidi="ar"/>
              </w:rPr>
              <w:t>⑥热风炉房外废气</w:t>
            </w:r>
          </w:p>
          <w:p w14:paraId="4A219247">
            <w:pPr>
              <w:widowControl/>
              <w:spacing w:line="360" w:lineRule="auto"/>
              <w:ind w:firstLine="480" w:firstLineChars="200"/>
              <w:jc w:val="left"/>
              <w:rPr>
                <w:color w:val="auto"/>
                <w:sz w:val="24"/>
              </w:rPr>
            </w:pPr>
            <w:r>
              <w:rPr>
                <w:rFonts w:hint="eastAsia"/>
                <w:color w:val="auto"/>
                <w:sz w:val="24"/>
              </w:rPr>
              <w:t>本项目2台</w:t>
            </w:r>
            <w:r>
              <w:rPr>
                <w:rFonts w:hint="eastAsia"/>
                <w:color w:val="auto"/>
                <w:sz w:val="24"/>
                <w:lang w:eastAsia="zh-CN"/>
              </w:rPr>
              <w:t>360万kcal/h</w:t>
            </w:r>
            <w:r>
              <w:rPr>
                <w:rFonts w:hint="eastAsia"/>
                <w:color w:val="auto"/>
                <w:sz w:val="24"/>
              </w:rPr>
              <w:t>生物质热风炉房外产生的粉尘满足</w:t>
            </w:r>
            <w:r>
              <w:rPr>
                <w:color w:val="auto"/>
                <w:sz w:val="24"/>
              </w:rPr>
              <w:t>《工业炉窑大气污染物排放标准》（GB9078-1996）表3</w:t>
            </w:r>
            <w:r>
              <w:rPr>
                <w:rFonts w:hint="eastAsia"/>
                <w:color w:val="auto"/>
                <w:sz w:val="24"/>
              </w:rPr>
              <w:t>排放浓度限值要求。</w:t>
            </w:r>
          </w:p>
          <w:p w14:paraId="1819C48C">
            <w:pPr>
              <w:widowControl/>
              <w:spacing w:line="360" w:lineRule="auto"/>
              <w:ind w:firstLine="480" w:firstLineChars="200"/>
              <w:jc w:val="left"/>
              <w:rPr>
                <w:color w:val="auto"/>
                <w:sz w:val="24"/>
              </w:rPr>
            </w:pPr>
            <w:r>
              <w:rPr>
                <w:color w:val="auto"/>
                <w:kern w:val="0"/>
                <w:sz w:val="24"/>
                <w:lang w:bidi="ar"/>
              </w:rPr>
              <w:t>废气污染物排放情况见表</w:t>
            </w:r>
            <w:r>
              <w:rPr>
                <w:rFonts w:hint="eastAsia"/>
                <w:color w:val="auto"/>
                <w:kern w:val="0"/>
                <w:sz w:val="24"/>
                <w:lang w:bidi="ar"/>
              </w:rPr>
              <w:t>4-2</w:t>
            </w:r>
            <w:r>
              <w:rPr>
                <w:color w:val="auto"/>
                <w:kern w:val="0"/>
                <w:sz w:val="24"/>
                <w:lang w:bidi="ar"/>
              </w:rPr>
              <w:t>，</w:t>
            </w:r>
            <w:r>
              <w:rPr>
                <w:color w:val="auto"/>
                <w:sz w:val="24"/>
              </w:rPr>
              <w:t>排放口基本情况</w:t>
            </w:r>
            <w:r>
              <w:rPr>
                <w:color w:val="auto"/>
                <w:kern w:val="0"/>
                <w:sz w:val="24"/>
                <w:lang w:bidi="ar"/>
              </w:rPr>
              <w:t>见表</w:t>
            </w:r>
            <w:r>
              <w:rPr>
                <w:rFonts w:hint="eastAsia"/>
                <w:color w:val="auto"/>
                <w:kern w:val="0"/>
                <w:sz w:val="24"/>
                <w:lang w:bidi="ar"/>
              </w:rPr>
              <w:t>4-3</w:t>
            </w:r>
            <w:r>
              <w:rPr>
                <w:color w:val="auto"/>
                <w:kern w:val="0"/>
                <w:sz w:val="24"/>
                <w:lang w:bidi="ar"/>
              </w:rPr>
              <w:t>。</w:t>
            </w:r>
          </w:p>
          <w:p w14:paraId="3ADDA88F">
            <w:pPr>
              <w:widowControl/>
              <w:spacing w:line="360" w:lineRule="auto"/>
              <w:jc w:val="center"/>
              <w:rPr>
                <w:b/>
                <w:bCs/>
                <w:color w:val="auto"/>
                <w:kern w:val="0"/>
                <w:sz w:val="24"/>
                <w:lang w:bidi="ar"/>
              </w:rPr>
            </w:pPr>
            <w:r>
              <w:rPr>
                <w:b/>
                <w:bCs/>
                <w:color w:val="auto"/>
                <w:kern w:val="0"/>
                <w:sz w:val="24"/>
                <w:lang w:bidi="ar"/>
              </w:rPr>
              <w:t>表</w:t>
            </w:r>
            <w:r>
              <w:rPr>
                <w:rFonts w:hint="eastAsia"/>
                <w:b/>
                <w:bCs/>
                <w:color w:val="auto"/>
                <w:kern w:val="0"/>
                <w:sz w:val="24"/>
                <w:lang w:bidi="ar"/>
              </w:rPr>
              <w:t xml:space="preserve">4-2  </w:t>
            </w:r>
            <w:r>
              <w:rPr>
                <w:b/>
                <w:bCs/>
                <w:color w:val="auto"/>
                <w:kern w:val="0"/>
                <w:sz w:val="24"/>
                <w:lang w:bidi="ar"/>
              </w:rPr>
              <w:t>废气污染物排放情况一览表</w:t>
            </w:r>
          </w:p>
          <w:tbl>
            <w:tblPr>
              <w:tblStyle w:val="35"/>
              <w:tblW w:w="817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1"/>
              <w:gridCol w:w="496"/>
              <w:gridCol w:w="692"/>
              <w:gridCol w:w="364"/>
              <w:gridCol w:w="548"/>
              <w:gridCol w:w="750"/>
              <w:gridCol w:w="773"/>
              <w:gridCol w:w="646"/>
              <w:gridCol w:w="531"/>
              <w:gridCol w:w="415"/>
              <w:gridCol w:w="531"/>
              <w:gridCol w:w="760"/>
              <w:gridCol w:w="648"/>
              <w:gridCol w:w="558"/>
            </w:tblGrid>
            <w:tr w14:paraId="019F74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dxa"/>
                  <w:vMerge w:val="restart"/>
                  <w:noWrap/>
                  <w:vAlign w:val="center"/>
                </w:tcPr>
                <w:p w14:paraId="695FE4FD">
                  <w:pPr>
                    <w:pStyle w:val="109"/>
                    <w:spacing w:line="240" w:lineRule="auto"/>
                    <w:ind w:left="-105" w:leftChars="-50" w:right="-105" w:rightChars="-50"/>
                    <w:rPr>
                      <w:color w:val="auto"/>
                      <w:szCs w:val="21"/>
                    </w:rPr>
                  </w:pPr>
                  <w:r>
                    <w:rPr>
                      <w:color w:val="auto"/>
                      <w:szCs w:val="21"/>
                    </w:rPr>
                    <w:t>装置</w:t>
                  </w:r>
                </w:p>
              </w:tc>
              <w:tc>
                <w:tcPr>
                  <w:tcW w:w="496" w:type="dxa"/>
                  <w:vMerge w:val="restart"/>
                  <w:noWrap/>
                  <w:vAlign w:val="center"/>
                </w:tcPr>
                <w:p w14:paraId="07AA654D">
                  <w:pPr>
                    <w:pStyle w:val="109"/>
                    <w:spacing w:line="240" w:lineRule="auto"/>
                    <w:ind w:left="-105" w:leftChars="-50" w:right="-105" w:rightChars="-50"/>
                    <w:rPr>
                      <w:color w:val="auto"/>
                      <w:szCs w:val="21"/>
                    </w:rPr>
                  </w:pPr>
                  <w:r>
                    <w:rPr>
                      <w:color w:val="auto"/>
                      <w:szCs w:val="21"/>
                    </w:rPr>
                    <w:t>污染源</w:t>
                  </w:r>
                </w:p>
              </w:tc>
              <w:tc>
                <w:tcPr>
                  <w:tcW w:w="692" w:type="dxa"/>
                  <w:vMerge w:val="restart"/>
                  <w:noWrap/>
                  <w:vAlign w:val="center"/>
                </w:tcPr>
                <w:p w14:paraId="50C88054">
                  <w:pPr>
                    <w:pStyle w:val="109"/>
                    <w:spacing w:line="240" w:lineRule="auto"/>
                    <w:ind w:left="-105" w:leftChars="-50" w:right="-105" w:rightChars="-50"/>
                    <w:rPr>
                      <w:color w:val="auto"/>
                      <w:szCs w:val="21"/>
                    </w:rPr>
                  </w:pPr>
                  <w:r>
                    <w:rPr>
                      <w:color w:val="auto"/>
                      <w:szCs w:val="21"/>
                    </w:rPr>
                    <w:t>污染物</w:t>
                  </w:r>
                </w:p>
              </w:tc>
              <w:tc>
                <w:tcPr>
                  <w:tcW w:w="2435" w:type="dxa"/>
                  <w:gridSpan w:val="4"/>
                  <w:noWrap/>
                  <w:vAlign w:val="center"/>
                </w:tcPr>
                <w:p w14:paraId="294EC467">
                  <w:pPr>
                    <w:pStyle w:val="109"/>
                    <w:spacing w:line="240" w:lineRule="auto"/>
                    <w:ind w:left="-105" w:leftChars="-50" w:right="-105" w:rightChars="-50"/>
                    <w:rPr>
                      <w:color w:val="auto"/>
                      <w:szCs w:val="21"/>
                    </w:rPr>
                  </w:pPr>
                  <w:r>
                    <w:rPr>
                      <w:color w:val="auto"/>
                      <w:szCs w:val="21"/>
                    </w:rPr>
                    <w:t>污染物产生</w:t>
                  </w:r>
                </w:p>
              </w:tc>
              <w:tc>
                <w:tcPr>
                  <w:tcW w:w="1177" w:type="dxa"/>
                  <w:gridSpan w:val="2"/>
                  <w:noWrap/>
                  <w:vAlign w:val="center"/>
                </w:tcPr>
                <w:p w14:paraId="4AA39C02">
                  <w:pPr>
                    <w:pStyle w:val="109"/>
                    <w:spacing w:line="240" w:lineRule="auto"/>
                    <w:ind w:left="-105" w:leftChars="-50" w:right="-105" w:rightChars="-50"/>
                    <w:rPr>
                      <w:color w:val="auto"/>
                      <w:szCs w:val="21"/>
                    </w:rPr>
                  </w:pPr>
                  <w:r>
                    <w:rPr>
                      <w:color w:val="auto"/>
                      <w:szCs w:val="21"/>
                    </w:rPr>
                    <w:t>治理措施</w:t>
                  </w:r>
                </w:p>
              </w:tc>
              <w:tc>
                <w:tcPr>
                  <w:tcW w:w="2354" w:type="dxa"/>
                  <w:gridSpan w:val="4"/>
                  <w:noWrap/>
                  <w:vAlign w:val="center"/>
                </w:tcPr>
                <w:p w14:paraId="40024298">
                  <w:pPr>
                    <w:pStyle w:val="109"/>
                    <w:spacing w:line="240" w:lineRule="auto"/>
                    <w:ind w:left="-105" w:leftChars="-50" w:right="-105" w:rightChars="-50"/>
                    <w:rPr>
                      <w:color w:val="auto"/>
                      <w:szCs w:val="21"/>
                    </w:rPr>
                  </w:pPr>
                  <w:r>
                    <w:rPr>
                      <w:color w:val="auto"/>
                      <w:szCs w:val="21"/>
                    </w:rPr>
                    <w:t>污染物排放</w:t>
                  </w:r>
                </w:p>
              </w:tc>
              <w:tc>
                <w:tcPr>
                  <w:tcW w:w="558" w:type="dxa"/>
                  <w:vMerge w:val="restart"/>
                  <w:noWrap/>
                  <w:vAlign w:val="center"/>
                </w:tcPr>
                <w:p w14:paraId="7B2EA01A">
                  <w:pPr>
                    <w:pStyle w:val="109"/>
                    <w:spacing w:line="240" w:lineRule="auto"/>
                    <w:ind w:left="-105" w:leftChars="-50" w:right="-105" w:rightChars="-50"/>
                    <w:rPr>
                      <w:color w:val="auto"/>
                      <w:szCs w:val="21"/>
                    </w:rPr>
                  </w:pPr>
                  <w:r>
                    <w:rPr>
                      <w:color w:val="auto"/>
                      <w:szCs w:val="21"/>
                    </w:rPr>
                    <w:t>排放时间/h</w:t>
                  </w:r>
                </w:p>
              </w:tc>
            </w:tr>
            <w:tr w14:paraId="4BA2A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dxa"/>
                  <w:vMerge w:val="continue"/>
                  <w:noWrap/>
                  <w:vAlign w:val="center"/>
                </w:tcPr>
                <w:p w14:paraId="7CCF902E">
                  <w:pPr>
                    <w:pStyle w:val="109"/>
                    <w:spacing w:line="240" w:lineRule="auto"/>
                    <w:ind w:left="-105" w:leftChars="-50" w:right="-105" w:rightChars="-50"/>
                    <w:rPr>
                      <w:color w:val="auto"/>
                      <w:szCs w:val="21"/>
                    </w:rPr>
                  </w:pPr>
                </w:p>
              </w:tc>
              <w:tc>
                <w:tcPr>
                  <w:tcW w:w="496" w:type="dxa"/>
                  <w:vMerge w:val="continue"/>
                  <w:noWrap/>
                  <w:vAlign w:val="center"/>
                </w:tcPr>
                <w:p w14:paraId="63CAF5BD">
                  <w:pPr>
                    <w:pStyle w:val="109"/>
                    <w:spacing w:line="240" w:lineRule="auto"/>
                    <w:ind w:left="-105" w:leftChars="-50" w:right="-105" w:rightChars="-50"/>
                    <w:rPr>
                      <w:color w:val="auto"/>
                      <w:szCs w:val="21"/>
                    </w:rPr>
                  </w:pPr>
                </w:p>
              </w:tc>
              <w:tc>
                <w:tcPr>
                  <w:tcW w:w="692" w:type="dxa"/>
                  <w:vMerge w:val="continue"/>
                  <w:noWrap/>
                  <w:vAlign w:val="center"/>
                </w:tcPr>
                <w:p w14:paraId="53D6C5CA">
                  <w:pPr>
                    <w:pStyle w:val="109"/>
                    <w:spacing w:line="240" w:lineRule="auto"/>
                    <w:ind w:left="-105" w:leftChars="-50" w:right="-105" w:rightChars="-50"/>
                    <w:rPr>
                      <w:color w:val="auto"/>
                      <w:szCs w:val="21"/>
                    </w:rPr>
                  </w:pPr>
                </w:p>
              </w:tc>
              <w:tc>
                <w:tcPr>
                  <w:tcW w:w="364" w:type="dxa"/>
                  <w:noWrap/>
                  <w:vAlign w:val="center"/>
                </w:tcPr>
                <w:p w14:paraId="63F47A2B">
                  <w:pPr>
                    <w:pStyle w:val="109"/>
                    <w:spacing w:line="240" w:lineRule="auto"/>
                    <w:ind w:left="-105" w:leftChars="-50" w:right="-105" w:rightChars="-50"/>
                    <w:rPr>
                      <w:color w:val="auto"/>
                      <w:szCs w:val="21"/>
                    </w:rPr>
                  </w:pPr>
                  <w:r>
                    <w:rPr>
                      <w:color w:val="auto"/>
                      <w:szCs w:val="21"/>
                    </w:rPr>
                    <w:t>核算</w:t>
                  </w:r>
                </w:p>
                <w:p w14:paraId="5C9F07ED">
                  <w:pPr>
                    <w:pStyle w:val="109"/>
                    <w:spacing w:line="240" w:lineRule="auto"/>
                    <w:ind w:left="-105" w:leftChars="-50" w:right="-105" w:rightChars="-50"/>
                    <w:rPr>
                      <w:color w:val="auto"/>
                      <w:szCs w:val="21"/>
                    </w:rPr>
                  </w:pPr>
                  <w:r>
                    <w:rPr>
                      <w:color w:val="auto"/>
                      <w:szCs w:val="21"/>
                    </w:rPr>
                    <w:t>方法</w:t>
                  </w:r>
                </w:p>
              </w:tc>
              <w:tc>
                <w:tcPr>
                  <w:tcW w:w="548" w:type="dxa"/>
                  <w:noWrap/>
                  <w:vAlign w:val="center"/>
                </w:tcPr>
                <w:p w14:paraId="3EE09F49">
                  <w:pPr>
                    <w:pStyle w:val="109"/>
                    <w:spacing w:line="240" w:lineRule="auto"/>
                    <w:ind w:left="-105" w:leftChars="-50" w:right="-105" w:rightChars="-50"/>
                    <w:rPr>
                      <w:rFonts w:hint="eastAsia" w:eastAsia="宋体"/>
                      <w:color w:val="auto"/>
                      <w:szCs w:val="21"/>
                      <w:lang w:val="en-US" w:eastAsia="zh-CN"/>
                    </w:rPr>
                  </w:pPr>
                  <w:r>
                    <w:rPr>
                      <w:color w:val="auto"/>
                      <w:szCs w:val="21"/>
                    </w:rPr>
                    <w:t>产生废气量m</w:t>
                  </w:r>
                  <w:r>
                    <w:rPr>
                      <w:color w:val="auto"/>
                      <w:szCs w:val="21"/>
                      <w:vertAlign w:val="superscript"/>
                    </w:rPr>
                    <w:t>3</w:t>
                  </w:r>
                  <w:r>
                    <w:rPr>
                      <w:color w:val="auto"/>
                      <w:szCs w:val="21"/>
                    </w:rPr>
                    <w:t>/</w:t>
                  </w:r>
                  <w:r>
                    <w:rPr>
                      <w:rFonts w:hint="eastAsia"/>
                      <w:color w:val="auto"/>
                      <w:szCs w:val="21"/>
                      <w:lang w:val="en-US" w:eastAsia="zh-CN"/>
                    </w:rPr>
                    <w:t>h</w:t>
                  </w:r>
                </w:p>
              </w:tc>
              <w:tc>
                <w:tcPr>
                  <w:tcW w:w="750" w:type="dxa"/>
                  <w:noWrap/>
                  <w:vAlign w:val="center"/>
                </w:tcPr>
                <w:p w14:paraId="41F82D52">
                  <w:pPr>
                    <w:pStyle w:val="109"/>
                    <w:spacing w:line="240" w:lineRule="auto"/>
                    <w:ind w:left="-105" w:leftChars="-50" w:right="-105" w:rightChars="-50"/>
                    <w:rPr>
                      <w:color w:val="auto"/>
                      <w:szCs w:val="21"/>
                    </w:rPr>
                  </w:pPr>
                  <w:r>
                    <w:rPr>
                      <w:color w:val="auto"/>
                      <w:szCs w:val="21"/>
                    </w:rPr>
                    <w:t>产生浓度mg/m</w:t>
                  </w:r>
                  <w:r>
                    <w:rPr>
                      <w:color w:val="auto"/>
                      <w:szCs w:val="21"/>
                      <w:vertAlign w:val="superscript"/>
                    </w:rPr>
                    <w:t>3</w:t>
                  </w:r>
                </w:p>
              </w:tc>
              <w:tc>
                <w:tcPr>
                  <w:tcW w:w="773" w:type="dxa"/>
                  <w:noWrap/>
                  <w:vAlign w:val="center"/>
                </w:tcPr>
                <w:p w14:paraId="48EEE634">
                  <w:pPr>
                    <w:pStyle w:val="109"/>
                    <w:spacing w:line="240" w:lineRule="auto"/>
                    <w:ind w:left="-105" w:leftChars="-50" w:right="-105" w:rightChars="-50"/>
                    <w:rPr>
                      <w:color w:val="auto"/>
                      <w:szCs w:val="21"/>
                      <w:lang w:val="en-US"/>
                    </w:rPr>
                  </w:pPr>
                  <w:r>
                    <w:rPr>
                      <w:color w:val="auto"/>
                      <w:szCs w:val="21"/>
                    </w:rPr>
                    <w:t>产生量</w:t>
                  </w:r>
                  <w:r>
                    <w:rPr>
                      <w:rFonts w:hint="eastAsia"/>
                      <w:color w:val="auto"/>
                      <w:szCs w:val="21"/>
                      <w:lang w:val="en-US"/>
                    </w:rPr>
                    <w:t>kg/h</w:t>
                  </w:r>
                </w:p>
              </w:tc>
              <w:tc>
                <w:tcPr>
                  <w:tcW w:w="646" w:type="dxa"/>
                  <w:noWrap/>
                  <w:vAlign w:val="center"/>
                </w:tcPr>
                <w:p w14:paraId="55B6575E">
                  <w:pPr>
                    <w:pStyle w:val="109"/>
                    <w:spacing w:line="240" w:lineRule="auto"/>
                    <w:ind w:left="-105" w:leftChars="-50" w:right="-105" w:rightChars="-50"/>
                    <w:rPr>
                      <w:color w:val="auto"/>
                      <w:szCs w:val="21"/>
                    </w:rPr>
                  </w:pPr>
                  <w:r>
                    <w:rPr>
                      <w:color w:val="auto"/>
                      <w:szCs w:val="21"/>
                    </w:rPr>
                    <w:t>工艺</w:t>
                  </w:r>
                </w:p>
              </w:tc>
              <w:tc>
                <w:tcPr>
                  <w:tcW w:w="531" w:type="dxa"/>
                  <w:noWrap/>
                  <w:vAlign w:val="center"/>
                </w:tcPr>
                <w:p w14:paraId="45658B4D">
                  <w:pPr>
                    <w:pStyle w:val="109"/>
                    <w:spacing w:line="240" w:lineRule="auto"/>
                    <w:ind w:left="-105" w:leftChars="-50" w:right="-105" w:rightChars="-50"/>
                    <w:rPr>
                      <w:color w:val="auto"/>
                      <w:szCs w:val="21"/>
                    </w:rPr>
                  </w:pPr>
                  <w:r>
                    <w:rPr>
                      <w:color w:val="auto"/>
                      <w:szCs w:val="21"/>
                    </w:rPr>
                    <w:t>效率（%）</w:t>
                  </w:r>
                </w:p>
              </w:tc>
              <w:tc>
                <w:tcPr>
                  <w:tcW w:w="415" w:type="dxa"/>
                  <w:noWrap/>
                  <w:vAlign w:val="center"/>
                </w:tcPr>
                <w:p w14:paraId="57BF0891">
                  <w:pPr>
                    <w:pStyle w:val="109"/>
                    <w:spacing w:line="240" w:lineRule="auto"/>
                    <w:ind w:left="-105" w:leftChars="-50" w:right="-105" w:rightChars="-50"/>
                    <w:rPr>
                      <w:color w:val="auto"/>
                      <w:szCs w:val="21"/>
                    </w:rPr>
                  </w:pPr>
                  <w:r>
                    <w:rPr>
                      <w:color w:val="auto"/>
                      <w:szCs w:val="21"/>
                    </w:rPr>
                    <w:t>核算</w:t>
                  </w:r>
                </w:p>
                <w:p w14:paraId="416F9E08">
                  <w:pPr>
                    <w:pStyle w:val="109"/>
                    <w:spacing w:line="240" w:lineRule="auto"/>
                    <w:ind w:left="-105" w:leftChars="-50" w:right="-105" w:rightChars="-50"/>
                    <w:rPr>
                      <w:color w:val="auto"/>
                      <w:szCs w:val="21"/>
                    </w:rPr>
                  </w:pPr>
                  <w:r>
                    <w:rPr>
                      <w:color w:val="auto"/>
                      <w:szCs w:val="21"/>
                    </w:rPr>
                    <w:t>方法</w:t>
                  </w:r>
                </w:p>
              </w:tc>
              <w:tc>
                <w:tcPr>
                  <w:tcW w:w="531" w:type="dxa"/>
                  <w:noWrap/>
                  <w:vAlign w:val="center"/>
                </w:tcPr>
                <w:p w14:paraId="530C9F74">
                  <w:pPr>
                    <w:pStyle w:val="109"/>
                    <w:spacing w:line="240" w:lineRule="auto"/>
                    <w:ind w:left="-105" w:leftChars="-50" w:right="-105" w:rightChars="-50"/>
                    <w:rPr>
                      <w:rFonts w:hint="eastAsia" w:eastAsia="宋体"/>
                      <w:color w:val="auto"/>
                      <w:szCs w:val="21"/>
                      <w:lang w:eastAsia="zh-CN"/>
                    </w:rPr>
                  </w:pPr>
                  <w:r>
                    <w:rPr>
                      <w:color w:val="auto"/>
                      <w:szCs w:val="21"/>
                      <w:lang w:val="en-US"/>
                    </w:rPr>
                    <w:t>排放</w:t>
                  </w:r>
                  <w:r>
                    <w:rPr>
                      <w:color w:val="auto"/>
                      <w:szCs w:val="21"/>
                    </w:rPr>
                    <w:t>废气量m</w:t>
                  </w:r>
                  <w:r>
                    <w:rPr>
                      <w:color w:val="auto"/>
                      <w:szCs w:val="21"/>
                      <w:vertAlign w:val="superscript"/>
                    </w:rPr>
                    <w:t>3</w:t>
                  </w:r>
                  <w:r>
                    <w:rPr>
                      <w:color w:val="auto"/>
                      <w:szCs w:val="21"/>
                    </w:rPr>
                    <w:t>/</w:t>
                  </w:r>
                  <w:r>
                    <w:rPr>
                      <w:rFonts w:hint="eastAsia"/>
                      <w:color w:val="auto"/>
                      <w:szCs w:val="21"/>
                      <w:lang w:val="en-US" w:eastAsia="zh-CN"/>
                    </w:rPr>
                    <w:t>h</w:t>
                  </w:r>
                </w:p>
              </w:tc>
              <w:tc>
                <w:tcPr>
                  <w:tcW w:w="760" w:type="dxa"/>
                  <w:noWrap/>
                  <w:vAlign w:val="center"/>
                </w:tcPr>
                <w:p w14:paraId="23718B5D">
                  <w:pPr>
                    <w:pStyle w:val="109"/>
                    <w:spacing w:line="240" w:lineRule="auto"/>
                    <w:ind w:left="-105" w:leftChars="-50" w:right="-105" w:rightChars="-50"/>
                    <w:rPr>
                      <w:color w:val="auto"/>
                      <w:szCs w:val="21"/>
                    </w:rPr>
                  </w:pPr>
                  <w:r>
                    <w:rPr>
                      <w:color w:val="auto"/>
                      <w:szCs w:val="21"/>
                    </w:rPr>
                    <w:t>排放浓度mg/m</w:t>
                  </w:r>
                  <w:r>
                    <w:rPr>
                      <w:color w:val="auto"/>
                      <w:szCs w:val="21"/>
                      <w:vertAlign w:val="superscript"/>
                    </w:rPr>
                    <w:t>3</w:t>
                  </w:r>
                </w:p>
              </w:tc>
              <w:tc>
                <w:tcPr>
                  <w:tcW w:w="648" w:type="dxa"/>
                  <w:noWrap/>
                  <w:vAlign w:val="center"/>
                </w:tcPr>
                <w:p w14:paraId="30C38C7C">
                  <w:pPr>
                    <w:pStyle w:val="109"/>
                    <w:spacing w:line="240" w:lineRule="auto"/>
                    <w:ind w:left="-105" w:leftChars="-50" w:right="-105" w:rightChars="-50"/>
                    <w:rPr>
                      <w:color w:val="auto"/>
                      <w:szCs w:val="21"/>
                      <w:lang w:val="en-US"/>
                    </w:rPr>
                  </w:pPr>
                  <w:r>
                    <w:rPr>
                      <w:color w:val="auto"/>
                      <w:szCs w:val="21"/>
                    </w:rPr>
                    <w:t>排放量</w:t>
                  </w:r>
                  <w:r>
                    <w:rPr>
                      <w:rFonts w:hint="eastAsia"/>
                      <w:color w:val="auto"/>
                      <w:szCs w:val="21"/>
                      <w:lang w:val="en-US"/>
                    </w:rPr>
                    <w:t>kg/h</w:t>
                  </w:r>
                </w:p>
              </w:tc>
              <w:tc>
                <w:tcPr>
                  <w:tcW w:w="558" w:type="dxa"/>
                  <w:vMerge w:val="continue"/>
                  <w:noWrap/>
                  <w:vAlign w:val="center"/>
                </w:tcPr>
                <w:p w14:paraId="20E2B562">
                  <w:pPr>
                    <w:pStyle w:val="109"/>
                    <w:spacing w:line="240" w:lineRule="auto"/>
                    <w:ind w:left="-105" w:leftChars="-50" w:right="-105" w:rightChars="-50"/>
                    <w:rPr>
                      <w:color w:val="auto"/>
                      <w:szCs w:val="21"/>
                    </w:rPr>
                  </w:pPr>
                </w:p>
              </w:tc>
            </w:tr>
            <w:tr w14:paraId="350AFE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dxa"/>
                  <w:vMerge w:val="restart"/>
                  <w:noWrap/>
                  <w:vAlign w:val="center"/>
                </w:tcPr>
                <w:p w14:paraId="6A91C7B7">
                  <w:pPr>
                    <w:pStyle w:val="109"/>
                    <w:spacing w:line="240" w:lineRule="auto"/>
                    <w:ind w:left="-105" w:leftChars="-50" w:right="-105" w:rightChars="-50"/>
                    <w:rPr>
                      <w:color w:val="auto"/>
                      <w:szCs w:val="21"/>
                      <w:lang w:val="en-US"/>
                    </w:rPr>
                  </w:pPr>
                  <w:r>
                    <w:rPr>
                      <w:rFonts w:hint="eastAsia"/>
                      <w:color w:val="auto"/>
                      <w:szCs w:val="21"/>
                      <w:lang w:val="en-US" w:eastAsia="zh-CN"/>
                    </w:rPr>
                    <w:t>360万kcal/h</w:t>
                  </w:r>
                  <w:r>
                    <w:rPr>
                      <w:color w:val="auto"/>
                      <w:szCs w:val="21"/>
                      <w:lang w:val="en-US"/>
                    </w:rPr>
                    <w:t>热风炉</w:t>
                  </w:r>
                </w:p>
              </w:tc>
              <w:tc>
                <w:tcPr>
                  <w:tcW w:w="496" w:type="dxa"/>
                  <w:vMerge w:val="restart"/>
                  <w:noWrap/>
                  <w:vAlign w:val="center"/>
                </w:tcPr>
                <w:p w14:paraId="2CE4105B">
                  <w:pPr>
                    <w:pStyle w:val="109"/>
                    <w:spacing w:line="240" w:lineRule="auto"/>
                    <w:ind w:left="-105" w:leftChars="-50" w:right="-105" w:rightChars="-50"/>
                    <w:rPr>
                      <w:color w:val="auto"/>
                      <w:szCs w:val="21"/>
                      <w:lang w:val="en-US"/>
                    </w:rPr>
                  </w:pPr>
                  <w:r>
                    <w:rPr>
                      <w:color w:val="auto"/>
                      <w:szCs w:val="21"/>
                      <w:lang w:val="en-US"/>
                    </w:rPr>
                    <w:t>热风炉</w:t>
                  </w:r>
                  <w:r>
                    <w:rPr>
                      <w:rFonts w:hint="eastAsia"/>
                      <w:color w:val="auto"/>
                      <w:szCs w:val="21"/>
                      <w:lang w:val="en-US"/>
                    </w:rPr>
                    <w:t>1</w:t>
                  </w:r>
                </w:p>
              </w:tc>
              <w:tc>
                <w:tcPr>
                  <w:tcW w:w="692" w:type="dxa"/>
                  <w:noWrap/>
                  <w:vAlign w:val="center"/>
                </w:tcPr>
                <w:p w14:paraId="3C8063C4">
                  <w:pPr>
                    <w:pStyle w:val="109"/>
                    <w:spacing w:line="240" w:lineRule="auto"/>
                    <w:ind w:left="-105" w:leftChars="-50" w:right="-105" w:rightChars="-50"/>
                    <w:rPr>
                      <w:color w:val="auto"/>
                      <w:szCs w:val="21"/>
                      <w:lang w:val="en-US"/>
                    </w:rPr>
                  </w:pPr>
                  <w:r>
                    <w:rPr>
                      <w:color w:val="auto"/>
                      <w:szCs w:val="21"/>
                      <w:lang w:val="en-US"/>
                    </w:rPr>
                    <w:t>颗粒物</w:t>
                  </w:r>
                </w:p>
              </w:tc>
              <w:tc>
                <w:tcPr>
                  <w:tcW w:w="364" w:type="dxa"/>
                  <w:vMerge w:val="restart"/>
                  <w:noWrap/>
                  <w:vAlign w:val="center"/>
                </w:tcPr>
                <w:p w14:paraId="416C1E75">
                  <w:pPr>
                    <w:pStyle w:val="109"/>
                    <w:spacing w:line="240" w:lineRule="auto"/>
                    <w:ind w:left="-105" w:leftChars="-50" w:right="-105" w:rightChars="-50"/>
                    <w:rPr>
                      <w:color w:val="auto"/>
                      <w:szCs w:val="21"/>
                      <w:lang w:val="en-US"/>
                    </w:rPr>
                  </w:pPr>
                  <w:r>
                    <w:rPr>
                      <w:color w:val="auto"/>
                      <w:szCs w:val="21"/>
                      <w:lang w:val="en-US"/>
                    </w:rPr>
                    <w:t>物料衡算法</w:t>
                  </w:r>
                </w:p>
              </w:tc>
              <w:tc>
                <w:tcPr>
                  <w:tcW w:w="548" w:type="dxa"/>
                  <w:vMerge w:val="restart"/>
                  <w:noWrap/>
                  <w:vAlign w:val="center"/>
                </w:tcPr>
                <w:p w14:paraId="0E042837">
                  <w:pPr>
                    <w:pStyle w:val="109"/>
                    <w:spacing w:line="240" w:lineRule="auto"/>
                    <w:ind w:left="-105" w:leftChars="-50" w:right="-105" w:rightChars="-50"/>
                    <w:rPr>
                      <w:color w:val="auto"/>
                      <w:szCs w:val="21"/>
                      <w:lang w:val="en-US"/>
                    </w:rPr>
                  </w:pPr>
                  <w:r>
                    <w:rPr>
                      <w:rFonts w:hint="eastAsia"/>
                      <w:color w:val="auto"/>
                      <w:szCs w:val="21"/>
                      <w:lang w:val="en-US" w:eastAsia="zh-CN"/>
                    </w:rPr>
                    <w:t>8019.59</w:t>
                  </w:r>
                </w:p>
              </w:tc>
              <w:tc>
                <w:tcPr>
                  <w:tcW w:w="750" w:type="dxa"/>
                  <w:noWrap/>
                  <w:vAlign w:val="center"/>
                </w:tcPr>
                <w:p w14:paraId="423425B2">
                  <w:pPr>
                    <w:pStyle w:val="109"/>
                    <w:spacing w:line="240" w:lineRule="auto"/>
                    <w:ind w:left="-105" w:leftChars="-50" w:right="-105" w:rightChars="-50"/>
                    <w:rPr>
                      <w:color w:val="auto"/>
                      <w:szCs w:val="21"/>
                      <w:lang w:val="en-US"/>
                    </w:rPr>
                  </w:pPr>
                  <w:r>
                    <w:rPr>
                      <w:rFonts w:hint="eastAsia"/>
                      <w:color w:val="auto"/>
                      <w:kern w:val="0"/>
                      <w:szCs w:val="21"/>
                      <w:lang w:val="en-US" w:eastAsia="zh-CN" w:bidi="ar"/>
                    </w:rPr>
                    <w:t>8175.33</w:t>
                  </w:r>
                  <w:r>
                    <w:rPr>
                      <w:rFonts w:hint="eastAsia"/>
                      <w:color w:val="auto"/>
                      <w:kern w:val="0"/>
                      <w:szCs w:val="21"/>
                      <w:lang w:val="en-US" w:bidi="ar"/>
                    </w:rPr>
                    <w:t xml:space="preserve"> </w:t>
                  </w:r>
                </w:p>
              </w:tc>
              <w:tc>
                <w:tcPr>
                  <w:tcW w:w="773" w:type="dxa"/>
                  <w:noWrap/>
                  <w:vAlign w:val="center"/>
                </w:tcPr>
                <w:p w14:paraId="2A0D9B85">
                  <w:pPr>
                    <w:widowControl/>
                    <w:jc w:val="center"/>
                    <w:textAlignment w:val="center"/>
                    <w:rPr>
                      <w:rFonts w:hint="eastAsia" w:eastAsia="宋体"/>
                      <w:color w:val="auto"/>
                      <w:szCs w:val="21"/>
                      <w:lang w:eastAsia="zh-CN"/>
                    </w:rPr>
                  </w:pPr>
                  <w:r>
                    <w:rPr>
                      <w:rFonts w:hint="eastAsia"/>
                      <w:color w:val="auto"/>
                      <w:szCs w:val="21"/>
                      <w:lang w:eastAsia="zh-CN"/>
                    </w:rPr>
                    <w:t>65.50</w:t>
                  </w:r>
                </w:p>
              </w:tc>
              <w:tc>
                <w:tcPr>
                  <w:tcW w:w="646" w:type="dxa"/>
                  <w:vMerge w:val="restart"/>
                  <w:noWrap/>
                  <w:vAlign w:val="center"/>
                </w:tcPr>
                <w:p w14:paraId="4BB0E735">
                  <w:pPr>
                    <w:pStyle w:val="109"/>
                    <w:spacing w:line="240" w:lineRule="auto"/>
                    <w:ind w:left="-105" w:leftChars="-50" w:right="-105" w:rightChars="-50"/>
                    <w:jc w:val="both"/>
                    <w:rPr>
                      <w:color w:val="auto"/>
                      <w:szCs w:val="21"/>
                      <w:lang w:val="en-US"/>
                    </w:rPr>
                  </w:pPr>
                  <w:r>
                    <w:rPr>
                      <w:rFonts w:hint="eastAsia"/>
                      <w:color w:val="auto"/>
                      <w:szCs w:val="21"/>
                      <w:lang w:val="en-US"/>
                    </w:rPr>
                    <w:t>低氮燃烧+</w:t>
                  </w:r>
                  <w:r>
                    <w:rPr>
                      <w:color w:val="auto"/>
                      <w:szCs w:val="21"/>
                      <w:lang w:val="en-US"/>
                    </w:rPr>
                    <w:t>布袋除尘器+</w:t>
                  </w:r>
                  <w:r>
                    <w:rPr>
                      <w:rFonts w:hint="eastAsia"/>
                      <w:color w:val="auto"/>
                      <w:szCs w:val="21"/>
                      <w:lang w:val="en-US"/>
                    </w:rPr>
                    <w:t>15</w:t>
                  </w:r>
                  <w:r>
                    <w:rPr>
                      <w:color w:val="auto"/>
                      <w:szCs w:val="21"/>
                      <w:lang w:val="en-US"/>
                    </w:rPr>
                    <w:t>m高排气筒</w:t>
                  </w:r>
                </w:p>
              </w:tc>
              <w:tc>
                <w:tcPr>
                  <w:tcW w:w="531" w:type="dxa"/>
                  <w:noWrap/>
                  <w:vAlign w:val="center"/>
                </w:tcPr>
                <w:p w14:paraId="51694A5E">
                  <w:pPr>
                    <w:pStyle w:val="109"/>
                    <w:spacing w:line="240" w:lineRule="auto"/>
                    <w:ind w:left="-105" w:leftChars="-50" w:right="-105" w:rightChars="-50"/>
                    <w:rPr>
                      <w:color w:val="auto"/>
                      <w:szCs w:val="21"/>
                      <w:lang w:val="en-US"/>
                    </w:rPr>
                  </w:pPr>
                  <w:r>
                    <w:rPr>
                      <w:color w:val="auto"/>
                      <w:szCs w:val="21"/>
                      <w:lang w:val="en-US"/>
                    </w:rPr>
                    <w:t>≥99.7</w:t>
                  </w:r>
                </w:p>
              </w:tc>
              <w:tc>
                <w:tcPr>
                  <w:tcW w:w="415" w:type="dxa"/>
                  <w:vMerge w:val="restart"/>
                  <w:noWrap/>
                  <w:vAlign w:val="center"/>
                </w:tcPr>
                <w:p w14:paraId="5D8DC855">
                  <w:pPr>
                    <w:pStyle w:val="109"/>
                    <w:spacing w:line="240" w:lineRule="auto"/>
                    <w:ind w:left="-105" w:leftChars="-50" w:right="-105" w:rightChars="-50"/>
                    <w:rPr>
                      <w:color w:val="auto"/>
                      <w:szCs w:val="21"/>
                      <w:lang w:val="en-US"/>
                    </w:rPr>
                  </w:pPr>
                  <w:r>
                    <w:rPr>
                      <w:color w:val="auto"/>
                      <w:szCs w:val="21"/>
                      <w:lang w:val="en-US"/>
                    </w:rPr>
                    <w:t>物料衡算法</w:t>
                  </w:r>
                </w:p>
              </w:tc>
              <w:tc>
                <w:tcPr>
                  <w:tcW w:w="531" w:type="dxa"/>
                  <w:vMerge w:val="restart"/>
                  <w:noWrap/>
                  <w:vAlign w:val="center"/>
                </w:tcPr>
                <w:p w14:paraId="7077745A">
                  <w:pPr>
                    <w:pStyle w:val="109"/>
                    <w:spacing w:line="240" w:lineRule="auto"/>
                    <w:ind w:left="-105" w:leftChars="-50" w:right="-105" w:rightChars="-50"/>
                    <w:rPr>
                      <w:color w:val="auto"/>
                      <w:szCs w:val="21"/>
                      <w:lang w:val="en-US"/>
                    </w:rPr>
                  </w:pPr>
                  <w:r>
                    <w:rPr>
                      <w:rFonts w:hint="eastAsia"/>
                      <w:color w:val="auto"/>
                      <w:szCs w:val="21"/>
                      <w:lang w:val="en-US" w:eastAsia="zh-CN"/>
                    </w:rPr>
                    <w:t>8019.59</w:t>
                  </w:r>
                </w:p>
              </w:tc>
              <w:tc>
                <w:tcPr>
                  <w:tcW w:w="760" w:type="dxa"/>
                  <w:noWrap/>
                  <w:vAlign w:val="center"/>
                </w:tcPr>
                <w:p w14:paraId="56971576">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24.53</w:t>
                  </w:r>
                </w:p>
              </w:tc>
              <w:tc>
                <w:tcPr>
                  <w:tcW w:w="648" w:type="dxa"/>
                  <w:noWrap/>
                  <w:vAlign w:val="center"/>
                </w:tcPr>
                <w:p w14:paraId="5F8B5000">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0.195</w:t>
                  </w:r>
                </w:p>
              </w:tc>
              <w:tc>
                <w:tcPr>
                  <w:tcW w:w="558" w:type="dxa"/>
                  <w:vMerge w:val="restart"/>
                  <w:noWrap/>
                  <w:vAlign w:val="center"/>
                </w:tcPr>
                <w:p w14:paraId="3C0AEA6F">
                  <w:pPr>
                    <w:pStyle w:val="109"/>
                    <w:spacing w:line="240" w:lineRule="auto"/>
                    <w:jc w:val="both"/>
                    <w:rPr>
                      <w:color w:val="auto"/>
                      <w:szCs w:val="21"/>
                      <w:lang w:val="en-US"/>
                    </w:rPr>
                  </w:pPr>
                  <w:r>
                    <w:rPr>
                      <w:rFonts w:hint="eastAsia"/>
                      <w:color w:val="auto"/>
                      <w:szCs w:val="21"/>
                      <w:lang w:val="en-US"/>
                    </w:rPr>
                    <w:t>816</w:t>
                  </w:r>
                </w:p>
              </w:tc>
            </w:tr>
            <w:tr w14:paraId="064F78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dxa"/>
                  <w:vMerge w:val="continue"/>
                  <w:noWrap/>
                  <w:vAlign w:val="center"/>
                </w:tcPr>
                <w:p w14:paraId="64F6820F">
                  <w:pPr>
                    <w:pStyle w:val="109"/>
                    <w:spacing w:line="240" w:lineRule="auto"/>
                    <w:ind w:left="-105" w:leftChars="-50" w:right="-105" w:rightChars="-50"/>
                    <w:rPr>
                      <w:color w:val="auto"/>
                      <w:szCs w:val="21"/>
                      <w:lang w:val="en-US"/>
                    </w:rPr>
                  </w:pPr>
                </w:p>
              </w:tc>
              <w:tc>
                <w:tcPr>
                  <w:tcW w:w="496" w:type="dxa"/>
                  <w:vMerge w:val="continue"/>
                  <w:noWrap/>
                  <w:vAlign w:val="center"/>
                </w:tcPr>
                <w:p w14:paraId="2D847F35">
                  <w:pPr>
                    <w:pStyle w:val="109"/>
                    <w:spacing w:line="240" w:lineRule="auto"/>
                    <w:ind w:left="-105" w:leftChars="-50" w:right="-105" w:rightChars="-50"/>
                    <w:rPr>
                      <w:color w:val="auto"/>
                      <w:szCs w:val="21"/>
                      <w:lang w:val="en-US"/>
                    </w:rPr>
                  </w:pPr>
                </w:p>
              </w:tc>
              <w:tc>
                <w:tcPr>
                  <w:tcW w:w="692" w:type="dxa"/>
                  <w:noWrap/>
                  <w:vAlign w:val="center"/>
                </w:tcPr>
                <w:p w14:paraId="7C50C886">
                  <w:pPr>
                    <w:pStyle w:val="109"/>
                    <w:spacing w:line="240" w:lineRule="auto"/>
                    <w:ind w:left="-105" w:leftChars="-50" w:right="-105" w:rightChars="-50"/>
                    <w:rPr>
                      <w:color w:val="auto"/>
                      <w:szCs w:val="21"/>
                      <w:lang w:val="en-US"/>
                    </w:rPr>
                  </w:pPr>
                  <w:r>
                    <w:rPr>
                      <w:color w:val="auto"/>
                      <w:szCs w:val="21"/>
                      <w:lang w:val="en-US"/>
                    </w:rPr>
                    <w:t>SO</w:t>
                  </w:r>
                  <w:r>
                    <w:rPr>
                      <w:color w:val="auto"/>
                      <w:szCs w:val="21"/>
                      <w:vertAlign w:val="subscript"/>
                      <w:lang w:val="en-US"/>
                    </w:rPr>
                    <w:t>2</w:t>
                  </w:r>
                </w:p>
              </w:tc>
              <w:tc>
                <w:tcPr>
                  <w:tcW w:w="364" w:type="dxa"/>
                  <w:vMerge w:val="continue"/>
                  <w:noWrap/>
                  <w:vAlign w:val="center"/>
                </w:tcPr>
                <w:p w14:paraId="76CC6FB5">
                  <w:pPr>
                    <w:pStyle w:val="109"/>
                    <w:spacing w:line="240" w:lineRule="auto"/>
                    <w:ind w:left="-105" w:leftChars="-50" w:right="-105" w:rightChars="-50"/>
                    <w:rPr>
                      <w:color w:val="auto"/>
                      <w:szCs w:val="21"/>
                      <w:lang w:val="en-US"/>
                    </w:rPr>
                  </w:pPr>
                </w:p>
              </w:tc>
              <w:tc>
                <w:tcPr>
                  <w:tcW w:w="548" w:type="dxa"/>
                  <w:vMerge w:val="continue"/>
                  <w:noWrap/>
                  <w:vAlign w:val="center"/>
                </w:tcPr>
                <w:p w14:paraId="437B06A3">
                  <w:pPr>
                    <w:pStyle w:val="109"/>
                    <w:spacing w:line="240" w:lineRule="auto"/>
                    <w:ind w:left="-105" w:leftChars="-50" w:right="-105" w:rightChars="-50"/>
                    <w:rPr>
                      <w:color w:val="auto"/>
                      <w:szCs w:val="21"/>
                      <w:lang w:val="en-US"/>
                    </w:rPr>
                  </w:pPr>
                </w:p>
              </w:tc>
              <w:tc>
                <w:tcPr>
                  <w:tcW w:w="750" w:type="dxa"/>
                  <w:noWrap/>
                  <w:vAlign w:val="center"/>
                </w:tcPr>
                <w:p w14:paraId="396CA0B2">
                  <w:pPr>
                    <w:pStyle w:val="109"/>
                    <w:spacing w:line="240" w:lineRule="auto"/>
                    <w:ind w:left="-105" w:leftChars="-50" w:right="-105" w:rightChars="-50"/>
                    <w:rPr>
                      <w:color w:val="auto"/>
                      <w:szCs w:val="21"/>
                      <w:lang w:val="en-US"/>
                    </w:rPr>
                  </w:pPr>
                  <w:r>
                    <w:rPr>
                      <w:rFonts w:hint="eastAsia"/>
                      <w:color w:val="auto"/>
                      <w:kern w:val="0"/>
                      <w:szCs w:val="21"/>
                      <w:lang w:val="en-US" w:bidi="ar"/>
                    </w:rPr>
                    <w:t>99.18</w:t>
                  </w:r>
                </w:p>
              </w:tc>
              <w:tc>
                <w:tcPr>
                  <w:tcW w:w="773" w:type="dxa"/>
                  <w:noWrap/>
                  <w:vAlign w:val="center"/>
                </w:tcPr>
                <w:p w14:paraId="1314089D">
                  <w:pPr>
                    <w:widowControl/>
                    <w:jc w:val="center"/>
                    <w:textAlignment w:val="center"/>
                    <w:rPr>
                      <w:rFonts w:hint="eastAsia" w:eastAsia="宋体"/>
                      <w:color w:val="auto"/>
                      <w:szCs w:val="21"/>
                      <w:lang w:eastAsia="zh-CN"/>
                    </w:rPr>
                  </w:pPr>
                  <w:r>
                    <w:rPr>
                      <w:rFonts w:hint="eastAsia"/>
                      <w:color w:val="auto"/>
                      <w:lang w:eastAsia="zh-CN"/>
                    </w:rPr>
                    <w:t>0.80</w:t>
                  </w:r>
                </w:p>
              </w:tc>
              <w:tc>
                <w:tcPr>
                  <w:tcW w:w="646" w:type="dxa"/>
                  <w:vMerge w:val="continue"/>
                  <w:noWrap/>
                  <w:vAlign w:val="center"/>
                </w:tcPr>
                <w:p w14:paraId="447D2125">
                  <w:pPr>
                    <w:pStyle w:val="109"/>
                    <w:spacing w:line="240" w:lineRule="auto"/>
                    <w:ind w:left="-105" w:leftChars="-50" w:right="-105" w:rightChars="-50"/>
                    <w:rPr>
                      <w:color w:val="auto"/>
                      <w:szCs w:val="21"/>
                      <w:lang w:val="en-US"/>
                    </w:rPr>
                  </w:pPr>
                </w:p>
              </w:tc>
              <w:tc>
                <w:tcPr>
                  <w:tcW w:w="531" w:type="dxa"/>
                  <w:noWrap/>
                  <w:vAlign w:val="center"/>
                </w:tcPr>
                <w:p w14:paraId="531242D5">
                  <w:pPr>
                    <w:pStyle w:val="109"/>
                    <w:spacing w:line="240" w:lineRule="auto"/>
                    <w:ind w:left="-105" w:leftChars="-50" w:right="-105" w:rightChars="-50"/>
                    <w:rPr>
                      <w:color w:val="auto"/>
                      <w:szCs w:val="21"/>
                      <w:lang w:val="en-US"/>
                    </w:rPr>
                  </w:pPr>
                  <w:r>
                    <w:rPr>
                      <w:rFonts w:hint="eastAsia"/>
                      <w:color w:val="auto"/>
                      <w:szCs w:val="21"/>
                      <w:lang w:val="en-US"/>
                    </w:rPr>
                    <w:t>/</w:t>
                  </w:r>
                </w:p>
              </w:tc>
              <w:tc>
                <w:tcPr>
                  <w:tcW w:w="415" w:type="dxa"/>
                  <w:vMerge w:val="continue"/>
                  <w:noWrap/>
                  <w:vAlign w:val="center"/>
                </w:tcPr>
                <w:p w14:paraId="6CAF3C88">
                  <w:pPr>
                    <w:pStyle w:val="109"/>
                    <w:spacing w:line="240" w:lineRule="auto"/>
                    <w:ind w:left="-105" w:leftChars="-50" w:right="-105" w:rightChars="-50"/>
                    <w:rPr>
                      <w:color w:val="auto"/>
                      <w:szCs w:val="21"/>
                      <w:lang w:val="en-US"/>
                    </w:rPr>
                  </w:pPr>
                </w:p>
              </w:tc>
              <w:tc>
                <w:tcPr>
                  <w:tcW w:w="531" w:type="dxa"/>
                  <w:vMerge w:val="continue"/>
                  <w:noWrap/>
                  <w:vAlign w:val="center"/>
                </w:tcPr>
                <w:p w14:paraId="13DA8A46">
                  <w:pPr>
                    <w:pStyle w:val="109"/>
                    <w:spacing w:line="240" w:lineRule="auto"/>
                    <w:ind w:left="-105" w:leftChars="-50" w:right="-105" w:rightChars="-50"/>
                    <w:rPr>
                      <w:color w:val="auto"/>
                      <w:szCs w:val="21"/>
                      <w:lang w:val="en-US"/>
                    </w:rPr>
                  </w:pPr>
                </w:p>
              </w:tc>
              <w:tc>
                <w:tcPr>
                  <w:tcW w:w="760" w:type="dxa"/>
                  <w:noWrap/>
                  <w:vAlign w:val="center"/>
                </w:tcPr>
                <w:p w14:paraId="3FBC15BB">
                  <w:pPr>
                    <w:widowControl/>
                    <w:jc w:val="center"/>
                    <w:textAlignment w:val="center"/>
                    <w:rPr>
                      <w:color w:val="auto"/>
                      <w:szCs w:val="21"/>
                    </w:rPr>
                  </w:pPr>
                  <w:r>
                    <w:rPr>
                      <w:rFonts w:hint="eastAsia"/>
                      <w:color w:val="auto"/>
                      <w:kern w:val="0"/>
                      <w:sz w:val="22"/>
                      <w:szCs w:val="22"/>
                      <w:lang w:bidi="ar"/>
                    </w:rPr>
                    <w:t>99.18</w:t>
                  </w:r>
                </w:p>
              </w:tc>
              <w:tc>
                <w:tcPr>
                  <w:tcW w:w="648" w:type="dxa"/>
                  <w:noWrap/>
                  <w:vAlign w:val="center"/>
                </w:tcPr>
                <w:p w14:paraId="05C53101">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0.80</w:t>
                  </w:r>
                </w:p>
              </w:tc>
              <w:tc>
                <w:tcPr>
                  <w:tcW w:w="558" w:type="dxa"/>
                  <w:vMerge w:val="continue"/>
                  <w:noWrap/>
                  <w:vAlign w:val="center"/>
                </w:tcPr>
                <w:p w14:paraId="42C9F840">
                  <w:pPr>
                    <w:pStyle w:val="109"/>
                    <w:spacing w:line="240" w:lineRule="auto"/>
                    <w:ind w:left="-105" w:leftChars="-50"/>
                    <w:jc w:val="right"/>
                    <w:rPr>
                      <w:color w:val="auto"/>
                      <w:szCs w:val="21"/>
                    </w:rPr>
                  </w:pPr>
                </w:p>
              </w:tc>
            </w:tr>
            <w:tr w14:paraId="7CD31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61" w:type="dxa"/>
                  <w:vMerge w:val="continue"/>
                  <w:noWrap/>
                  <w:vAlign w:val="center"/>
                </w:tcPr>
                <w:p w14:paraId="3A847253">
                  <w:pPr>
                    <w:pStyle w:val="109"/>
                    <w:spacing w:line="240" w:lineRule="auto"/>
                    <w:ind w:left="-105" w:leftChars="-50" w:right="-105" w:rightChars="-50"/>
                    <w:rPr>
                      <w:color w:val="auto"/>
                      <w:szCs w:val="21"/>
                      <w:lang w:val="en-US"/>
                    </w:rPr>
                  </w:pPr>
                </w:p>
              </w:tc>
              <w:tc>
                <w:tcPr>
                  <w:tcW w:w="496" w:type="dxa"/>
                  <w:vMerge w:val="continue"/>
                  <w:noWrap/>
                  <w:vAlign w:val="center"/>
                </w:tcPr>
                <w:p w14:paraId="6C52D0B5">
                  <w:pPr>
                    <w:pStyle w:val="109"/>
                    <w:spacing w:line="240" w:lineRule="auto"/>
                    <w:ind w:left="-105" w:leftChars="-50" w:right="-105" w:rightChars="-50"/>
                    <w:rPr>
                      <w:color w:val="auto"/>
                      <w:szCs w:val="21"/>
                      <w:lang w:val="en-US"/>
                    </w:rPr>
                  </w:pPr>
                </w:p>
              </w:tc>
              <w:tc>
                <w:tcPr>
                  <w:tcW w:w="692" w:type="dxa"/>
                  <w:noWrap/>
                  <w:vAlign w:val="center"/>
                </w:tcPr>
                <w:p w14:paraId="431CE12B">
                  <w:pPr>
                    <w:pStyle w:val="109"/>
                    <w:spacing w:line="240" w:lineRule="auto"/>
                    <w:ind w:left="-105" w:leftChars="-50" w:right="-105" w:rightChars="-50"/>
                    <w:rPr>
                      <w:color w:val="auto"/>
                      <w:szCs w:val="21"/>
                      <w:lang w:val="en-US"/>
                    </w:rPr>
                  </w:pPr>
                  <w:r>
                    <w:rPr>
                      <w:color w:val="auto"/>
                      <w:szCs w:val="21"/>
                      <w:lang w:val="en-US"/>
                    </w:rPr>
                    <w:t>NO</w:t>
                  </w:r>
                  <w:r>
                    <w:rPr>
                      <w:color w:val="auto"/>
                      <w:szCs w:val="21"/>
                      <w:vertAlign w:val="subscript"/>
                      <w:lang w:val="en-US"/>
                    </w:rPr>
                    <w:t>X</w:t>
                  </w:r>
                </w:p>
              </w:tc>
              <w:tc>
                <w:tcPr>
                  <w:tcW w:w="364" w:type="dxa"/>
                  <w:noWrap/>
                  <w:vAlign w:val="center"/>
                </w:tcPr>
                <w:p w14:paraId="75A4DC47">
                  <w:pPr>
                    <w:pStyle w:val="109"/>
                    <w:spacing w:line="240" w:lineRule="auto"/>
                    <w:ind w:left="-105" w:leftChars="-50" w:right="-105" w:rightChars="-50"/>
                    <w:rPr>
                      <w:color w:val="auto"/>
                      <w:szCs w:val="21"/>
                      <w:lang w:val="en-US"/>
                    </w:rPr>
                  </w:pPr>
                  <w:r>
                    <w:rPr>
                      <w:rFonts w:hint="eastAsia"/>
                      <w:color w:val="auto"/>
                      <w:szCs w:val="21"/>
                      <w:lang w:val="en-US"/>
                    </w:rPr>
                    <w:t>系数法</w:t>
                  </w:r>
                </w:p>
              </w:tc>
              <w:tc>
                <w:tcPr>
                  <w:tcW w:w="548" w:type="dxa"/>
                  <w:vMerge w:val="continue"/>
                  <w:noWrap/>
                  <w:vAlign w:val="center"/>
                </w:tcPr>
                <w:p w14:paraId="5621FAD8">
                  <w:pPr>
                    <w:pStyle w:val="109"/>
                    <w:spacing w:line="240" w:lineRule="auto"/>
                    <w:ind w:left="-105" w:leftChars="-50" w:right="-105" w:rightChars="-50"/>
                    <w:rPr>
                      <w:color w:val="auto"/>
                      <w:szCs w:val="21"/>
                      <w:lang w:val="en-US"/>
                    </w:rPr>
                  </w:pPr>
                </w:p>
              </w:tc>
              <w:tc>
                <w:tcPr>
                  <w:tcW w:w="750" w:type="dxa"/>
                  <w:noWrap/>
                  <w:vAlign w:val="center"/>
                </w:tcPr>
                <w:p w14:paraId="68A3A3C1">
                  <w:pPr>
                    <w:pStyle w:val="109"/>
                    <w:spacing w:line="240" w:lineRule="auto"/>
                    <w:ind w:left="-105" w:leftChars="-50" w:right="-105" w:rightChars="-50"/>
                    <w:rPr>
                      <w:rFonts w:hint="eastAsia" w:eastAsia="宋体"/>
                      <w:color w:val="auto"/>
                      <w:szCs w:val="21"/>
                      <w:lang w:val="en-US" w:eastAsia="zh-CN"/>
                    </w:rPr>
                  </w:pPr>
                  <w:r>
                    <w:rPr>
                      <w:rFonts w:hint="eastAsia"/>
                      <w:color w:val="auto"/>
                      <w:kern w:val="0"/>
                      <w:szCs w:val="21"/>
                      <w:lang w:val="en-US" w:eastAsia="zh-CN" w:bidi="ar"/>
                    </w:rPr>
                    <w:t>170.02</w:t>
                  </w:r>
                </w:p>
              </w:tc>
              <w:tc>
                <w:tcPr>
                  <w:tcW w:w="773" w:type="dxa"/>
                  <w:noWrap/>
                  <w:vAlign w:val="center"/>
                </w:tcPr>
                <w:p w14:paraId="3A3AE997">
                  <w:pPr>
                    <w:widowControl/>
                    <w:jc w:val="center"/>
                    <w:textAlignment w:val="center"/>
                    <w:rPr>
                      <w:rFonts w:hint="default" w:eastAsia="宋体"/>
                      <w:color w:val="auto"/>
                      <w:szCs w:val="21"/>
                      <w:lang w:val="en-US" w:eastAsia="zh-CN"/>
                    </w:rPr>
                  </w:pPr>
                  <w:r>
                    <w:rPr>
                      <w:rFonts w:hint="eastAsia"/>
                      <w:color w:val="auto"/>
                      <w:szCs w:val="21"/>
                      <w:lang w:val="en-US" w:eastAsia="zh-CN"/>
                    </w:rPr>
                    <w:t>1.36</w:t>
                  </w:r>
                </w:p>
              </w:tc>
              <w:tc>
                <w:tcPr>
                  <w:tcW w:w="646" w:type="dxa"/>
                  <w:vMerge w:val="continue"/>
                  <w:noWrap/>
                  <w:vAlign w:val="center"/>
                </w:tcPr>
                <w:p w14:paraId="16FC490A">
                  <w:pPr>
                    <w:pStyle w:val="109"/>
                    <w:spacing w:line="240" w:lineRule="auto"/>
                    <w:ind w:left="-105" w:leftChars="-50" w:right="-105" w:rightChars="-50"/>
                    <w:rPr>
                      <w:color w:val="auto"/>
                      <w:szCs w:val="21"/>
                      <w:lang w:val="en-US"/>
                    </w:rPr>
                  </w:pPr>
                </w:p>
              </w:tc>
              <w:tc>
                <w:tcPr>
                  <w:tcW w:w="531" w:type="dxa"/>
                  <w:noWrap/>
                  <w:vAlign w:val="center"/>
                </w:tcPr>
                <w:p w14:paraId="2120EB13">
                  <w:pPr>
                    <w:pStyle w:val="109"/>
                    <w:spacing w:line="240" w:lineRule="auto"/>
                    <w:ind w:left="-105" w:leftChars="-50" w:right="-105" w:rightChars="-50"/>
                    <w:rPr>
                      <w:color w:val="auto"/>
                      <w:szCs w:val="21"/>
                      <w:lang w:val="en-US"/>
                    </w:rPr>
                  </w:pPr>
                  <w:r>
                    <w:rPr>
                      <w:rFonts w:hint="eastAsia"/>
                      <w:color w:val="auto"/>
                      <w:szCs w:val="21"/>
                      <w:lang w:val="en-US"/>
                    </w:rPr>
                    <w:t>30.39</w:t>
                  </w:r>
                </w:p>
              </w:tc>
              <w:tc>
                <w:tcPr>
                  <w:tcW w:w="415" w:type="dxa"/>
                  <w:noWrap/>
                  <w:vAlign w:val="center"/>
                </w:tcPr>
                <w:p w14:paraId="5B3D2879">
                  <w:pPr>
                    <w:pStyle w:val="109"/>
                    <w:spacing w:line="240" w:lineRule="auto"/>
                    <w:ind w:left="-105" w:leftChars="-50" w:right="-105" w:rightChars="-50"/>
                    <w:rPr>
                      <w:color w:val="auto"/>
                      <w:szCs w:val="21"/>
                      <w:lang w:val="en-US"/>
                    </w:rPr>
                  </w:pPr>
                  <w:r>
                    <w:rPr>
                      <w:rFonts w:hint="eastAsia"/>
                      <w:color w:val="auto"/>
                      <w:szCs w:val="21"/>
                      <w:lang w:val="en-US"/>
                    </w:rPr>
                    <w:t>系数法</w:t>
                  </w:r>
                </w:p>
              </w:tc>
              <w:tc>
                <w:tcPr>
                  <w:tcW w:w="531" w:type="dxa"/>
                  <w:vMerge w:val="continue"/>
                  <w:noWrap/>
                  <w:vAlign w:val="center"/>
                </w:tcPr>
                <w:p w14:paraId="3E8164C6">
                  <w:pPr>
                    <w:pStyle w:val="109"/>
                    <w:spacing w:line="240" w:lineRule="auto"/>
                    <w:ind w:left="-105" w:leftChars="-50" w:right="-105" w:rightChars="-50"/>
                    <w:rPr>
                      <w:color w:val="auto"/>
                      <w:szCs w:val="21"/>
                      <w:lang w:val="en-US"/>
                    </w:rPr>
                  </w:pPr>
                </w:p>
              </w:tc>
              <w:tc>
                <w:tcPr>
                  <w:tcW w:w="760" w:type="dxa"/>
                  <w:noWrap/>
                  <w:vAlign w:val="center"/>
                </w:tcPr>
                <w:p w14:paraId="2CBC5931">
                  <w:pPr>
                    <w:pStyle w:val="109"/>
                    <w:spacing w:line="240" w:lineRule="auto"/>
                    <w:ind w:left="-105" w:leftChars="-50" w:right="-105" w:rightChars="-50"/>
                    <w:rPr>
                      <w:rFonts w:hint="eastAsia" w:eastAsia="宋体"/>
                      <w:color w:val="auto"/>
                      <w:szCs w:val="21"/>
                      <w:lang w:eastAsia="zh-CN"/>
                    </w:rPr>
                  </w:pPr>
                  <w:r>
                    <w:rPr>
                      <w:rFonts w:hint="eastAsia"/>
                      <w:color w:val="auto"/>
                      <w:kern w:val="0"/>
                      <w:szCs w:val="21"/>
                      <w:lang w:val="en-US" w:eastAsia="zh-CN" w:bidi="ar"/>
                    </w:rPr>
                    <w:t>118.35</w:t>
                  </w:r>
                </w:p>
              </w:tc>
              <w:tc>
                <w:tcPr>
                  <w:tcW w:w="648" w:type="dxa"/>
                  <w:noWrap/>
                  <w:vAlign w:val="center"/>
                </w:tcPr>
                <w:p w14:paraId="0F39813E">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0.95</w:t>
                  </w:r>
                </w:p>
              </w:tc>
              <w:tc>
                <w:tcPr>
                  <w:tcW w:w="558" w:type="dxa"/>
                  <w:vMerge w:val="continue"/>
                  <w:noWrap/>
                  <w:vAlign w:val="center"/>
                </w:tcPr>
                <w:p w14:paraId="0219F972">
                  <w:pPr>
                    <w:pStyle w:val="109"/>
                    <w:spacing w:line="240" w:lineRule="auto"/>
                    <w:ind w:left="-105" w:leftChars="-50"/>
                    <w:jc w:val="right"/>
                    <w:rPr>
                      <w:color w:val="auto"/>
                      <w:szCs w:val="21"/>
                    </w:rPr>
                  </w:pPr>
                </w:p>
              </w:tc>
            </w:tr>
            <w:tr w14:paraId="4A922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61" w:type="dxa"/>
                  <w:vMerge w:val="restart"/>
                  <w:noWrap/>
                  <w:vAlign w:val="center"/>
                </w:tcPr>
                <w:p w14:paraId="6A36421D">
                  <w:pPr>
                    <w:pStyle w:val="109"/>
                    <w:spacing w:line="240" w:lineRule="auto"/>
                    <w:ind w:left="-105" w:leftChars="-50" w:right="-105" w:rightChars="-50"/>
                    <w:rPr>
                      <w:color w:val="auto"/>
                      <w:szCs w:val="21"/>
                      <w:lang w:val="en-US"/>
                    </w:rPr>
                  </w:pPr>
                  <w:r>
                    <w:rPr>
                      <w:rFonts w:hint="eastAsia"/>
                      <w:color w:val="auto"/>
                      <w:szCs w:val="21"/>
                      <w:lang w:val="en-US" w:eastAsia="zh-CN"/>
                    </w:rPr>
                    <w:t>360万kcal/h</w:t>
                  </w:r>
                  <w:r>
                    <w:rPr>
                      <w:color w:val="auto"/>
                      <w:szCs w:val="21"/>
                      <w:lang w:val="en-US"/>
                    </w:rPr>
                    <w:t>热风炉</w:t>
                  </w:r>
                </w:p>
              </w:tc>
              <w:tc>
                <w:tcPr>
                  <w:tcW w:w="496" w:type="dxa"/>
                  <w:vMerge w:val="restart"/>
                  <w:shd w:val="clear" w:color="auto" w:fill="auto"/>
                  <w:noWrap/>
                  <w:vAlign w:val="center"/>
                </w:tcPr>
                <w:p w14:paraId="08ED5001">
                  <w:pPr>
                    <w:pStyle w:val="109"/>
                    <w:spacing w:line="240" w:lineRule="auto"/>
                    <w:ind w:left="-105" w:leftChars="-50" w:right="-105" w:rightChars="-50"/>
                    <w:rPr>
                      <w:color w:val="auto"/>
                      <w:szCs w:val="21"/>
                      <w:lang w:val="en-US"/>
                    </w:rPr>
                  </w:pPr>
                  <w:r>
                    <w:rPr>
                      <w:color w:val="auto"/>
                      <w:szCs w:val="21"/>
                      <w:lang w:val="en-US"/>
                    </w:rPr>
                    <w:t>热风炉</w:t>
                  </w:r>
                  <w:r>
                    <w:rPr>
                      <w:rFonts w:hint="eastAsia"/>
                      <w:color w:val="auto"/>
                      <w:szCs w:val="21"/>
                      <w:lang w:val="en-US"/>
                    </w:rPr>
                    <w:t>2</w:t>
                  </w:r>
                </w:p>
              </w:tc>
              <w:tc>
                <w:tcPr>
                  <w:tcW w:w="692" w:type="dxa"/>
                  <w:shd w:val="clear" w:color="auto" w:fill="auto"/>
                  <w:noWrap/>
                  <w:vAlign w:val="center"/>
                </w:tcPr>
                <w:p w14:paraId="277DD887">
                  <w:pPr>
                    <w:pStyle w:val="109"/>
                    <w:spacing w:line="240" w:lineRule="auto"/>
                    <w:ind w:left="-105" w:leftChars="-50" w:right="-105" w:rightChars="-50"/>
                    <w:rPr>
                      <w:color w:val="auto"/>
                      <w:szCs w:val="21"/>
                      <w:lang w:val="en-US"/>
                    </w:rPr>
                  </w:pPr>
                  <w:r>
                    <w:rPr>
                      <w:color w:val="auto"/>
                      <w:szCs w:val="21"/>
                      <w:lang w:val="en-US"/>
                    </w:rPr>
                    <w:t>颗粒物</w:t>
                  </w:r>
                </w:p>
              </w:tc>
              <w:tc>
                <w:tcPr>
                  <w:tcW w:w="364" w:type="dxa"/>
                  <w:vMerge w:val="restart"/>
                  <w:shd w:val="clear" w:color="auto" w:fill="auto"/>
                  <w:noWrap/>
                  <w:vAlign w:val="center"/>
                </w:tcPr>
                <w:p w14:paraId="765B199F">
                  <w:pPr>
                    <w:pStyle w:val="109"/>
                    <w:spacing w:line="240" w:lineRule="auto"/>
                    <w:ind w:left="-105" w:leftChars="-50" w:right="-105" w:rightChars="-50"/>
                    <w:rPr>
                      <w:color w:val="auto"/>
                      <w:szCs w:val="21"/>
                      <w:lang w:val="en-US"/>
                    </w:rPr>
                  </w:pPr>
                  <w:r>
                    <w:rPr>
                      <w:color w:val="auto"/>
                      <w:szCs w:val="21"/>
                      <w:lang w:val="en-US"/>
                    </w:rPr>
                    <w:t>物料衡算法</w:t>
                  </w:r>
                </w:p>
              </w:tc>
              <w:tc>
                <w:tcPr>
                  <w:tcW w:w="548" w:type="dxa"/>
                  <w:vMerge w:val="restart"/>
                  <w:shd w:val="clear" w:color="auto" w:fill="auto"/>
                  <w:noWrap/>
                  <w:vAlign w:val="center"/>
                </w:tcPr>
                <w:p w14:paraId="4DAC2748">
                  <w:pPr>
                    <w:pStyle w:val="109"/>
                    <w:spacing w:line="240" w:lineRule="auto"/>
                    <w:ind w:left="-105" w:leftChars="-50" w:right="-105" w:rightChars="-50"/>
                    <w:rPr>
                      <w:rFonts w:hint="eastAsia" w:eastAsia="宋体"/>
                      <w:color w:val="auto"/>
                      <w:szCs w:val="21"/>
                      <w:lang w:val="en-US" w:eastAsia="zh-CN"/>
                    </w:rPr>
                  </w:pPr>
                  <w:r>
                    <w:rPr>
                      <w:rFonts w:hint="eastAsia"/>
                      <w:color w:val="auto"/>
                      <w:szCs w:val="21"/>
                      <w:lang w:val="en-US" w:eastAsia="zh-CN"/>
                    </w:rPr>
                    <w:t>8019.59</w:t>
                  </w:r>
                </w:p>
              </w:tc>
              <w:tc>
                <w:tcPr>
                  <w:tcW w:w="750" w:type="dxa"/>
                  <w:shd w:val="clear" w:color="auto" w:fill="auto"/>
                  <w:noWrap/>
                  <w:vAlign w:val="center"/>
                </w:tcPr>
                <w:p w14:paraId="6AADBCE2">
                  <w:pPr>
                    <w:pStyle w:val="109"/>
                    <w:spacing w:line="240" w:lineRule="auto"/>
                    <w:ind w:left="-105" w:leftChars="-50" w:right="-105" w:rightChars="-50"/>
                    <w:rPr>
                      <w:color w:val="auto"/>
                      <w:szCs w:val="21"/>
                      <w:lang w:val="en-US"/>
                    </w:rPr>
                  </w:pPr>
                  <w:r>
                    <w:rPr>
                      <w:rFonts w:hint="eastAsia"/>
                      <w:color w:val="auto"/>
                      <w:kern w:val="0"/>
                      <w:szCs w:val="21"/>
                      <w:lang w:val="en-US" w:eastAsia="zh-CN" w:bidi="ar"/>
                    </w:rPr>
                    <w:t>8175.33</w:t>
                  </w:r>
                  <w:r>
                    <w:rPr>
                      <w:rFonts w:hint="eastAsia"/>
                      <w:color w:val="auto"/>
                      <w:kern w:val="0"/>
                      <w:szCs w:val="21"/>
                      <w:lang w:val="en-US" w:bidi="ar"/>
                    </w:rPr>
                    <w:t xml:space="preserve"> </w:t>
                  </w:r>
                </w:p>
              </w:tc>
              <w:tc>
                <w:tcPr>
                  <w:tcW w:w="773" w:type="dxa"/>
                  <w:shd w:val="clear" w:color="auto" w:fill="auto"/>
                  <w:noWrap/>
                  <w:vAlign w:val="center"/>
                </w:tcPr>
                <w:p w14:paraId="7D39139C">
                  <w:pPr>
                    <w:widowControl/>
                    <w:jc w:val="center"/>
                    <w:textAlignment w:val="center"/>
                    <w:rPr>
                      <w:rFonts w:hint="eastAsia" w:eastAsia="宋体"/>
                      <w:color w:val="auto"/>
                      <w:szCs w:val="21"/>
                      <w:lang w:eastAsia="zh-CN"/>
                    </w:rPr>
                  </w:pPr>
                  <w:r>
                    <w:rPr>
                      <w:rFonts w:hint="eastAsia"/>
                      <w:color w:val="auto"/>
                      <w:szCs w:val="21"/>
                      <w:lang w:eastAsia="zh-CN"/>
                    </w:rPr>
                    <w:t>65.50</w:t>
                  </w:r>
                </w:p>
              </w:tc>
              <w:tc>
                <w:tcPr>
                  <w:tcW w:w="646" w:type="dxa"/>
                  <w:vMerge w:val="restart"/>
                  <w:shd w:val="clear" w:color="auto" w:fill="auto"/>
                  <w:noWrap/>
                  <w:vAlign w:val="center"/>
                </w:tcPr>
                <w:p w14:paraId="3D831375">
                  <w:pPr>
                    <w:pStyle w:val="109"/>
                    <w:spacing w:line="240" w:lineRule="auto"/>
                    <w:ind w:left="-105" w:leftChars="-50" w:right="-105" w:rightChars="-50"/>
                    <w:jc w:val="both"/>
                    <w:rPr>
                      <w:color w:val="auto"/>
                      <w:szCs w:val="21"/>
                      <w:lang w:val="en-US"/>
                    </w:rPr>
                  </w:pPr>
                  <w:r>
                    <w:rPr>
                      <w:rFonts w:hint="eastAsia"/>
                      <w:color w:val="auto"/>
                      <w:szCs w:val="21"/>
                      <w:lang w:val="en-US"/>
                    </w:rPr>
                    <w:t>低氮燃烧+</w:t>
                  </w:r>
                  <w:r>
                    <w:rPr>
                      <w:color w:val="auto"/>
                      <w:szCs w:val="21"/>
                      <w:lang w:val="en-US"/>
                    </w:rPr>
                    <w:t>布袋除尘器+</w:t>
                  </w:r>
                  <w:r>
                    <w:rPr>
                      <w:rFonts w:hint="eastAsia"/>
                      <w:color w:val="auto"/>
                      <w:szCs w:val="21"/>
                      <w:lang w:val="en-US"/>
                    </w:rPr>
                    <w:t>15</w:t>
                  </w:r>
                  <w:r>
                    <w:rPr>
                      <w:color w:val="auto"/>
                      <w:szCs w:val="21"/>
                      <w:lang w:val="en-US"/>
                    </w:rPr>
                    <w:t>m高排气筒</w:t>
                  </w:r>
                </w:p>
              </w:tc>
              <w:tc>
                <w:tcPr>
                  <w:tcW w:w="531" w:type="dxa"/>
                  <w:shd w:val="clear" w:color="auto" w:fill="auto"/>
                  <w:noWrap/>
                  <w:vAlign w:val="center"/>
                </w:tcPr>
                <w:p w14:paraId="63B4ED2A">
                  <w:pPr>
                    <w:pStyle w:val="109"/>
                    <w:spacing w:line="240" w:lineRule="auto"/>
                    <w:ind w:left="-105" w:leftChars="-50" w:right="-105" w:rightChars="-50"/>
                    <w:rPr>
                      <w:color w:val="auto"/>
                      <w:szCs w:val="21"/>
                      <w:lang w:val="en-US"/>
                    </w:rPr>
                  </w:pPr>
                  <w:r>
                    <w:rPr>
                      <w:color w:val="auto"/>
                      <w:szCs w:val="21"/>
                      <w:lang w:val="en-US"/>
                    </w:rPr>
                    <w:t>≥99.7</w:t>
                  </w:r>
                </w:p>
              </w:tc>
              <w:tc>
                <w:tcPr>
                  <w:tcW w:w="415" w:type="dxa"/>
                  <w:vMerge w:val="restart"/>
                  <w:shd w:val="clear" w:color="auto" w:fill="auto"/>
                  <w:noWrap/>
                  <w:vAlign w:val="center"/>
                </w:tcPr>
                <w:p w14:paraId="4EFDFDF1">
                  <w:pPr>
                    <w:pStyle w:val="109"/>
                    <w:spacing w:line="240" w:lineRule="auto"/>
                    <w:ind w:left="-105" w:leftChars="-50" w:right="-105" w:rightChars="-50"/>
                    <w:rPr>
                      <w:color w:val="auto"/>
                      <w:szCs w:val="21"/>
                      <w:lang w:val="en-US"/>
                    </w:rPr>
                  </w:pPr>
                  <w:r>
                    <w:rPr>
                      <w:color w:val="auto"/>
                      <w:szCs w:val="21"/>
                      <w:lang w:val="en-US"/>
                    </w:rPr>
                    <w:t>物料衡算法</w:t>
                  </w:r>
                </w:p>
              </w:tc>
              <w:tc>
                <w:tcPr>
                  <w:tcW w:w="531" w:type="dxa"/>
                  <w:vMerge w:val="restart"/>
                  <w:shd w:val="clear" w:color="auto" w:fill="auto"/>
                  <w:noWrap/>
                  <w:vAlign w:val="center"/>
                </w:tcPr>
                <w:p w14:paraId="5FE0EC5C">
                  <w:pPr>
                    <w:pStyle w:val="109"/>
                    <w:spacing w:line="240" w:lineRule="auto"/>
                    <w:ind w:left="-105" w:leftChars="-50" w:right="-105" w:rightChars="-50"/>
                    <w:rPr>
                      <w:rFonts w:hint="eastAsia" w:eastAsia="宋体"/>
                      <w:color w:val="auto"/>
                      <w:szCs w:val="21"/>
                      <w:lang w:val="en-US" w:eastAsia="zh-CN"/>
                    </w:rPr>
                  </w:pPr>
                  <w:r>
                    <w:rPr>
                      <w:rFonts w:hint="eastAsia"/>
                      <w:color w:val="auto"/>
                      <w:szCs w:val="21"/>
                      <w:lang w:val="en-US" w:eastAsia="zh-CN"/>
                    </w:rPr>
                    <w:t>8019.59</w:t>
                  </w:r>
                </w:p>
              </w:tc>
              <w:tc>
                <w:tcPr>
                  <w:tcW w:w="760" w:type="dxa"/>
                  <w:shd w:val="clear" w:color="auto" w:fill="auto"/>
                  <w:noWrap/>
                  <w:vAlign w:val="center"/>
                </w:tcPr>
                <w:p w14:paraId="4D6E7C7D">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24.53</w:t>
                  </w:r>
                </w:p>
              </w:tc>
              <w:tc>
                <w:tcPr>
                  <w:tcW w:w="648" w:type="dxa"/>
                  <w:shd w:val="clear" w:color="auto" w:fill="auto"/>
                  <w:noWrap/>
                  <w:vAlign w:val="center"/>
                </w:tcPr>
                <w:p w14:paraId="1494F24E">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0.195</w:t>
                  </w:r>
                </w:p>
              </w:tc>
              <w:tc>
                <w:tcPr>
                  <w:tcW w:w="558" w:type="dxa"/>
                  <w:vMerge w:val="restart"/>
                  <w:noWrap/>
                  <w:vAlign w:val="center"/>
                </w:tcPr>
                <w:p w14:paraId="796195B6">
                  <w:pPr>
                    <w:pStyle w:val="109"/>
                    <w:spacing w:line="240" w:lineRule="auto"/>
                    <w:jc w:val="both"/>
                    <w:rPr>
                      <w:color w:val="auto"/>
                      <w:szCs w:val="21"/>
                      <w:lang w:val="en-US"/>
                    </w:rPr>
                  </w:pPr>
                  <w:r>
                    <w:rPr>
                      <w:rFonts w:hint="eastAsia"/>
                      <w:color w:val="auto"/>
                      <w:szCs w:val="21"/>
                      <w:lang w:val="en-US"/>
                    </w:rPr>
                    <w:t>816</w:t>
                  </w:r>
                </w:p>
              </w:tc>
            </w:tr>
            <w:tr w14:paraId="6FE670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61" w:type="dxa"/>
                  <w:vMerge w:val="continue"/>
                  <w:noWrap/>
                  <w:vAlign w:val="center"/>
                </w:tcPr>
                <w:p w14:paraId="39A284ED">
                  <w:pPr>
                    <w:pStyle w:val="109"/>
                    <w:spacing w:line="240" w:lineRule="auto"/>
                    <w:ind w:left="-105" w:leftChars="-50" w:right="-105" w:rightChars="-50"/>
                    <w:rPr>
                      <w:color w:val="auto"/>
                      <w:szCs w:val="21"/>
                      <w:lang w:val="en-US"/>
                    </w:rPr>
                  </w:pPr>
                </w:p>
              </w:tc>
              <w:tc>
                <w:tcPr>
                  <w:tcW w:w="496" w:type="dxa"/>
                  <w:vMerge w:val="continue"/>
                  <w:noWrap/>
                  <w:vAlign w:val="center"/>
                </w:tcPr>
                <w:p w14:paraId="718F73B2">
                  <w:pPr>
                    <w:pStyle w:val="109"/>
                    <w:spacing w:line="240" w:lineRule="auto"/>
                    <w:ind w:left="-105" w:leftChars="-50" w:right="-105" w:rightChars="-50"/>
                    <w:rPr>
                      <w:color w:val="auto"/>
                      <w:szCs w:val="21"/>
                      <w:lang w:val="en-US"/>
                    </w:rPr>
                  </w:pPr>
                </w:p>
              </w:tc>
              <w:tc>
                <w:tcPr>
                  <w:tcW w:w="692" w:type="dxa"/>
                  <w:shd w:val="clear" w:color="auto" w:fill="auto"/>
                  <w:noWrap/>
                  <w:vAlign w:val="center"/>
                </w:tcPr>
                <w:p w14:paraId="1DD16099">
                  <w:pPr>
                    <w:pStyle w:val="109"/>
                    <w:spacing w:line="240" w:lineRule="auto"/>
                    <w:ind w:left="-105" w:leftChars="-50" w:right="-105" w:rightChars="-50"/>
                    <w:rPr>
                      <w:color w:val="auto"/>
                      <w:szCs w:val="21"/>
                      <w:lang w:val="en-US"/>
                    </w:rPr>
                  </w:pPr>
                  <w:r>
                    <w:rPr>
                      <w:color w:val="auto"/>
                      <w:szCs w:val="21"/>
                      <w:lang w:val="en-US"/>
                    </w:rPr>
                    <w:t>SO</w:t>
                  </w:r>
                  <w:r>
                    <w:rPr>
                      <w:color w:val="auto"/>
                      <w:szCs w:val="21"/>
                      <w:vertAlign w:val="subscript"/>
                      <w:lang w:val="en-US"/>
                    </w:rPr>
                    <w:t>2</w:t>
                  </w:r>
                </w:p>
              </w:tc>
              <w:tc>
                <w:tcPr>
                  <w:tcW w:w="364" w:type="dxa"/>
                  <w:vMerge w:val="continue"/>
                  <w:noWrap/>
                  <w:vAlign w:val="center"/>
                </w:tcPr>
                <w:p w14:paraId="06412B22">
                  <w:pPr>
                    <w:pStyle w:val="109"/>
                    <w:spacing w:line="240" w:lineRule="auto"/>
                    <w:ind w:left="-105" w:leftChars="-50" w:right="-105" w:rightChars="-50"/>
                    <w:rPr>
                      <w:color w:val="auto"/>
                      <w:szCs w:val="21"/>
                      <w:lang w:val="en-US"/>
                    </w:rPr>
                  </w:pPr>
                </w:p>
              </w:tc>
              <w:tc>
                <w:tcPr>
                  <w:tcW w:w="548" w:type="dxa"/>
                  <w:vMerge w:val="continue"/>
                  <w:noWrap/>
                  <w:vAlign w:val="center"/>
                </w:tcPr>
                <w:p w14:paraId="640B4152">
                  <w:pPr>
                    <w:pStyle w:val="109"/>
                    <w:spacing w:line="240" w:lineRule="auto"/>
                    <w:ind w:left="-105" w:leftChars="-50" w:right="-105" w:rightChars="-50"/>
                    <w:rPr>
                      <w:color w:val="auto"/>
                      <w:szCs w:val="21"/>
                      <w:lang w:val="en-US"/>
                    </w:rPr>
                  </w:pPr>
                </w:p>
              </w:tc>
              <w:tc>
                <w:tcPr>
                  <w:tcW w:w="750" w:type="dxa"/>
                  <w:shd w:val="clear" w:color="auto" w:fill="auto"/>
                  <w:noWrap/>
                  <w:vAlign w:val="center"/>
                </w:tcPr>
                <w:p w14:paraId="6E890F28">
                  <w:pPr>
                    <w:pStyle w:val="109"/>
                    <w:spacing w:line="240" w:lineRule="auto"/>
                    <w:ind w:left="-105" w:leftChars="-50" w:right="-105" w:rightChars="-50"/>
                    <w:rPr>
                      <w:color w:val="auto"/>
                      <w:szCs w:val="21"/>
                      <w:lang w:val="en-US"/>
                    </w:rPr>
                  </w:pPr>
                  <w:r>
                    <w:rPr>
                      <w:rFonts w:hint="eastAsia"/>
                      <w:color w:val="auto"/>
                      <w:kern w:val="0"/>
                      <w:szCs w:val="21"/>
                      <w:lang w:val="en-US" w:bidi="ar"/>
                    </w:rPr>
                    <w:t>99.18</w:t>
                  </w:r>
                </w:p>
              </w:tc>
              <w:tc>
                <w:tcPr>
                  <w:tcW w:w="773" w:type="dxa"/>
                  <w:shd w:val="clear" w:color="auto" w:fill="auto"/>
                  <w:noWrap/>
                  <w:vAlign w:val="center"/>
                </w:tcPr>
                <w:p w14:paraId="498954EF">
                  <w:pPr>
                    <w:widowControl/>
                    <w:jc w:val="center"/>
                    <w:textAlignment w:val="center"/>
                    <w:rPr>
                      <w:rFonts w:hint="eastAsia" w:eastAsia="宋体"/>
                      <w:color w:val="auto"/>
                      <w:szCs w:val="21"/>
                      <w:lang w:eastAsia="zh-CN"/>
                    </w:rPr>
                  </w:pPr>
                  <w:r>
                    <w:rPr>
                      <w:rFonts w:hint="eastAsia"/>
                      <w:color w:val="auto"/>
                      <w:szCs w:val="21"/>
                      <w:lang w:eastAsia="zh-CN"/>
                    </w:rPr>
                    <w:t>0.80</w:t>
                  </w:r>
                </w:p>
              </w:tc>
              <w:tc>
                <w:tcPr>
                  <w:tcW w:w="646" w:type="dxa"/>
                  <w:vMerge w:val="continue"/>
                  <w:noWrap/>
                  <w:vAlign w:val="center"/>
                </w:tcPr>
                <w:p w14:paraId="372942BE">
                  <w:pPr>
                    <w:pStyle w:val="109"/>
                    <w:spacing w:line="240" w:lineRule="auto"/>
                    <w:ind w:left="-105" w:leftChars="-50" w:right="-105" w:rightChars="-50"/>
                    <w:rPr>
                      <w:color w:val="auto"/>
                      <w:szCs w:val="21"/>
                      <w:lang w:val="en-US"/>
                    </w:rPr>
                  </w:pPr>
                </w:p>
              </w:tc>
              <w:tc>
                <w:tcPr>
                  <w:tcW w:w="531" w:type="dxa"/>
                  <w:shd w:val="clear" w:color="auto" w:fill="auto"/>
                  <w:noWrap/>
                  <w:vAlign w:val="center"/>
                </w:tcPr>
                <w:p w14:paraId="223261A7">
                  <w:pPr>
                    <w:pStyle w:val="109"/>
                    <w:spacing w:line="240" w:lineRule="auto"/>
                    <w:ind w:left="-105" w:leftChars="-50" w:right="-105" w:rightChars="-50"/>
                    <w:rPr>
                      <w:color w:val="auto"/>
                      <w:szCs w:val="21"/>
                      <w:lang w:val="en-US"/>
                    </w:rPr>
                  </w:pPr>
                  <w:r>
                    <w:rPr>
                      <w:rFonts w:hint="eastAsia"/>
                      <w:color w:val="auto"/>
                      <w:szCs w:val="21"/>
                      <w:lang w:val="en-US"/>
                    </w:rPr>
                    <w:t>/</w:t>
                  </w:r>
                </w:p>
              </w:tc>
              <w:tc>
                <w:tcPr>
                  <w:tcW w:w="415" w:type="dxa"/>
                  <w:vMerge w:val="continue"/>
                  <w:noWrap/>
                  <w:vAlign w:val="center"/>
                </w:tcPr>
                <w:p w14:paraId="45F1E3EE">
                  <w:pPr>
                    <w:pStyle w:val="109"/>
                    <w:spacing w:line="240" w:lineRule="auto"/>
                    <w:ind w:left="-105" w:leftChars="-50" w:right="-105" w:rightChars="-50"/>
                    <w:rPr>
                      <w:color w:val="auto"/>
                      <w:szCs w:val="21"/>
                      <w:lang w:val="en-US"/>
                    </w:rPr>
                  </w:pPr>
                </w:p>
              </w:tc>
              <w:tc>
                <w:tcPr>
                  <w:tcW w:w="531" w:type="dxa"/>
                  <w:vMerge w:val="continue"/>
                  <w:noWrap/>
                  <w:vAlign w:val="center"/>
                </w:tcPr>
                <w:p w14:paraId="35412707">
                  <w:pPr>
                    <w:pStyle w:val="109"/>
                    <w:spacing w:line="240" w:lineRule="auto"/>
                    <w:ind w:left="-105" w:leftChars="-50" w:right="-105" w:rightChars="-50"/>
                    <w:rPr>
                      <w:color w:val="auto"/>
                      <w:szCs w:val="21"/>
                      <w:lang w:val="en-US"/>
                    </w:rPr>
                  </w:pPr>
                </w:p>
              </w:tc>
              <w:tc>
                <w:tcPr>
                  <w:tcW w:w="760" w:type="dxa"/>
                  <w:shd w:val="clear" w:color="auto" w:fill="auto"/>
                  <w:noWrap/>
                  <w:vAlign w:val="center"/>
                </w:tcPr>
                <w:p w14:paraId="3DE266F8">
                  <w:pPr>
                    <w:widowControl/>
                    <w:jc w:val="center"/>
                    <w:textAlignment w:val="center"/>
                    <w:rPr>
                      <w:color w:val="auto"/>
                      <w:szCs w:val="21"/>
                    </w:rPr>
                  </w:pPr>
                  <w:r>
                    <w:rPr>
                      <w:rFonts w:hint="eastAsia"/>
                      <w:color w:val="auto"/>
                      <w:kern w:val="0"/>
                      <w:sz w:val="22"/>
                      <w:szCs w:val="22"/>
                      <w:lang w:bidi="ar"/>
                    </w:rPr>
                    <w:t>99.18</w:t>
                  </w:r>
                </w:p>
              </w:tc>
              <w:tc>
                <w:tcPr>
                  <w:tcW w:w="648" w:type="dxa"/>
                  <w:shd w:val="clear" w:color="auto" w:fill="auto"/>
                  <w:noWrap/>
                  <w:vAlign w:val="center"/>
                </w:tcPr>
                <w:p w14:paraId="0965C491">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0.80</w:t>
                  </w:r>
                </w:p>
              </w:tc>
              <w:tc>
                <w:tcPr>
                  <w:tcW w:w="558" w:type="dxa"/>
                  <w:vMerge w:val="continue"/>
                  <w:noWrap/>
                  <w:vAlign w:val="center"/>
                </w:tcPr>
                <w:p w14:paraId="0EE7CA74">
                  <w:pPr>
                    <w:pStyle w:val="109"/>
                    <w:spacing w:line="240" w:lineRule="auto"/>
                    <w:ind w:left="-105" w:leftChars="-50"/>
                    <w:rPr>
                      <w:color w:val="auto"/>
                      <w:szCs w:val="21"/>
                    </w:rPr>
                  </w:pPr>
                </w:p>
              </w:tc>
            </w:tr>
            <w:tr w14:paraId="22591D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61" w:type="dxa"/>
                  <w:vMerge w:val="continue"/>
                  <w:noWrap/>
                  <w:vAlign w:val="center"/>
                </w:tcPr>
                <w:p w14:paraId="58372394">
                  <w:pPr>
                    <w:pStyle w:val="109"/>
                    <w:spacing w:line="240" w:lineRule="auto"/>
                    <w:ind w:left="-105" w:leftChars="-50" w:right="-105" w:rightChars="-50"/>
                    <w:rPr>
                      <w:color w:val="auto"/>
                      <w:szCs w:val="21"/>
                      <w:lang w:val="en-US"/>
                    </w:rPr>
                  </w:pPr>
                </w:p>
              </w:tc>
              <w:tc>
                <w:tcPr>
                  <w:tcW w:w="496" w:type="dxa"/>
                  <w:vMerge w:val="continue"/>
                  <w:noWrap/>
                  <w:vAlign w:val="center"/>
                </w:tcPr>
                <w:p w14:paraId="5D2177A1">
                  <w:pPr>
                    <w:pStyle w:val="109"/>
                    <w:spacing w:line="240" w:lineRule="auto"/>
                    <w:ind w:left="-105" w:leftChars="-50" w:right="-105" w:rightChars="-50"/>
                    <w:rPr>
                      <w:color w:val="auto"/>
                      <w:szCs w:val="21"/>
                      <w:lang w:val="en-US"/>
                    </w:rPr>
                  </w:pPr>
                </w:p>
              </w:tc>
              <w:tc>
                <w:tcPr>
                  <w:tcW w:w="692" w:type="dxa"/>
                  <w:shd w:val="clear" w:color="auto" w:fill="auto"/>
                  <w:noWrap/>
                  <w:vAlign w:val="center"/>
                </w:tcPr>
                <w:p w14:paraId="12EA4791">
                  <w:pPr>
                    <w:pStyle w:val="109"/>
                    <w:spacing w:line="240" w:lineRule="auto"/>
                    <w:ind w:left="-105" w:leftChars="-50" w:right="-105" w:rightChars="-50"/>
                    <w:rPr>
                      <w:color w:val="auto"/>
                      <w:szCs w:val="21"/>
                      <w:lang w:val="en-US"/>
                    </w:rPr>
                  </w:pPr>
                  <w:r>
                    <w:rPr>
                      <w:color w:val="auto"/>
                      <w:szCs w:val="21"/>
                      <w:lang w:val="en-US"/>
                    </w:rPr>
                    <w:t>NO</w:t>
                  </w:r>
                  <w:r>
                    <w:rPr>
                      <w:color w:val="auto"/>
                      <w:szCs w:val="21"/>
                      <w:vertAlign w:val="subscript"/>
                      <w:lang w:val="en-US"/>
                    </w:rPr>
                    <w:t>X</w:t>
                  </w:r>
                </w:p>
              </w:tc>
              <w:tc>
                <w:tcPr>
                  <w:tcW w:w="364" w:type="dxa"/>
                  <w:noWrap/>
                  <w:vAlign w:val="center"/>
                </w:tcPr>
                <w:p w14:paraId="5281E099">
                  <w:pPr>
                    <w:pStyle w:val="109"/>
                    <w:spacing w:line="240" w:lineRule="auto"/>
                    <w:ind w:left="-105" w:leftChars="-50" w:right="-105" w:rightChars="-50"/>
                    <w:rPr>
                      <w:color w:val="auto"/>
                      <w:szCs w:val="21"/>
                      <w:lang w:val="en-US"/>
                    </w:rPr>
                  </w:pPr>
                  <w:r>
                    <w:rPr>
                      <w:rFonts w:hint="eastAsia"/>
                      <w:color w:val="auto"/>
                      <w:szCs w:val="21"/>
                      <w:lang w:val="en-US"/>
                    </w:rPr>
                    <w:t>系数法</w:t>
                  </w:r>
                </w:p>
              </w:tc>
              <w:tc>
                <w:tcPr>
                  <w:tcW w:w="548" w:type="dxa"/>
                  <w:vMerge w:val="continue"/>
                  <w:noWrap/>
                  <w:vAlign w:val="center"/>
                </w:tcPr>
                <w:p w14:paraId="3B9FB636">
                  <w:pPr>
                    <w:pStyle w:val="109"/>
                    <w:spacing w:line="240" w:lineRule="auto"/>
                    <w:ind w:left="-105" w:leftChars="-50" w:right="-105" w:rightChars="-50"/>
                    <w:rPr>
                      <w:color w:val="auto"/>
                      <w:szCs w:val="21"/>
                      <w:lang w:val="en-US"/>
                    </w:rPr>
                  </w:pPr>
                </w:p>
              </w:tc>
              <w:tc>
                <w:tcPr>
                  <w:tcW w:w="750" w:type="dxa"/>
                  <w:shd w:val="clear" w:color="auto" w:fill="auto"/>
                  <w:noWrap/>
                  <w:vAlign w:val="center"/>
                </w:tcPr>
                <w:p w14:paraId="03E371A0">
                  <w:pPr>
                    <w:pStyle w:val="109"/>
                    <w:spacing w:line="240" w:lineRule="auto"/>
                    <w:ind w:left="-105" w:leftChars="-50" w:right="-105" w:rightChars="-50"/>
                    <w:rPr>
                      <w:rFonts w:hint="eastAsia" w:eastAsia="宋体"/>
                      <w:color w:val="auto"/>
                      <w:szCs w:val="21"/>
                      <w:lang w:val="en-US" w:eastAsia="zh-CN"/>
                    </w:rPr>
                  </w:pPr>
                  <w:r>
                    <w:rPr>
                      <w:rFonts w:hint="eastAsia"/>
                      <w:color w:val="auto"/>
                      <w:szCs w:val="21"/>
                      <w:lang w:val="en-US" w:eastAsia="zh-CN"/>
                    </w:rPr>
                    <w:t>170.02</w:t>
                  </w:r>
                </w:p>
              </w:tc>
              <w:tc>
                <w:tcPr>
                  <w:tcW w:w="773" w:type="dxa"/>
                  <w:shd w:val="clear" w:color="auto" w:fill="auto"/>
                  <w:noWrap/>
                  <w:vAlign w:val="center"/>
                </w:tcPr>
                <w:p w14:paraId="04DEFC35">
                  <w:pPr>
                    <w:widowControl/>
                    <w:jc w:val="center"/>
                    <w:textAlignment w:val="center"/>
                    <w:rPr>
                      <w:rFonts w:hint="default" w:eastAsia="宋体"/>
                      <w:color w:val="auto"/>
                      <w:szCs w:val="21"/>
                      <w:lang w:val="en-US" w:eastAsia="zh-CN"/>
                    </w:rPr>
                  </w:pPr>
                  <w:r>
                    <w:rPr>
                      <w:rFonts w:hint="eastAsia"/>
                      <w:color w:val="auto"/>
                      <w:szCs w:val="21"/>
                      <w:lang w:val="en-US" w:eastAsia="zh-CN"/>
                    </w:rPr>
                    <w:t>1.36</w:t>
                  </w:r>
                </w:p>
              </w:tc>
              <w:tc>
                <w:tcPr>
                  <w:tcW w:w="646" w:type="dxa"/>
                  <w:vMerge w:val="continue"/>
                  <w:noWrap/>
                  <w:vAlign w:val="center"/>
                </w:tcPr>
                <w:p w14:paraId="4DC07994">
                  <w:pPr>
                    <w:pStyle w:val="109"/>
                    <w:spacing w:line="240" w:lineRule="auto"/>
                    <w:ind w:left="-105" w:leftChars="-50" w:right="-105" w:rightChars="-50"/>
                    <w:rPr>
                      <w:color w:val="auto"/>
                      <w:szCs w:val="21"/>
                      <w:lang w:val="en-US"/>
                    </w:rPr>
                  </w:pPr>
                </w:p>
              </w:tc>
              <w:tc>
                <w:tcPr>
                  <w:tcW w:w="531" w:type="dxa"/>
                  <w:shd w:val="clear" w:color="auto" w:fill="auto"/>
                  <w:noWrap/>
                  <w:vAlign w:val="center"/>
                </w:tcPr>
                <w:p w14:paraId="1BB2322A">
                  <w:pPr>
                    <w:pStyle w:val="109"/>
                    <w:spacing w:line="240" w:lineRule="auto"/>
                    <w:ind w:left="-105" w:leftChars="-50" w:right="-105" w:rightChars="-50"/>
                    <w:rPr>
                      <w:color w:val="auto"/>
                      <w:szCs w:val="21"/>
                      <w:lang w:val="en-US"/>
                    </w:rPr>
                  </w:pPr>
                  <w:r>
                    <w:rPr>
                      <w:rFonts w:hint="eastAsia"/>
                      <w:color w:val="auto"/>
                      <w:szCs w:val="21"/>
                      <w:lang w:val="en-US"/>
                    </w:rPr>
                    <w:t>30.39</w:t>
                  </w:r>
                </w:p>
              </w:tc>
              <w:tc>
                <w:tcPr>
                  <w:tcW w:w="415" w:type="dxa"/>
                  <w:noWrap/>
                  <w:vAlign w:val="center"/>
                </w:tcPr>
                <w:p w14:paraId="7EA68279">
                  <w:pPr>
                    <w:pStyle w:val="109"/>
                    <w:spacing w:line="240" w:lineRule="auto"/>
                    <w:ind w:left="-105" w:leftChars="-50" w:right="-105" w:rightChars="-50"/>
                    <w:rPr>
                      <w:color w:val="auto"/>
                      <w:szCs w:val="21"/>
                      <w:lang w:val="en-US"/>
                    </w:rPr>
                  </w:pPr>
                  <w:r>
                    <w:rPr>
                      <w:rFonts w:hint="eastAsia"/>
                      <w:color w:val="auto"/>
                      <w:szCs w:val="21"/>
                      <w:lang w:val="en-US"/>
                    </w:rPr>
                    <w:t>系数法</w:t>
                  </w:r>
                </w:p>
              </w:tc>
              <w:tc>
                <w:tcPr>
                  <w:tcW w:w="531" w:type="dxa"/>
                  <w:vMerge w:val="continue"/>
                  <w:noWrap/>
                  <w:vAlign w:val="center"/>
                </w:tcPr>
                <w:p w14:paraId="02647203">
                  <w:pPr>
                    <w:pStyle w:val="109"/>
                    <w:spacing w:line="240" w:lineRule="auto"/>
                    <w:ind w:left="-105" w:leftChars="-50" w:right="-105" w:rightChars="-50"/>
                    <w:rPr>
                      <w:color w:val="auto"/>
                      <w:szCs w:val="21"/>
                      <w:lang w:val="en-US"/>
                    </w:rPr>
                  </w:pPr>
                </w:p>
              </w:tc>
              <w:tc>
                <w:tcPr>
                  <w:tcW w:w="760" w:type="dxa"/>
                  <w:shd w:val="clear" w:color="auto" w:fill="auto"/>
                  <w:noWrap/>
                  <w:vAlign w:val="center"/>
                </w:tcPr>
                <w:p w14:paraId="0BA0AEA5">
                  <w:pPr>
                    <w:pStyle w:val="109"/>
                    <w:spacing w:line="240" w:lineRule="auto"/>
                    <w:ind w:left="-105" w:leftChars="-50" w:right="-105" w:rightChars="-50"/>
                    <w:rPr>
                      <w:rFonts w:hint="eastAsia" w:eastAsia="宋体"/>
                      <w:color w:val="auto"/>
                      <w:szCs w:val="21"/>
                      <w:lang w:eastAsia="zh-CN"/>
                    </w:rPr>
                  </w:pPr>
                  <w:r>
                    <w:rPr>
                      <w:rFonts w:hint="eastAsia"/>
                      <w:color w:val="auto"/>
                      <w:kern w:val="0"/>
                      <w:szCs w:val="21"/>
                      <w:lang w:val="en-US" w:eastAsia="zh-CN" w:bidi="ar"/>
                    </w:rPr>
                    <w:t>118.35</w:t>
                  </w:r>
                </w:p>
              </w:tc>
              <w:tc>
                <w:tcPr>
                  <w:tcW w:w="648" w:type="dxa"/>
                  <w:shd w:val="clear" w:color="auto" w:fill="auto"/>
                  <w:noWrap/>
                  <w:vAlign w:val="center"/>
                </w:tcPr>
                <w:p w14:paraId="389F5540">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0.95</w:t>
                  </w:r>
                </w:p>
              </w:tc>
              <w:tc>
                <w:tcPr>
                  <w:tcW w:w="558" w:type="dxa"/>
                  <w:vMerge w:val="continue"/>
                  <w:noWrap/>
                  <w:vAlign w:val="center"/>
                </w:tcPr>
                <w:p w14:paraId="7427F685">
                  <w:pPr>
                    <w:pStyle w:val="109"/>
                    <w:spacing w:line="240" w:lineRule="auto"/>
                    <w:ind w:left="-105" w:leftChars="-50"/>
                    <w:rPr>
                      <w:color w:val="auto"/>
                      <w:szCs w:val="21"/>
                    </w:rPr>
                  </w:pPr>
                </w:p>
              </w:tc>
            </w:tr>
            <w:tr w14:paraId="2ACD50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61" w:type="dxa"/>
                  <w:noWrap/>
                  <w:vAlign w:val="center"/>
                </w:tcPr>
                <w:p w14:paraId="0B5B32C8">
                  <w:pPr>
                    <w:pStyle w:val="59"/>
                    <w:spacing w:line="240" w:lineRule="auto"/>
                    <w:rPr>
                      <w:color w:val="auto"/>
                      <w:szCs w:val="21"/>
                    </w:rPr>
                  </w:pPr>
                  <w:r>
                    <w:rPr>
                      <w:color w:val="auto"/>
                      <w:szCs w:val="21"/>
                    </w:rPr>
                    <w:t>装卸</w:t>
                  </w:r>
                </w:p>
              </w:tc>
              <w:tc>
                <w:tcPr>
                  <w:tcW w:w="496" w:type="dxa"/>
                  <w:noWrap/>
                  <w:vAlign w:val="center"/>
                </w:tcPr>
                <w:p w14:paraId="0E186F73">
                  <w:pPr>
                    <w:pStyle w:val="59"/>
                    <w:spacing w:line="240" w:lineRule="auto"/>
                    <w:rPr>
                      <w:color w:val="auto"/>
                      <w:szCs w:val="21"/>
                    </w:rPr>
                  </w:pPr>
                  <w:r>
                    <w:rPr>
                      <w:color w:val="auto"/>
                      <w:szCs w:val="21"/>
                    </w:rPr>
                    <w:t>装卸</w:t>
                  </w:r>
                </w:p>
              </w:tc>
              <w:tc>
                <w:tcPr>
                  <w:tcW w:w="692" w:type="dxa"/>
                  <w:noWrap/>
                  <w:vAlign w:val="center"/>
                </w:tcPr>
                <w:p w14:paraId="0C10D2B4">
                  <w:pPr>
                    <w:widowControl/>
                    <w:jc w:val="center"/>
                    <w:textAlignment w:val="center"/>
                    <w:rPr>
                      <w:color w:val="auto"/>
                      <w:szCs w:val="21"/>
                    </w:rPr>
                  </w:pPr>
                  <w:r>
                    <w:rPr>
                      <w:color w:val="auto"/>
                      <w:spacing w:val="-10"/>
                      <w:kern w:val="0"/>
                      <w:szCs w:val="21"/>
                    </w:rPr>
                    <w:t>颗粒物</w:t>
                  </w:r>
                </w:p>
              </w:tc>
              <w:tc>
                <w:tcPr>
                  <w:tcW w:w="364" w:type="dxa"/>
                  <w:noWrap/>
                  <w:vAlign w:val="center"/>
                </w:tcPr>
                <w:p w14:paraId="275C6DA7">
                  <w:pPr>
                    <w:pStyle w:val="59"/>
                    <w:spacing w:line="240" w:lineRule="auto"/>
                    <w:rPr>
                      <w:color w:val="auto"/>
                      <w:szCs w:val="21"/>
                    </w:rPr>
                  </w:pPr>
                  <w:r>
                    <w:rPr>
                      <w:rFonts w:hint="eastAsia"/>
                      <w:color w:val="auto"/>
                      <w:szCs w:val="21"/>
                    </w:rPr>
                    <w:t>系数法</w:t>
                  </w:r>
                </w:p>
              </w:tc>
              <w:tc>
                <w:tcPr>
                  <w:tcW w:w="548" w:type="dxa"/>
                  <w:noWrap/>
                  <w:vAlign w:val="center"/>
                </w:tcPr>
                <w:p w14:paraId="3DD02FD3">
                  <w:pPr>
                    <w:pStyle w:val="59"/>
                    <w:spacing w:line="240" w:lineRule="auto"/>
                    <w:rPr>
                      <w:color w:val="auto"/>
                      <w:szCs w:val="21"/>
                    </w:rPr>
                  </w:pPr>
                  <w:r>
                    <w:rPr>
                      <w:color w:val="auto"/>
                      <w:szCs w:val="21"/>
                    </w:rPr>
                    <w:t>/</w:t>
                  </w:r>
                </w:p>
              </w:tc>
              <w:tc>
                <w:tcPr>
                  <w:tcW w:w="750" w:type="dxa"/>
                  <w:noWrap/>
                  <w:vAlign w:val="center"/>
                </w:tcPr>
                <w:p w14:paraId="33A40622">
                  <w:pPr>
                    <w:pStyle w:val="59"/>
                    <w:spacing w:line="240" w:lineRule="auto"/>
                    <w:rPr>
                      <w:color w:val="auto"/>
                      <w:szCs w:val="21"/>
                    </w:rPr>
                  </w:pPr>
                  <w:r>
                    <w:rPr>
                      <w:color w:val="auto"/>
                      <w:szCs w:val="21"/>
                    </w:rPr>
                    <w:t>/</w:t>
                  </w:r>
                </w:p>
              </w:tc>
              <w:tc>
                <w:tcPr>
                  <w:tcW w:w="773" w:type="dxa"/>
                  <w:noWrap/>
                  <w:vAlign w:val="center"/>
                </w:tcPr>
                <w:p w14:paraId="591BE895">
                  <w:pPr>
                    <w:pStyle w:val="59"/>
                    <w:spacing w:line="240" w:lineRule="auto"/>
                    <w:rPr>
                      <w:rFonts w:hint="eastAsia" w:eastAsia="宋体"/>
                      <w:color w:val="auto"/>
                      <w:szCs w:val="21"/>
                      <w:lang w:eastAsia="zh-CN"/>
                    </w:rPr>
                  </w:pPr>
                  <w:r>
                    <w:rPr>
                      <w:rFonts w:hint="eastAsia"/>
                      <w:color w:val="auto"/>
                      <w:szCs w:val="21"/>
                      <w:lang w:eastAsia="zh-CN" w:bidi="ar"/>
                    </w:rPr>
                    <w:t>1.28</w:t>
                  </w:r>
                </w:p>
              </w:tc>
              <w:tc>
                <w:tcPr>
                  <w:tcW w:w="646" w:type="dxa"/>
                  <w:noWrap/>
                  <w:vAlign w:val="center"/>
                </w:tcPr>
                <w:p w14:paraId="690EDA88">
                  <w:pPr>
                    <w:pStyle w:val="59"/>
                    <w:spacing w:line="240" w:lineRule="auto"/>
                    <w:rPr>
                      <w:color w:val="auto"/>
                      <w:szCs w:val="21"/>
                    </w:rPr>
                  </w:pPr>
                  <w:r>
                    <w:rPr>
                      <w:rFonts w:hint="eastAsia"/>
                      <w:color w:val="auto"/>
                      <w:szCs w:val="21"/>
                    </w:rPr>
                    <w:t>围挡、降低装卸高度</w:t>
                  </w:r>
                </w:p>
              </w:tc>
              <w:tc>
                <w:tcPr>
                  <w:tcW w:w="531" w:type="dxa"/>
                  <w:noWrap/>
                  <w:vAlign w:val="center"/>
                </w:tcPr>
                <w:p w14:paraId="734A35C3">
                  <w:pPr>
                    <w:pStyle w:val="59"/>
                    <w:spacing w:line="240" w:lineRule="auto"/>
                    <w:rPr>
                      <w:color w:val="auto"/>
                      <w:szCs w:val="21"/>
                    </w:rPr>
                  </w:pPr>
                  <w:r>
                    <w:rPr>
                      <w:rFonts w:hint="eastAsia"/>
                      <w:color w:val="auto"/>
                      <w:szCs w:val="21"/>
                    </w:rPr>
                    <w:t>74</w:t>
                  </w:r>
                </w:p>
              </w:tc>
              <w:tc>
                <w:tcPr>
                  <w:tcW w:w="415" w:type="dxa"/>
                  <w:shd w:val="clear" w:color="auto" w:fill="auto"/>
                  <w:noWrap/>
                  <w:vAlign w:val="center"/>
                </w:tcPr>
                <w:p w14:paraId="6B2001D0">
                  <w:pPr>
                    <w:pStyle w:val="59"/>
                    <w:spacing w:line="240" w:lineRule="auto"/>
                    <w:rPr>
                      <w:color w:val="auto"/>
                      <w:szCs w:val="21"/>
                    </w:rPr>
                  </w:pPr>
                  <w:r>
                    <w:rPr>
                      <w:rFonts w:hint="eastAsia"/>
                      <w:color w:val="auto"/>
                      <w:szCs w:val="21"/>
                    </w:rPr>
                    <w:t>系数法</w:t>
                  </w:r>
                </w:p>
              </w:tc>
              <w:tc>
                <w:tcPr>
                  <w:tcW w:w="531" w:type="dxa"/>
                  <w:noWrap/>
                  <w:vAlign w:val="center"/>
                </w:tcPr>
                <w:p w14:paraId="72DC4EB4">
                  <w:pPr>
                    <w:pStyle w:val="59"/>
                    <w:spacing w:line="240" w:lineRule="auto"/>
                    <w:rPr>
                      <w:color w:val="auto"/>
                      <w:szCs w:val="21"/>
                    </w:rPr>
                  </w:pPr>
                  <w:r>
                    <w:rPr>
                      <w:color w:val="auto"/>
                      <w:szCs w:val="21"/>
                    </w:rPr>
                    <w:t>/</w:t>
                  </w:r>
                </w:p>
              </w:tc>
              <w:tc>
                <w:tcPr>
                  <w:tcW w:w="760" w:type="dxa"/>
                  <w:noWrap/>
                  <w:vAlign w:val="center"/>
                </w:tcPr>
                <w:p w14:paraId="4D9348D6">
                  <w:pPr>
                    <w:widowControl/>
                    <w:jc w:val="center"/>
                    <w:textAlignment w:val="center"/>
                    <w:rPr>
                      <w:color w:val="auto"/>
                      <w:szCs w:val="21"/>
                    </w:rPr>
                  </w:pPr>
                  <w:r>
                    <w:rPr>
                      <w:color w:val="auto"/>
                      <w:kern w:val="0"/>
                      <w:szCs w:val="21"/>
                    </w:rPr>
                    <w:t>/</w:t>
                  </w:r>
                </w:p>
              </w:tc>
              <w:tc>
                <w:tcPr>
                  <w:tcW w:w="648" w:type="dxa"/>
                  <w:noWrap/>
                  <w:vAlign w:val="center"/>
                </w:tcPr>
                <w:p w14:paraId="2AF98519">
                  <w:pPr>
                    <w:widowControl/>
                    <w:jc w:val="center"/>
                    <w:textAlignment w:val="center"/>
                    <w:rPr>
                      <w:rFonts w:hint="eastAsia" w:eastAsia="宋体"/>
                      <w:color w:val="auto"/>
                      <w:szCs w:val="21"/>
                      <w:lang w:eastAsia="zh-CN"/>
                    </w:rPr>
                  </w:pPr>
                  <w:r>
                    <w:rPr>
                      <w:rFonts w:hint="eastAsia"/>
                      <w:color w:val="auto"/>
                      <w:kern w:val="0"/>
                      <w:sz w:val="22"/>
                      <w:szCs w:val="22"/>
                      <w:lang w:eastAsia="zh-CN" w:bidi="ar"/>
                    </w:rPr>
                    <w:t>0.33</w:t>
                  </w:r>
                </w:p>
              </w:tc>
              <w:tc>
                <w:tcPr>
                  <w:tcW w:w="558" w:type="dxa"/>
                  <w:noWrap/>
                  <w:vAlign w:val="center"/>
                </w:tcPr>
                <w:p w14:paraId="2F432A7D">
                  <w:pPr>
                    <w:textAlignment w:val="center"/>
                    <w:rPr>
                      <w:rFonts w:hint="eastAsia" w:eastAsia="宋体"/>
                      <w:color w:val="auto"/>
                      <w:szCs w:val="21"/>
                      <w:lang w:eastAsia="zh-CN"/>
                    </w:rPr>
                  </w:pPr>
                  <w:r>
                    <w:rPr>
                      <w:rFonts w:hint="eastAsia"/>
                      <w:color w:val="auto"/>
                      <w:szCs w:val="21"/>
                      <w:lang w:eastAsia="zh-CN"/>
                    </w:rPr>
                    <w:t>204</w:t>
                  </w:r>
                </w:p>
              </w:tc>
            </w:tr>
            <w:tr w14:paraId="752488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61" w:type="dxa"/>
                  <w:noWrap/>
                  <w:vAlign w:val="center"/>
                </w:tcPr>
                <w:p w14:paraId="2CD1D81B">
                  <w:pPr>
                    <w:pStyle w:val="59"/>
                    <w:spacing w:line="240" w:lineRule="auto"/>
                    <w:rPr>
                      <w:color w:val="auto"/>
                      <w:szCs w:val="21"/>
                    </w:rPr>
                  </w:pPr>
                  <w:r>
                    <w:rPr>
                      <w:color w:val="auto"/>
                      <w:szCs w:val="21"/>
                    </w:rPr>
                    <w:t>滚筒筛</w:t>
                  </w:r>
                </w:p>
              </w:tc>
              <w:tc>
                <w:tcPr>
                  <w:tcW w:w="496" w:type="dxa"/>
                  <w:noWrap/>
                  <w:vAlign w:val="center"/>
                </w:tcPr>
                <w:p w14:paraId="18CF210F">
                  <w:pPr>
                    <w:pStyle w:val="59"/>
                    <w:spacing w:line="240" w:lineRule="auto"/>
                    <w:rPr>
                      <w:color w:val="auto"/>
                      <w:szCs w:val="21"/>
                    </w:rPr>
                  </w:pPr>
                  <w:r>
                    <w:rPr>
                      <w:color w:val="auto"/>
                      <w:szCs w:val="21"/>
                    </w:rPr>
                    <w:t>滚筒筛</w:t>
                  </w:r>
                </w:p>
              </w:tc>
              <w:tc>
                <w:tcPr>
                  <w:tcW w:w="692" w:type="dxa"/>
                  <w:noWrap/>
                  <w:vAlign w:val="center"/>
                </w:tcPr>
                <w:p w14:paraId="641B9294">
                  <w:pPr>
                    <w:widowControl/>
                    <w:jc w:val="center"/>
                    <w:textAlignment w:val="center"/>
                    <w:rPr>
                      <w:color w:val="auto"/>
                      <w:szCs w:val="21"/>
                    </w:rPr>
                  </w:pPr>
                  <w:r>
                    <w:rPr>
                      <w:color w:val="auto"/>
                      <w:spacing w:val="-10"/>
                      <w:kern w:val="0"/>
                      <w:szCs w:val="21"/>
                    </w:rPr>
                    <w:t>颗粒物</w:t>
                  </w:r>
                </w:p>
              </w:tc>
              <w:tc>
                <w:tcPr>
                  <w:tcW w:w="364" w:type="dxa"/>
                  <w:noWrap/>
                  <w:vAlign w:val="center"/>
                </w:tcPr>
                <w:p w14:paraId="27C1CA14">
                  <w:pPr>
                    <w:pStyle w:val="59"/>
                    <w:spacing w:line="240" w:lineRule="auto"/>
                    <w:rPr>
                      <w:color w:val="auto"/>
                      <w:szCs w:val="21"/>
                    </w:rPr>
                  </w:pPr>
                  <w:r>
                    <w:rPr>
                      <w:color w:val="auto"/>
                      <w:szCs w:val="21"/>
                    </w:rPr>
                    <w:t>类比法</w:t>
                  </w:r>
                </w:p>
              </w:tc>
              <w:tc>
                <w:tcPr>
                  <w:tcW w:w="548" w:type="dxa"/>
                  <w:noWrap/>
                  <w:vAlign w:val="center"/>
                </w:tcPr>
                <w:p w14:paraId="16625003">
                  <w:pPr>
                    <w:pStyle w:val="59"/>
                    <w:spacing w:line="240" w:lineRule="auto"/>
                    <w:rPr>
                      <w:color w:val="auto"/>
                      <w:szCs w:val="21"/>
                    </w:rPr>
                  </w:pPr>
                  <w:r>
                    <w:rPr>
                      <w:color w:val="auto"/>
                      <w:szCs w:val="21"/>
                    </w:rPr>
                    <w:t>/</w:t>
                  </w:r>
                </w:p>
              </w:tc>
              <w:tc>
                <w:tcPr>
                  <w:tcW w:w="750" w:type="dxa"/>
                  <w:noWrap/>
                  <w:vAlign w:val="center"/>
                </w:tcPr>
                <w:p w14:paraId="3297BD92">
                  <w:pPr>
                    <w:pStyle w:val="59"/>
                    <w:spacing w:line="240" w:lineRule="auto"/>
                    <w:rPr>
                      <w:color w:val="auto"/>
                      <w:szCs w:val="21"/>
                    </w:rPr>
                  </w:pPr>
                  <w:r>
                    <w:rPr>
                      <w:color w:val="auto"/>
                      <w:szCs w:val="21"/>
                    </w:rPr>
                    <w:t>/</w:t>
                  </w:r>
                </w:p>
              </w:tc>
              <w:tc>
                <w:tcPr>
                  <w:tcW w:w="773" w:type="dxa"/>
                  <w:noWrap/>
                  <w:vAlign w:val="center"/>
                </w:tcPr>
                <w:p w14:paraId="0B119C7B">
                  <w:pPr>
                    <w:pStyle w:val="59"/>
                    <w:spacing w:line="240" w:lineRule="auto"/>
                    <w:rPr>
                      <w:rFonts w:hint="eastAsia" w:eastAsia="宋体"/>
                      <w:color w:val="auto"/>
                      <w:szCs w:val="21"/>
                      <w:lang w:eastAsia="zh-CN"/>
                    </w:rPr>
                  </w:pPr>
                  <w:r>
                    <w:rPr>
                      <w:rFonts w:hint="eastAsia"/>
                      <w:color w:val="auto"/>
                      <w:szCs w:val="21"/>
                      <w:lang w:eastAsia="zh-CN"/>
                    </w:rPr>
                    <w:t>13.48</w:t>
                  </w:r>
                </w:p>
              </w:tc>
              <w:tc>
                <w:tcPr>
                  <w:tcW w:w="646" w:type="dxa"/>
                  <w:noWrap/>
                  <w:vAlign w:val="center"/>
                </w:tcPr>
                <w:p w14:paraId="7A97A1A0">
                  <w:pPr>
                    <w:pStyle w:val="59"/>
                    <w:spacing w:line="240" w:lineRule="auto"/>
                    <w:rPr>
                      <w:color w:val="auto"/>
                      <w:szCs w:val="21"/>
                    </w:rPr>
                  </w:pPr>
                  <w:r>
                    <w:rPr>
                      <w:color w:val="auto"/>
                      <w:szCs w:val="21"/>
                    </w:rPr>
                    <w:t>全密闭滚筒筛</w:t>
                  </w:r>
                </w:p>
              </w:tc>
              <w:tc>
                <w:tcPr>
                  <w:tcW w:w="531" w:type="dxa"/>
                  <w:noWrap/>
                  <w:vAlign w:val="center"/>
                </w:tcPr>
                <w:p w14:paraId="7E6B6249">
                  <w:pPr>
                    <w:pStyle w:val="59"/>
                    <w:spacing w:line="240" w:lineRule="auto"/>
                    <w:rPr>
                      <w:color w:val="auto"/>
                      <w:szCs w:val="21"/>
                    </w:rPr>
                  </w:pPr>
                  <w:r>
                    <w:rPr>
                      <w:color w:val="auto"/>
                      <w:szCs w:val="21"/>
                    </w:rPr>
                    <w:t>99</w:t>
                  </w:r>
                </w:p>
              </w:tc>
              <w:tc>
                <w:tcPr>
                  <w:tcW w:w="415" w:type="dxa"/>
                  <w:shd w:val="clear" w:color="auto" w:fill="auto"/>
                  <w:noWrap/>
                  <w:vAlign w:val="center"/>
                </w:tcPr>
                <w:p w14:paraId="452F2B47">
                  <w:pPr>
                    <w:pStyle w:val="59"/>
                    <w:spacing w:line="240" w:lineRule="auto"/>
                    <w:rPr>
                      <w:color w:val="auto"/>
                      <w:szCs w:val="21"/>
                    </w:rPr>
                  </w:pPr>
                  <w:r>
                    <w:rPr>
                      <w:color w:val="auto"/>
                      <w:szCs w:val="21"/>
                    </w:rPr>
                    <w:t>类比法</w:t>
                  </w:r>
                </w:p>
              </w:tc>
              <w:tc>
                <w:tcPr>
                  <w:tcW w:w="531" w:type="dxa"/>
                  <w:noWrap/>
                  <w:vAlign w:val="center"/>
                </w:tcPr>
                <w:p w14:paraId="4E1898D1">
                  <w:pPr>
                    <w:pStyle w:val="59"/>
                    <w:spacing w:line="240" w:lineRule="auto"/>
                    <w:rPr>
                      <w:color w:val="auto"/>
                      <w:szCs w:val="21"/>
                    </w:rPr>
                  </w:pPr>
                  <w:r>
                    <w:rPr>
                      <w:color w:val="auto"/>
                      <w:szCs w:val="21"/>
                    </w:rPr>
                    <w:t>/</w:t>
                  </w:r>
                </w:p>
              </w:tc>
              <w:tc>
                <w:tcPr>
                  <w:tcW w:w="760" w:type="dxa"/>
                  <w:noWrap/>
                  <w:vAlign w:val="center"/>
                </w:tcPr>
                <w:p w14:paraId="14A3405E">
                  <w:pPr>
                    <w:widowControl/>
                    <w:jc w:val="center"/>
                    <w:textAlignment w:val="center"/>
                    <w:rPr>
                      <w:color w:val="auto"/>
                      <w:szCs w:val="21"/>
                    </w:rPr>
                  </w:pPr>
                  <w:r>
                    <w:rPr>
                      <w:color w:val="auto"/>
                      <w:kern w:val="0"/>
                      <w:szCs w:val="21"/>
                    </w:rPr>
                    <w:t>/</w:t>
                  </w:r>
                </w:p>
              </w:tc>
              <w:tc>
                <w:tcPr>
                  <w:tcW w:w="648" w:type="dxa"/>
                  <w:noWrap/>
                  <w:vAlign w:val="center"/>
                </w:tcPr>
                <w:p w14:paraId="35CE47F2">
                  <w:pPr>
                    <w:widowControl/>
                    <w:jc w:val="center"/>
                    <w:textAlignment w:val="center"/>
                    <w:rPr>
                      <w:rFonts w:hint="default" w:eastAsia="宋体"/>
                      <w:color w:val="auto"/>
                      <w:szCs w:val="21"/>
                      <w:lang w:val="en-US" w:eastAsia="zh-CN"/>
                    </w:rPr>
                  </w:pPr>
                  <w:r>
                    <w:rPr>
                      <w:rFonts w:hint="eastAsia"/>
                      <w:color w:val="auto"/>
                      <w:kern w:val="0"/>
                      <w:sz w:val="22"/>
                      <w:szCs w:val="22"/>
                      <w:lang w:val="en-US" w:eastAsia="zh-CN" w:bidi="ar"/>
                    </w:rPr>
                    <w:t>0.13</w:t>
                  </w:r>
                </w:p>
              </w:tc>
              <w:tc>
                <w:tcPr>
                  <w:tcW w:w="558" w:type="dxa"/>
                  <w:noWrap/>
                  <w:vAlign w:val="center"/>
                </w:tcPr>
                <w:p w14:paraId="0DC41F2F">
                  <w:pPr>
                    <w:textAlignment w:val="center"/>
                    <w:rPr>
                      <w:rFonts w:hint="eastAsia" w:eastAsia="宋体"/>
                      <w:color w:val="auto"/>
                      <w:szCs w:val="21"/>
                      <w:lang w:eastAsia="zh-CN"/>
                    </w:rPr>
                  </w:pPr>
                  <w:r>
                    <w:rPr>
                      <w:rFonts w:hint="eastAsia"/>
                      <w:color w:val="auto"/>
                      <w:szCs w:val="21"/>
                      <w:lang w:eastAsia="zh-CN"/>
                    </w:rPr>
                    <w:t>204</w:t>
                  </w:r>
                </w:p>
              </w:tc>
            </w:tr>
            <w:tr w14:paraId="1FB610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61" w:type="dxa"/>
                  <w:noWrap/>
                  <w:vAlign w:val="center"/>
                </w:tcPr>
                <w:p w14:paraId="2B0F5C76">
                  <w:pPr>
                    <w:pStyle w:val="59"/>
                    <w:spacing w:line="240" w:lineRule="auto"/>
                    <w:rPr>
                      <w:color w:val="auto"/>
                      <w:szCs w:val="21"/>
                    </w:rPr>
                  </w:pPr>
                  <w:r>
                    <w:rPr>
                      <w:color w:val="auto"/>
                      <w:szCs w:val="21"/>
                    </w:rPr>
                    <w:t>烘干</w:t>
                  </w:r>
                </w:p>
              </w:tc>
              <w:tc>
                <w:tcPr>
                  <w:tcW w:w="496" w:type="dxa"/>
                  <w:noWrap/>
                  <w:vAlign w:val="center"/>
                </w:tcPr>
                <w:p w14:paraId="172806BC">
                  <w:pPr>
                    <w:pStyle w:val="59"/>
                    <w:spacing w:line="240" w:lineRule="auto"/>
                    <w:rPr>
                      <w:color w:val="auto"/>
                      <w:szCs w:val="21"/>
                    </w:rPr>
                  </w:pPr>
                  <w:r>
                    <w:rPr>
                      <w:color w:val="auto"/>
                      <w:szCs w:val="21"/>
                    </w:rPr>
                    <w:t>烘干塔</w:t>
                  </w:r>
                </w:p>
              </w:tc>
              <w:tc>
                <w:tcPr>
                  <w:tcW w:w="692" w:type="dxa"/>
                  <w:noWrap/>
                  <w:vAlign w:val="center"/>
                </w:tcPr>
                <w:p w14:paraId="2745547B">
                  <w:pPr>
                    <w:widowControl/>
                    <w:jc w:val="center"/>
                    <w:textAlignment w:val="center"/>
                    <w:rPr>
                      <w:color w:val="auto"/>
                      <w:szCs w:val="21"/>
                    </w:rPr>
                  </w:pPr>
                  <w:r>
                    <w:rPr>
                      <w:color w:val="auto"/>
                      <w:spacing w:val="-10"/>
                      <w:kern w:val="0"/>
                      <w:szCs w:val="21"/>
                    </w:rPr>
                    <w:t>颗粒物</w:t>
                  </w:r>
                </w:p>
              </w:tc>
              <w:tc>
                <w:tcPr>
                  <w:tcW w:w="364" w:type="dxa"/>
                  <w:noWrap/>
                  <w:vAlign w:val="center"/>
                </w:tcPr>
                <w:p w14:paraId="48738A3C">
                  <w:pPr>
                    <w:pStyle w:val="59"/>
                    <w:spacing w:line="240" w:lineRule="auto"/>
                    <w:rPr>
                      <w:color w:val="auto"/>
                      <w:szCs w:val="21"/>
                    </w:rPr>
                  </w:pPr>
                  <w:r>
                    <w:rPr>
                      <w:color w:val="auto"/>
                      <w:szCs w:val="21"/>
                    </w:rPr>
                    <w:t>类比法</w:t>
                  </w:r>
                </w:p>
              </w:tc>
              <w:tc>
                <w:tcPr>
                  <w:tcW w:w="548" w:type="dxa"/>
                  <w:noWrap/>
                  <w:vAlign w:val="center"/>
                </w:tcPr>
                <w:p w14:paraId="2BBF9FB6">
                  <w:pPr>
                    <w:pStyle w:val="59"/>
                    <w:spacing w:line="240" w:lineRule="auto"/>
                    <w:rPr>
                      <w:color w:val="auto"/>
                      <w:szCs w:val="21"/>
                    </w:rPr>
                  </w:pPr>
                  <w:r>
                    <w:rPr>
                      <w:color w:val="auto"/>
                      <w:szCs w:val="21"/>
                    </w:rPr>
                    <w:t>/</w:t>
                  </w:r>
                </w:p>
              </w:tc>
              <w:tc>
                <w:tcPr>
                  <w:tcW w:w="750" w:type="dxa"/>
                  <w:noWrap/>
                  <w:vAlign w:val="center"/>
                </w:tcPr>
                <w:p w14:paraId="58A4935D">
                  <w:pPr>
                    <w:pStyle w:val="59"/>
                    <w:spacing w:line="240" w:lineRule="auto"/>
                    <w:rPr>
                      <w:color w:val="auto"/>
                      <w:szCs w:val="21"/>
                    </w:rPr>
                  </w:pPr>
                  <w:r>
                    <w:rPr>
                      <w:color w:val="auto"/>
                      <w:szCs w:val="21"/>
                    </w:rPr>
                    <w:t>/</w:t>
                  </w:r>
                </w:p>
              </w:tc>
              <w:tc>
                <w:tcPr>
                  <w:tcW w:w="773" w:type="dxa"/>
                  <w:noWrap/>
                  <w:vAlign w:val="center"/>
                </w:tcPr>
                <w:p w14:paraId="3ABC3E85">
                  <w:pPr>
                    <w:pStyle w:val="59"/>
                    <w:spacing w:line="240" w:lineRule="auto"/>
                    <w:rPr>
                      <w:rFonts w:hint="default" w:eastAsia="宋体"/>
                      <w:color w:val="auto"/>
                      <w:szCs w:val="21"/>
                      <w:lang w:val="en-US" w:eastAsia="zh-CN"/>
                    </w:rPr>
                  </w:pPr>
                  <w:r>
                    <w:rPr>
                      <w:rFonts w:hint="eastAsia"/>
                      <w:color w:val="auto"/>
                      <w:szCs w:val="21"/>
                      <w:lang w:val="en-US" w:eastAsia="zh-CN"/>
                    </w:rPr>
                    <w:t>3.37</w:t>
                  </w:r>
                </w:p>
              </w:tc>
              <w:tc>
                <w:tcPr>
                  <w:tcW w:w="646" w:type="dxa"/>
                  <w:noWrap/>
                  <w:vAlign w:val="center"/>
                </w:tcPr>
                <w:p w14:paraId="54BB465E">
                  <w:pPr>
                    <w:pStyle w:val="59"/>
                    <w:spacing w:line="240" w:lineRule="auto"/>
                    <w:jc w:val="both"/>
                    <w:rPr>
                      <w:color w:val="auto"/>
                      <w:szCs w:val="21"/>
                    </w:rPr>
                  </w:pPr>
                  <w:r>
                    <w:rPr>
                      <w:color w:val="auto"/>
                      <w:szCs w:val="21"/>
                    </w:rPr>
                    <w:t>重力沉降+隔尘挡板，挡板高度5m</w:t>
                  </w:r>
                </w:p>
              </w:tc>
              <w:tc>
                <w:tcPr>
                  <w:tcW w:w="531" w:type="dxa"/>
                  <w:noWrap/>
                  <w:vAlign w:val="center"/>
                </w:tcPr>
                <w:p w14:paraId="64B98A89">
                  <w:pPr>
                    <w:pStyle w:val="59"/>
                    <w:spacing w:line="240" w:lineRule="auto"/>
                    <w:rPr>
                      <w:color w:val="auto"/>
                      <w:szCs w:val="21"/>
                    </w:rPr>
                  </w:pPr>
                  <w:r>
                    <w:rPr>
                      <w:color w:val="auto"/>
                      <w:szCs w:val="21"/>
                    </w:rPr>
                    <w:t>60</w:t>
                  </w:r>
                </w:p>
              </w:tc>
              <w:tc>
                <w:tcPr>
                  <w:tcW w:w="415" w:type="dxa"/>
                  <w:shd w:val="clear" w:color="auto" w:fill="auto"/>
                  <w:noWrap/>
                  <w:vAlign w:val="center"/>
                </w:tcPr>
                <w:p w14:paraId="38137085">
                  <w:pPr>
                    <w:pStyle w:val="59"/>
                    <w:spacing w:line="240" w:lineRule="auto"/>
                    <w:rPr>
                      <w:color w:val="auto"/>
                      <w:szCs w:val="21"/>
                    </w:rPr>
                  </w:pPr>
                  <w:r>
                    <w:rPr>
                      <w:color w:val="auto"/>
                      <w:szCs w:val="21"/>
                    </w:rPr>
                    <w:t>类比法</w:t>
                  </w:r>
                </w:p>
              </w:tc>
              <w:tc>
                <w:tcPr>
                  <w:tcW w:w="531" w:type="dxa"/>
                  <w:noWrap/>
                  <w:vAlign w:val="center"/>
                </w:tcPr>
                <w:p w14:paraId="04B77EB7">
                  <w:pPr>
                    <w:pStyle w:val="59"/>
                    <w:spacing w:line="240" w:lineRule="auto"/>
                    <w:rPr>
                      <w:color w:val="auto"/>
                      <w:szCs w:val="21"/>
                    </w:rPr>
                  </w:pPr>
                  <w:r>
                    <w:rPr>
                      <w:color w:val="auto"/>
                      <w:szCs w:val="21"/>
                    </w:rPr>
                    <w:t>/</w:t>
                  </w:r>
                </w:p>
              </w:tc>
              <w:tc>
                <w:tcPr>
                  <w:tcW w:w="760" w:type="dxa"/>
                  <w:noWrap/>
                  <w:vAlign w:val="center"/>
                </w:tcPr>
                <w:p w14:paraId="5CD3E291">
                  <w:pPr>
                    <w:widowControl/>
                    <w:jc w:val="center"/>
                    <w:textAlignment w:val="center"/>
                    <w:rPr>
                      <w:color w:val="auto"/>
                      <w:szCs w:val="21"/>
                    </w:rPr>
                  </w:pPr>
                  <w:r>
                    <w:rPr>
                      <w:color w:val="auto"/>
                      <w:kern w:val="0"/>
                      <w:szCs w:val="21"/>
                    </w:rPr>
                    <w:t>/</w:t>
                  </w:r>
                </w:p>
              </w:tc>
              <w:tc>
                <w:tcPr>
                  <w:tcW w:w="648" w:type="dxa"/>
                  <w:noWrap/>
                  <w:vAlign w:val="center"/>
                </w:tcPr>
                <w:p w14:paraId="5BF97EE9">
                  <w:pPr>
                    <w:widowControl/>
                    <w:jc w:val="center"/>
                    <w:textAlignment w:val="center"/>
                    <w:rPr>
                      <w:rFonts w:hint="default" w:eastAsia="宋体"/>
                      <w:color w:val="auto"/>
                      <w:szCs w:val="21"/>
                      <w:lang w:val="en-US" w:eastAsia="zh-CN"/>
                    </w:rPr>
                  </w:pPr>
                  <w:r>
                    <w:rPr>
                      <w:rFonts w:hint="eastAsia"/>
                      <w:color w:val="auto"/>
                      <w:kern w:val="0"/>
                      <w:sz w:val="22"/>
                      <w:szCs w:val="22"/>
                      <w:lang w:val="en-US" w:eastAsia="zh-CN" w:bidi="ar"/>
                    </w:rPr>
                    <w:t>1.35</w:t>
                  </w:r>
                </w:p>
              </w:tc>
              <w:tc>
                <w:tcPr>
                  <w:tcW w:w="558" w:type="dxa"/>
                  <w:noWrap/>
                  <w:vAlign w:val="center"/>
                </w:tcPr>
                <w:p w14:paraId="6732E4DC">
                  <w:pPr>
                    <w:textAlignment w:val="center"/>
                    <w:rPr>
                      <w:color w:val="auto"/>
                      <w:szCs w:val="21"/>
                    </w:rPr>
                  </w:pPr>
                  <w:r>
                    <w:rPr>
                      <w:rFonts w:hint="eastAsia"/>
                      <w:color w:val="auto"/>
                      <w:szCs w:val="21"/>
                    </w:rPr>
                    <w:t>816</w:t>
                  </w:r>
                </w:p>
              </w:tc>
            </w:tr>
          </w:tbl>
          <w:p w14:paraId="08E72FD9">
            <w:pPr>
              <w:pStyle w:val="12"/>
              <w:adjustRightInd w:val="0"/>
              <w:snapToGrid w:val="0"/>
              <w:spacing w:line="360" w:lineRule="auto"/>
              <w:ind w:firstLine="0" w:firstLineChars="0"/>
              <w:jc w:val="center"/>
              <w:rPr>
                <w:b/>
                <w:color w:val="auto"/>
              </w:rPr>
            </w:pPr>
            <w:r>
              <w:rPr>
                <w:b/>
                <w:color w:val="auto"/>
              </w:rPr>
              <w:t>表</w:t>
            </w:r>
            <w:r>
              <w:rPr>
                <w:rFonts w:hint="eastAsia"/>
                <w:b/>
                <w:color w:val="auto"/>
              </w:rPr>
              <w:t xml:space="preserve">4-3  </w:t>
            </w:r>
            <w:r>
              <w:rPr>
                <w:b/>
                <w:color w:val="auto"/>
              </w:rPr>
              <w:t xml:space="preserve"> 排放口基本情况</w:t>
            </w:r>
          </w:p>
          <w:tbl>
            <w:tblPr>
              <w:tblStyle w:val="35"/>
              <w:tblW w:w="495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247"/>
              <w:gridCol w:w="897"/>
              <w:gridCol w:w="775"/>
              <w:gridCol w:w="616"/>
              <w:gridCol w:w="551"/>
              <w:gridCol w:w="616"/>
              <w:gridCol w:w="735"/>
              <w:gridCol w:w="516"/>
              <w:gridCol w:w="1963"/>
            </w:tblGrid>
            <w:tr w14:paraId="529233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86" w:hRule="atLeast"/>
                <w:jc w:val="center"/>
              </w:trPr>
              <w:tc>
                <w:tcPr>
                  <w:tcW w:w="787" w:type="pct"/>
                  <w:vMerge w:val="restart"/>
                  <w:vAlign w:val="center"/>
                </w:tcPr>
                <w:p w14:paraId="23D9878F">
                  <w:pPr>
                    <w:jc w:val="center"/>
                    <w:rPr>
                      <w:color w:val="auto"/>
                      <w:szCs w:val="21"/>
                    </w:rPr>
                  </w:pPr>
                  <w:r>
                    <w:rPr>
                      <w:color w:val="auto"/>
                      <w:szCs w:val="21"/>
                    </w:rPr>
                    <w:t>污染源名称</w:t>
                  </w:r>
                </w:p>
              </w:tc>
              <w:tc>
                <w:tcPr>
                  <w:tcW w:w="1055" w:type="pct"/>
                  <w:gridSpan w:val="2"/>
                  <w:vAlign w:val="center"/>
                </w:tcPr>
                <w:p w14:paraId="6F0BC569">
                  <w:pPr>
                    <w:jc w:val="center"/>
                    <w:rPr>
                      <w:color w:val="auto"/>
                      <w:szCs w:val="21"/>
                    </w:rPr>
                  </w:pPr>
                  <w:r>
                    <w:rPr>
                      <w:color w:val="auto"/>
                      <w:szCs w:val="21"/>
                    </w:rPr>
                    <w:t>排气筒底部中心坐标(</w:t>
                  </w:r>
                  <w:r>
                    <w:rPr>
                      <w:color w:val="auto"/>
                      <w:szCs w:val="21"/>
                      <w:vertAlign w:val="superscript"/>
                    </w:rPr>
                    <w:t>o</w:t>
                  </w:r>
                  <w:r>
                    <w:rPr>
                      <w:color w:val="auto"/>
                      <w:szCs w:val="21"/>
                    </w:rPr>
                    <w:t>)</w:t>
                  </w:r>
                </w:p>
              </w:tc>
              <w:tc>
                <w:tcPr>
                  <w:tcW w:w="389" w:type="pct"/>
                  <w:vMerge w:val="restart"/>
                  <w:vAlign w:val="center"/>
                </w:tcPr>
                <w:p w14:paraId="1FA2A0C9">
                  <w:pPr>
                    <w:jc w:val="center"/>
                    <w:rPr>
                      <w:color w:val="auto"/>
                      <w:szCs w:val="21"/>
                    </w:rPr>
                  </w:pPr>
                  <w:r>
                    <w:rPr>
                      <w:color w:val="auto"/>
                      <w:szCs w:val="21"/>
                    </w:rPr>
                    <w:t>高度</w:t>
                  </w:r>
                </w:p>
                <w:p w14:paraId="7C4B829A">
                  <w:pPr>
                    <w:jc w:val="center"/>
                    <w:rPr>
                      <w:color w:val="auto"/>
                      <w:szCs w:val="21"/>
                    </w:rPr>
                  </w:pPr>
                  <w:r>
                    <w:rPr>
                      <w:color w:val="auto"/>
                      <w:szCs w:val="21"/>
                    </w:rPr>
                    <w:t>(m)</w:t>
                  </w:r>
                </w:p>
              </w:tc>
              <w:tc>
                <w:tcPr>
                  <w:tcW w:w="348" w:type="pct"/>
                  <w:vMerge w:val="restart"/>
                  <w:vAlign w:val="center"/>
                </w:tcPr>
                <w:p w14:paraId="4013A74A">
                  <w:pPr>
                    <w:jc w:val="center"/>
                    <w:rPr>
                      <w:color w:val="auto"/>
                      <w:szCs w:val="21"/>
                    </w:rPr>
                  </w:pPr>
                  <w:r>
                    <w:rPr>
                      <w:color w:val="auto"/>
                      <w:szCs w:val="21"/>
                    </w:rPr>
                    <w:t>内径</w:t>
                  </w:r>
                </w:p>
                <w:p w14:paraId="716A6ADF">
                  <w:pPr>
                    <w:jc w:val="center"/>
                    <w:rPr>
                      <w:color w:val="auto"/>
                      <w:szCs w:val="21"/>
                    </w:rPr>
                  </w:pPr>
                  <w:r>
                    <w:rPr>
                      <w:color w:val="auto"/>
                      <w:szCs w:val="21"/>
                    </w:rPr>
                    <w:t>(m)</w:t>
                  </w:r>
                </w:p>
              </w:tc>
              <w:tc>
                <w:tcPr>
                  <w:tcW w:w="389" w:type="pct"/>
                  <w:vMerge w:val="restart"/>
                  <w:vAlign w:val="center"/>
                </w:tcPr>
                <w:p w14:paraId="5157631F">
                  <w:pPr>
                    <w:jc w:val="center"/>
                    <w:rPr>
                      <w:color w:val="auto"/>
                      <w:szCs w:val="21"/>
                    </w:rPr>
                  </w:pPr>
                  <w:r>
                    <w:rPr>
                      <w:color w:val="auto"/>
                      <w:szCs w:val="21"/>
                    </w:rPr>
                    <w:t>温度</w:t>
                  </w:r>
                </w:p>
                <w:p w14:paraId="51484653">
                  <w:pPr>
                    <w:jc w:val="center"/>
                    <w:rPr>
                      <w:color w:val="auto"/>
                      <w:szCs w:val="21"/>
                    </w:rPr>
                  </w:pPr>
                  <w:r>
                    <w:rPr>
                      <w:color w:val="auto"/>
                      <w:szCs w:val="21"/>
                    </w:rPr>
                    <w:t>(℃)</w:t>
                  </w:r>
                </w:p>
              </w:tc>
              <w:tc>
                <w:tcPr>
                  <w:tcW w:w="464" w:type="pct"/>
                  <w:vMerge w:val="restart"/>
                  <w:vAlign w:val="center"/>
                </w:tcPr>
                <w:p w14:paraId="1E53553B">
                  <w:pPr>
                    <w:jc w:val="center"/>
                    <w:rPr>
                      <w:color w:val="auto"/>
                      <w:szCs w:val="21"/>
                    </w:rPr>
                  </w:pPr>
                  <w:r>
                    <w:rPr>
                      <w:color w:val="auto"/>
                      <w:szCs w:val="21"/>
                    </w:rPr>
                    <w:t>污染物名称</w:t>
                  </w:r>
                </w:p>
              </w:tc>
              <w:tc>
                <w:tcPr>
                  <w:tcW w:w="326" w:type="pct"/>
                  <w:vMerge w:val="restart"/>
                  <w:vAlign w:val="center"/>
                </w:tcPr>
                <w:p w14:paraId="29C3C208">
                  <w:pPr>
                    <w:jc w:val="center"/>
                    <w:rPr>
                      <w:color w:val="auto"/>
                      <w:szCs w:val="21"/>
                    </w:rPr>
                  </w:pPr>
                  <w:r>
                    <w:rPr>
                      <w:color w:val="auto"/>
                      <w:szCs w:val="21"/>
                    </w:rPr>
                    <w:t>类型</w:t>
                  </w:r>
                </w:p>
              </w:tc>
              <w:tc>
                <w:tcPr>
                  <w:tcW w:w="1239" w:type="pct"/>
                  <w:vMerge w:val="restart"/>
                  <w:vAlign w:val="center"/>
                </w:tcPr>
                <w:p w14:paraId="28D17968">
                  <w:pPr>
                    <w:jc w:val="center"/>
                    <w:rPr>
                      <w:color w:val="auto"/>
                      <w:szCs w:val="21"/>
                    </w:rPr>
                  </w:pPr>
                  <w:r>
                    <w:rPr>
                      <w:color w:val="auto"/>
                      <w:szCs w:val="21"/>
                    </w:rPr>
                    <w:t>排放标准</w:t>
                  </w:r>
                </w:p>
              </w:tc>
            </w:tr>
            <w:tr w14:paraId="712B55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62" w:hRule="atLeast"/>
                <w:jc w:val="center"/>
              </w:trPr>
              <w:tc>
                <w:tcPr>
                  <w:tcW w:w="787" w:type="pct"/>
                  <w:vMerge w:val="continue"/>
                  <w:vAlign w:val="center"/>
                </w:tcPr>
                <w:p w14:paraId="47BF9B5D">
                  <w:pPr>
                    <w:widowControl/>
                    <w:rPr>
                      <w:color w:val="auto"/>
                      <w:szCs w:val="21"/>
                    </w:rPr>
                  </w:pPr>
                </w:p>
              </w:tc>
              <w:tc>
                <w:tcPr>
                  <w:tcW w:w="566" w:type="pct"/>
                  <w:vAlign w:val="center"/>
                </w:tcPr>
                <w:p w14:paraId="7B4EDEAF">
                  <w:pPr>
                    <w:jc w:val="center"/>
                    <w:rPr>
                      <w:color w:val="auto"/>
                      <w:szCs w:val="21"/>
                    </w:rPr>
                  </w:pPr>
                  <w:r>
                    <w:rPr>
                      <w:color w:val="auto"/>
                      <w:szCs w:val="21"/>
                    </w:rPr>
                    <w:t>经度</w:t>
                  </w:r>
                </w:p>
              </w:tc>
              <w:tc>
                <w:tcPr>
                  <w:tcW w:w="489" w:type="pct"/>
                  <w:vAlign w:val="center"/>
                </w:tcPr>
                <w:p w14:paraId="6F2BA8C7">
                  <w:pPr>
                    <w:jc w:val="center"/>
                    <w:rPr>
                      <w:color w:val="auto"/>
                      <w:szCs w:val="21"/>
                    </w:rPr>
                  </w:pPr>
                  <w:r>
                    <w:rPr>
                      <w:color w:val="auto"/>
                      <w:szCs w:val="21"/>
                    </w:rPr>
                    <w:t>纬度</w:t>
                  </w:r>
                </w:p>
              </w:tc>
              <w:tc>
                <w:tcPr>
                  <w:tcW w:w="389" w:type="pct"/>
                  <w:vMerge w:val="continue"/>
                  <w:vAlign w:val="center"/>
                </w:tcPr>
                <w:p w14:paraId="688573E3">
                  <w:pPr>
                    <w:jc w:val="center"/>
                    <w:rPr>
                      <w:color w:val="auto"/>
                      <w:szCs w:val="21"/>
                    </w:rPr>
                  </w:pPr>
                </w:p>
              </w:tc>
              <w:tc>
                <w:tcPr>
                  <w:tcW w:w="348" w:type="pct"/>
                  <w:vMerge w:val="continue"/>
                  <w:vAlign w:val="center"/>
                </w:tcPr>
                <w:p w14:paraId="71DDD28A">
                  <w:pPr>
                    <w:jc w:val="center"/>
                    <w:rPr>
                      <w:color w:val="auto"/>
                      <w:szCs w:val="21"/>
                    </w:rPr>
                  </w:pPr>
                </w:p>
              </w:tc>
              <w:tc>
                <w:tcPr>
                  <w:tcW w:w="389" w:type="pct"/>
                  <w:vMerge w:val="continue"/>
                  <w:vAlign w:val="center"/>
                </w:tcPr>
                <w:p w14:paraId="07427982">
                  <w:pPr>
                    <w:jc w:val="center"/>
                    <w:rPr>
                      <w:color w:val="auto"/>
                      <w:szCs w:val="21"/>
                    </w:rPr>
                  </w:pPr>
                </w:p>
              </w:tc>
              <w:tc>
                <w:tcPr>
                  <w:tcW w:w="464" w:type="pct"/>
                  <w:vMerge w:val="continue"/>
                  <w:vAlign w:val="center"/>
                </w:tcPr>
                <w:p w14:paraId="09BED5BD">
                  <w:pPr>
                    <w:widowControl/>
                    <w:rPr>
                      <w:color w:val="auto"/>
                      <w:szCs w:val="21"/>
                    </w:rPr>
                  </w:pPr>
                </w:p>
              </w:tc>
              <w:tc>
                <w:tcPr>
                  <w:tcW w:w="326" w:type="pct"/>
                  <w:vMerge w:val="continue"/>
                  <w:vAlign w:val="center"/>
                </w:tcPr>
                <w:p w14:paraId="1D373356">
                  <w:pPr>
                    <w:widowControl/>
                    <w:rPr>
                      <w:color w:val="auto"/>
                      <w:szCs w:val="21"/>
                    </w:rPr>
                  </w:pPr>
                </w:p>
              </w:tc>
              <w:tc>
                <w:tcPr>
                  <w:tcW w:w="1239" w:type="pct"/>
                  <w:vMerge w:val="continue"/>
                  <w:vAlign w:val="center"/>
                </w:tcPr>
                <w:p w14:paraId="2B6B55B8">
                  <w:pPr>
                    <w:widowControl/>
                    <w:rPr>
                      <w:color w:val="auto"/>
                      <w:szCs w:val="21"/>
                    </w:rPr>
                  </w:pPr>
                </w:p>
              </w:tc>
            </w:tr>
            <w:tr w14:paraId="2AD1AE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787" w:type="pct"/>
                  <w:vMerge w:val="restart"/>
                  <w:vAlign w:val="center"/>
                </w:tcPr>
                <w:p w14:paraId="716C809D">
                  <w:pPr>
                    <w:jc w:val="center"/>
                    <w:rPr>
                      <w:color w:val="auto"/>
                      <w:kern w:val="0"/>
                      <w:szCs w:val="21"/>
                      <w:lang w:bidi="ar"/>
                    </w:rPr>
                  </w:pPr>
                  <w:r>
                    <w:rPr>
                      <w:rFonts w:hint="eastAsia"/>
                      <w:color w:val="auto"/>
                      <w:szCs w:val="21"/>
                      <w:lang w:eastAsia="zh-CN"/>
                    </w:rPr>
                    <w:t>360万kcal/h</w:t>
                  </w:r>
                  <w:r>
                    <w:rPr>
                      <w:color w:val="auto"/>
                      <w:szCs w:val="21"/>
                    </w:rPr>
                    <w:t>热风炉</w:t>
                  </w:r>
                  <w:r>
                    <w:rPr>
                      <w:color w:val="auto"/>
                      <w:kern w:val="0"/>
                      <w:szCs w:val="21"/>
                      <w:lang w:bidi="ar"/>
                    </w:rPr>
                    <w:t>烟囱</w:t>
                  </w:r>
                  <w:r>
                    <w:rPr>
                      <w:color w:val="auto"/>
                      <w:szCs w:val="21"/>
                    </w:rPr>
                    <w:t>（</w:t>
                  </w:r>
                  <w:r>
                    <w:rPr>
                      <w:color w:val="auto"/>
                      <w:kern w:val="0"/>
                      <w:szCs w:val="21"/>
                      <w:lang w:bidi="ar"/>
                    </w:rPr>
                    <w:t>DA00</w:t>
                  </w:r>
                  <w:r>
                    <w:rPr>
                      <w:rFonts w:hint="eastAsia"/>
                      <w:color w:val="auto"/>
                      <w:kern w:val="0"/>
                      <w:szCs w:val="21"/>
                      <w:lang w:bidi="ar"/>
                    </w:rPr>
                    <w:t>1</w:t>
                  </w:r>
                  <w:r>
                    <w:rPr>
                      <w:color w:val="auto"/>
                      <w:szCs w:val="21"/>
                    </w:rPr>
                    <w:t>）</w:t>
                  </w:r>
                </w:p>
              </w:tc>
              <w:tc>
                <w:tcPr>
                  <w:tcW w:w="566" w:type="pct"/>
                  <w:vMerge w:val="restart"/>
                  <w:vAlign w:val="center"/>
                </w:tcPr>
                <w:p w14:paraId="7CD1C4F7">
                  <w:pPr>
                    <w:jc w:val="center"/>
                    <w:rPr>
                      <w:color w:val="auto"/>
                      <w:szCs w:val="21"/>
                    </w:rPr>
                  </w:pPr>
                  <w:r>
                    <w:rPr>
                      <w:rFonts w:hint="eastAsia"/>
                      <w:color w:val="auto"/>
                      <w:szCs w:val="21"/>
                    </w:rPr>
                    <w:t>131.323156</w:t>
                  </w:r>
                </w:p>
              </w:tc>
              <w:tc>
                <w:tcPr>
                  <w:tcW w:w="489" w:type="pct"/>
                  <w:vMerge w:val="restart"/>
                  <w:vAlign w:val="center"/>
                </w:tcPr>
                <w:p w14:paraId="511B8D60">
                  <w:pPr>
                    <w:jc w:val="center"/>
                    <w:rPr>
                      <w:color w:val="auto"/>
                      <w:szCs w:val="21"/>
                    </w:rPr>
                  </w:pPr>
                  <w:r>
                    <w:rPr>
                      <w:rFonts w:hint="eastAsia"/>
                      <w:color w:val="auto"/>
                      <w:szCs w:val="21"/>
                    </w:rPr>
                    <w:t>47.088746</w:t>
                  </w:r>
                </w:p>
              </w:tc>
              <w:tc>
                <w:tcPr>
                  <w:tcW w:w="389" w:type="pct"/>
                  <w:vMerge w:val="restart"/>
                  <w:vAlign w:val="center"/>
                </w:tcPr>
                <w:p w14:paraId="10FED870">
                  <w:pPr>
                    <w:jc w:val="center"/>
                    <w:rPr>
                      <w:color w:val="auto"/>
                      <w:szCs w:val="21"/>
                    </w:rPr>
                  </w:pPr>
                  <w:r>
                    <w:rPr>
                      <w:rFonts w:hint="eastAsia"/>
                      <w:color w:val="auto"/>
                      <w:szCs w:val="21"/>
                    </w:rPr>
                    <w:t>15</w:t>
                  </w:r>
                </w:p>
              </w:tc>
              <w:tc>
                <w:tcPr>
                  <w:tcW w:w="348" w:type="pct"/>
                  <w:vMerge w:val="restart"/>
                  <w:vAlign w:val="center"/>
                </w:tcPr>
                <w:p w14:paraId="0F16E317">
                  <w:pPr>
                    <w:jc w:val="center"/>
                    <w:rPr>
                      <w:color w:val="auto"/>
                      <w:szCs w:val="21"/>
                    </w:rPr>
                  </w:pPr>
                  <w:r>
                    <w:rPr>
                      <w:rFonts w:hint="eastAsia"/>
                      <w:color w:val="auto"/>
                      <w:szCs w:val="21"/>
                    </w:rPr>
                    <w:t>0.5</w:t>
                  </w:r>
                </w:p>
              </w:tc>
              <w:tc>
                <w:tcPr>
                  <w:tcW w:w="389" w:type="pct"/>
                  <w:vMerge w:val="restart"/>
                  <w:vAlign w:val="center"/>
                </w:tcPr>
                <w:p w14:paraId="4082F921">
                  <w:pPr>
                    <w:jc w:val="center"/>
                    <w:rPr>
                      <w:color w:val="auto"/>
                      <w:szCs w:val="21"/>
                    </w:rPr>
                  </w:pPr>
                  <w:r>
                    <w:rPr>
                      <w:color w:val="auto"/>
                      <w:szCs w:val="21"/>
                    </w:rPr>
                    <w:t>120.0</w:t>
                  </w:r>
                </w:p>
              </w:tc>
              <w:tc>
                <w:tcPr>
                  <w:tcW w:w="464" w:type="pct"/>
                  <w:vAlign w:val="center"/>
                </w:tcPr>
                <w:p w14:paraId="52A846C8">
                  <w:pPr>
                    <w:jc w:val="center"/>
                    <w:rPr>
                      <w:color w:val="auto"/>
                      <w:szCs w:val="21"/>
                    </w:rPr>
                  </w:pPr>
                  <w:r>
                    <w:rPr>
                      <w:color w:val="auto"/>
                      <w:szCs w:val="21"/>
                    </w:rPr>
                    <w:t>颗粒物、SO</w:t>
                  </w:r>
                  <w:r>
                    <w:rPr>
                      <w:color w:val="auto"/>
                      <w:szCs w:val="21"/>
                      <w:vertAlign w:val="subscript"/>
                    </w:rPr>
                    <w:t>2</w:t>
                  </w:r>
                  <w:r>
                    <w:rPr>
                      <w:color w:val="auto"/>
                      <w:szCs w:val="21"/>
                    </w:rPr>
                    <w:t>、烟气黑度</w:t>
                  </w:r>
                  <w:r>
                    <w:rPr>
                      <w:rFonts w:hint="eastAsia"/>
                      <w:color w:val="auto"/>
                      <w:szCs w:val="21"/>
                    </w:rPr>
                    <w:t>、汞</w:t>
                  </w:r>
                </w:p>
              </w:tc>
              <w:tc>
                <w:tcPr>
                  <w:tcW w:w="326" w:type="pct"/>
                  <w:vMerge w:val="restart"/>
                  <w:vAlign w:val="center"/>
                </w:tcPr>
                <w:p w14:paraId="738D810E">
                  <w:pPr>
                    <w:jc w:val="center"/>
                    <w:rPr>
                      <w:color w:val="auto"/>
                      <w:szCs w:val="21"/>
                    </w:rPr>
                  </w:pPr>
                  <w:r>
                    <w:rPr>
                      <w:color w:val="auto"/>
                      <w:szCs w:val="21"/>
                    </w:rPr>
                    <w:t>一般排放口</w:t>
                  </w:r>
                </w:p>
              </w:tc>
              <w:tc>
                <w:tcPr>
                  <w:tcW w:w="1239" w:type="pct"/>
                  <w:vAlign w:val="center"/>
                </w:tcPr>
                <w:p w14:paraId="7EE266B1">
                  <w:pPr>
                    <w:jc w:val="center"/>
                    <w:rPr>
                      <w:color w:val="auto"/>
                      <w:szCs w:val="21"/>
                    </w:rPr>
                  </w:pPr>
                  <w:r>
                    <w:rPr>
                      <w:color w:val="auto"/>
                      <w:szCs w:val="21"/>
                    </w:rPr>
                    <w:t>《工业炉窑大气污染物排放标准》（GB9078-1996）表2干燥炉和表4燃煤（油）炉窑的二级标准限值要求</w:t>
                  </w:r>
                  <w:r>
                    <w:rPr>
                      <w:rFonts w:hint="eastAsia"/>
                      <w:color w:val="auto"/>
                      <w:szCs w:val="21"/>
                    </w:rPr>
                    <w:t>。</w:t>
                  </w:r>
                </w:p>
              </w:tc>
            </w:tr>
            <w:tr w14:paraId="374705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787" w:type="pct"/>
                  <w:vMerge w:val="continue"/>
                  <w:vAlign w:val="center"/>
                </w:tcPr>
                <w:p w14:paraId="58322ECB">
                  <w:pPr>
                    <w:jc w:val="center"/>
                    <w:rPr>
                      <w:color w:val="auto"/>
                      <w:szCs w:val="21"/>
                    </w:rPr>
                  </w:pPr>
                </w:p>
              </w:tc>
              <w:tc>
                <w:tcPr>
                  <w:tcW w:w="566" w:type="pct"/>
                  <w:vMerge w:val="continue"/>
                  <w:vAlign w:val="center"/>
                </w:tcPr>
                <w:p w14:paraId="2B0769E0">
                  <w:pPr>
                    <w:jc w:val="center"/>
                    <w:rPr>
                      <w:color w:val="auto"/>
                      <w:szCs w:val="21"/>
                    </w:rPr>
                  </w:pPr>
                </w:p>
              </w:tc>
              <w:tc>
                <w:tcPr>
                  <w:tcW w:w="489" w:type="pct"/>
                  <w:vMerge w:val="continue"/>
                  <w:vAlign w:val="center"/>
                </w:tcPr>
                <w:p w14:paraId="72E418A3">
                  <w:pPr>
                    <w:jc w:val="center"/>
                    <w:rPr>
                      <w:color w:val="auto"/>
                      <w:szCs w:val="21"/>
                    </w:rPr>
                  </w:pPr>
                </w:p>
              </w:tc>
              <w:tc>
                <w:tcPr>
                  <w:tcW w:w="389" w:type="pct"/>
                  <w:vMerge w:val="continue"/>
                  <w:vAlign w:val="center"/>
                </w:tcPr>
                <w:p w14:paraId="2419AB51">
                  <w:pPr>
                    <w:jc w:val="center"/>
                    <w:rPr>
                      <w:color w:val="auto"/>
                      <w:szCs w:val="21"/>
                    </w:rPr>
                  </w:pPr>
                </w:p>
              </w:tc>
              <w:tc>
                <w:tcPr>
                  <w:tcW w:w="348" w:type="pct"/>
                  <w:vMerge w:val="continue"/>
                  <w:vAlign w:val="center"/>
                </w:tcPr>
                <w:p w14:paraId="5235D1DA">
                  <w:pPr>
                    <w:jc w:val="center"/>
                    <w:rPr>
                      <w:color w:val="auto"/>
                      <w:szCs w:val="21"/>
                    </w:rPr>
                  </w:pPr>
                </w:p>
              </w:tc>
              <w:tc>
                <w:tcPr>
                  <w:tcW w:w="389" w:type="pct"/>
                  <w:vMerge w:val="continue"/>
                  <w:vAlign w:val="center"/>
                </w:tcPr>
                <w:p w14:paraId="5F339659">
                  <w:pPr>
                    <w:jc w:val="center"/>
                    <w:rPr>
                      <w:color w:val="auto"/>
                      <w:szCs w:val="21"/>
                    </w:rPr>
                  </w:pPr>
                </w:p>
              </w:tc>
              <w:tc>
                <w:tcPr>
                  <w:tcW w:w="464" w:type="pct"/>
                  <w:vAlign w:val="center"/>
                </w:tcPr>
                <w:p w14:paraId="3C216A4A">
                  <w:pPr>
                    <w:jc w:val="center"/>
                    <w:rPr>
                      <w:color w:val="auto"/>
                      <w:szCs w:val="21"/>
                    </w:rPr>
                  </w:pPr>
                  <w:r>
                    <w:rPr>
                      <w:color w:val="auto"/>
                      <w:szCs w:val="21"/>
                    </w:rPr>
                    <w:t>NO</w:t>
                  </w:r>
                  <w:r>
                    <w:rPr>
                      <w:color w:val="auto"/>
                      <w:szCs w:val="21"/>
                      <w:vertAlign w:val="subscript"/>
                    </w:rPr>
                    <w:t>X</w:t>
                  </w:r>
                </w:p>
              </w:tc>
              <w:tc>
                <w:tcPr>
                  <w:tcW w:w="326" w:type="pct"/>
                  <w:vMerge w:val="continue"/>
                  <w:vAlign w:val="center"/>
                </w:tcPr>
                <w:p w14:paraId="27B990DB">
                  <w:pPr>
                    <w:jc w:val="center"/>
                    <w:rPr>
                      <w:color w:val="auto"/>
                      <w:szCs w:val="21"/>
                    </w:rPr>
                  </w:pPr>
                </w:p>
              </w:tc>
              <w:tc>
                <w:tcPr>
                  <w:tcW w:w="1239" w:type="pct"/>
                  <w:vAlign w:val="center"/>
                </w:tcPr>
                <w:p w14:paraId="3AAE4D99">
                  <w:pPr>
                    <w:jc w:val="center"/>
                    <w:rPr>
                      <w:color w:val="auto"/>
                      <w:szCs w:val="21"/>
                    </w:rPr>
                  </w:pPr>
                  <w:r>
                    <w:rPr>
                      <w:rFonts w:hint="eastAsia"/>
                      <w:color w:val="auto"/>
                      <w:szCs w:val="21"/>
                    </w:rPr>
                    <w:t>/</w:t>
                  </w:r>
                </w:p>
              </w:tc>
            </w:tr>
            <w:tr w14:paraId="014E1D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787" w:type="pct"/>
                  <w:vMerge w:val="restart"/>
                  <w:vAlign w:val="center"/>
                </w:tcPr>
                <w:p w14:paraId="2261F49D">
                  <w:pPr>
                    <w:jc w:val="center"/>
                    <w:rPr>
                      <w:color w:val="auto"/>
                      <w:szCs w:val="21"/>
                    </w:rPr>
                  </w:pPr>
                  <w:r>
                    <w:rPr>
                      <w:rFonts w:hint="eastAsia"/>
                      <w:color w:val="auto"/>
                      <w:szCs w:val="21"/>
                      <w:lang w:eastAsia="zh-CN"/>
                    </w:rPr>
                    <w:t>360万kcal/h</w:t>
                  </w:r>
                  <w:r>
                    <w:rPr>
                      <w:color w:val="auto"/>
                      <w:szCs w:val="21"/>
                    </w:rPr>
                    <w:t>热风炉</w:t>
                  </w:r>
                  <w:r>
                    <w:rPr>
                      <w:color w:val="auto"/>
                      <w:kern w:val="0"/>
                      <w:szCs w:val="21"/>
                      <w:lang w:bidi="ar"/>
                    </w:rPr>
                    <w:t>烟囱</w:t>
                  </w:r>
                  <w:r>
                    <w:rPr>
                      <w:color w:val="auto"/>
                      <w:szCs w:val="21"/>
                    </w:rPr>
                    <w:t>（</w:t>
                  </w:r>
                  <w:r>
                    <w:rPr>
                      <w:color w:val="auto"/>
                      <w:kern w:val="0"/>
                      <w:szCs w:val="21"/>
                      <w:lang w:bidi="ar"/>
                    </w:rPr>
                    <w:t>DA0</w:t>
                  </w:r>
                  <w:r>
                    <w:rPr>
                      <w:rFonts w:hint="eastAsia"/>
                      <w:color w:val="auto"/>
                      <w:kern w:val="0"/>
                      <w:szCs w:val="21"/>
                      <w:lang w:bidi="ar"/>
                    </w:rPr>
                    <w:t>02</w:t>
                  </w:r>
                  <w:r>
                    <w:rPr>
                      <w:color w:val="auto"/>
                      <w:szCs w:val="21"/>
                    </w:rPr>
                    <w:t>）</w:t>
                  </w:r>
                </w:p>
              </w:tc>
              <w:tc>
                <w:tcPr>
                  <w:tcW w:w="566" w:type="pct"/>
                  <w:vMerge w:val="restart"/>
                  <w:vAlign w:val="center"/>
                </w:tcPr>
                <w:p w14:paraId="62DF728B">
                  <w:pPr>
                    <w:jc w:val="center"/>
                    <w:rPr>
                      <w:color w:val="auto"/>
                      <w:szCs w:val="21"/>
                    </w:rPr>
                  </w:pPr>
                  <w:r>
                    <w:rPr>
                      <w:rFonts w:hint="eastAsia"/>
                      <w:color w:val="auto"/>
                      <w:szCs w:val="21"/>
                    </w:rPr>
                    <w:t>131.323183</w:t>
                  </w:r>
                </w:p>
              </w:tc>
              <w:tc>
                <w:tcPr>
                  <w:tcW w:w="489" w:type="pct"/>
                  <w:vMerge w:val="restart"/>
                  <w:vAlign w:val="center"/>
                </w:tcPr>
                <w:p w14:paraId="4D11E60B">
                  <w:pPr>
                    <w:jc w:val="center"/>
                    <w:rPr>
                      <w:color w:val="auto"/>
                      <w:szCs w:val="21"/>
                    </w:rPr>
                  </w:pPr>
                  <w:r>
                    <w:rPr>
                      <w:rFonts w:hint="eastAsia"/>
                      <w:color w:val="auto"/>
                      <w:szCs w:val="21"/>
                    </w:rPr>
                    <w:t>47.088713</w:t>
                  </w:r>
                </w:p>
              </w:tc>
              <w:tc>
                <w:tcPr>
                  <w:tcW w:w="389" w:type="pct"/>
                  <w:vMerge w:val="restart"/>
                  <w:shd w:val="clear" w:color="auto" w:fill="auto"/>
                  <w:vAlign w:val="center"/>
                </w:tcPr>
                <w:p w14:paraId="3B96D60B">
                  <w:pPr>
                    <w:jc w:val="center"/>
                    <w:rPr>
                      <w:color w:val="auto"/>
                      <w:szCs w:val="21"/>
                    </w:rPr>
                  </w:pPr>
                  <w:r>
                    <w:rPr>
                      <w:rFonts w:hint="eastAsia"/>
                      <w:color w:val="auto"/>
                      <w:szCs w:val="21"/>
                    </w:rPr>
                    <w:t>15</w:t>
                  </w:r>
                </w:p>
              </w:tc>
              <w:tc>
                <w:tcPr>
                  <w:tcW w:w="348" w:type="pct"/>
                  <w:vMerge w:val="restart"/>
                  <w:shd w:val="clear" w:color="auto" w:fill="auto"/>
                  <w:vAlign w:val="center"/>
                </w:tcPr>
                <w:p w14:paraId="72DF29C9">
                  <w:pPr>
                    <w:jc w:val="center"/>
                    <w:rPr>
                      <w:color w:val="auto"/>
                      <w:szCs w:val="21"/>
                    </w:rPr>
                  </w:pPr>
                  <w:r>
                    <w:rPr>
                      <w:rFonts w:hint="eastAsia"/>
                      <w:color w:val="auto"/>
                      <w:szCs w:val="21"/>
                    </w:rPr>
                    <w:t>0.5</w:t>
                  </w:r>
                </w:p>
              </w:tc>
              <w:tc>
                <w:tcPr>
                  <w:tcW w:w="389" w:type="pct"/>
                  <w:vMerge w:val="restart"/>
                  <w:shd w:val="clear" w:color="auto" w:fill="auto"/>
                  <w:vAlign w:val="center"/>
                </w:tcPr>
                <w:p w14:paraId="51E4DFD7">
                  <w:pPr>
                    <w:jc w:val="center"/>
                    <w:rPr>
                      <w:color w:val="auto"/>
                      <w:szCs w:val="21"/>
                    </w:rPr>
                  </w:pPr>
                  <w:r>
                    <w:rPr>
                      <w:color w:val="auto"/>
                      <w:szCs w:val="21"/>
                    </w:rPr>
                    <w:t>120.0</w:t>
                  </w:r>
                </w:p>
              </w:tc>
              <w:tc>
                <w:tcPr>
                  <w:tcW w:w="464" w:type="pct"/>
                  <w:vAlign w:val="center"/>
                </w:tcPr>
                <w:p w14:paraId="26C9E22F">
                  <w:pPr>
                    <w:jc w:val="center"/>
                    <w:rPr>
                      <w:color w:val="auto"/>
                      <w:szCs w:val="21"/>
                    </w:rPr>
                  </w:pPr>
                  <w:r>
                    <w:rPr>
                      <w:color w:val="auto"/>
                      <w:szCs w:val="21"/>
                    </w:rPr>
                    <w:t>颗粒物、SO</w:t>
                  </w:r>
                  <w:r>
                    <w:rPr>
                      <w:color w:val="auto"/>
                      <w:szCs w:val="21"/>
                      <w:vertAlign w:val="subscript"/>
                    </w:rPr>
                    <w:t>2</w:t>
                  </w:r>
                  <w:r>
                    <w:rPr>
                      <w:color w:val="auto"/>
                      <w:szCs w:val="21"/>
                    </w:rPr>
                    <w:t>、烟气黑度</w:t>
                  </w:r>
                  <w:r>
                    <w:rPr>
                      <w:rFonts w:hint="eastAsia"/>
                      <w:color w:val="auto"/>
                      <w:szCs w:val="21"/>
                    </w:rPr>
                    <w:t>、汞</w:t>
                  </w:r>
                </w:p>
              </w:tc>
              <w:tc>
                <w:tcPr>
                  <w:tcW w:w="326" w:type="pct"/>
                  <w:vMerge w:val="restart"/>
                  <w:vAlign w:val="center"/>
                </w:tcPr>
                <w:p w14:paraId="38F8EF49">
                  <w:pPr>
                    <w:jc w:val="center"/>
                    <w:rPr>
                      <w:color w:val="auto"/>
                      <w:szCs w:val="21"/>
                    </w:rPr>
                  </w:pPr>
                  <w:r>
                    <w:rPr>
                      <w:color w:val="auto"/>
                      <w:szCs w:val="21"/>
                    </w:rPr>
                    <w:t>一般排放口</w:t>
                  </w:r>
                </w:p>
              </w:tc>
              <w:tc>
                <w:tcPr>
                  <w:tcW w:w="1239" w:type="pct"/>
                  <w:shd w:val="clear" w:color="auto" w:fill="auto"/>
                  <w:vAlign w:val="center"/>
                </w:tcPr>
                <w:p w14:paraId="209A8DD4">
                  <w:pPr>
                    <w:jc w:val="center"/>
                    <w:rPr>
                      <w:color w:val="auto"/>
                      <w:szCs w:val="21"/>
                    </w:rPr>
                  </w:pPr>
                  <w:r>
                    <w:rPr>
                      <w:color w:val="auto"/>
                      <w:szCs w:val="21"/>
                    </w:rPr>
                    <w:t>《工业炉窑大气污染物排放标准》（GB9078-1996）表2干燥炉和表4燃煤（油）炉窑的二级标准限值要求</w:t>
                  </w:r>
                  <w:r>
                    <w:rPr>
                      <w:rFonts w:hint="eastAsia"/>
                      <w:color w:val="auto"/>
                      <w:szCs w:val="21"/>
                    </w:rPr>
                    <w:t>。</w:t>
                  </w:r>
                </w:p>
              </w:tc>
            </w:tr>
            <w:tr w14:paraId="15B9E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787" w:type="pct"/>
                  <w:vMerge w:val="continue"/>
                  <w:vAlign w:val="center"/>
                </w:tcPr>
                <w:p w14:paraId="7095E96B">
                  <w:pPr>
                    <w:jc w:val="center"/>
                    <w:rPr>
                      <w:color w:val="auto"/>
                      <w:szCs w:val="21"/>
                    </w:rPr>
                  </w:pPr>
                </w:p>
              </w:tc>
              <w:tc>
                <w:tcPr>
                  <w:tcW w:w="566" w:type="pct"/>
                  <w:vMerge w:val="continue"/>
                  <w:vAlign w:val="center"/>
                </w:tcPr>
                <w:p w14:paraId="2603DADE">
                  <w:pPr>
                    <w:jc w:val="center"/>
                    <w:rPr>
                      <w:color w:val="auto"/>
                      <w:szCs w:val="21"/>
                    </w:rPr>
                  </w:pPr>
                </w:p>
              </w:tc>
              <w:tc>
                <w:tcPr>
                  <w:tcW w:w="489" w:type="pct"/>
                  <w:vMerge w:val="continue"/>
                  <w:vAlign w:val="center"/>
                </w:tcPr>
                <w:p w14:paraId="61242333">
                  <w:pPr>
                    <w:jc w:val="center"/>
                    <w:rPr>
                      <w:color w:val="auto"/>
                      <w:szCs w:val="21"/>
                    </w:rPr>
                  </w:pPr>
                </w:p>
              </w:tc>
              <w:tc>
                <w:tcPr>
                  <w:tcW w:w="389" w:type="pct"/>
                  <w:vMerge w:val="continue"/>
                  <w:vAlign w:val="center"/>
                </w:tcPr>
                <w:p w14:paraId="3FA0DC7D">
                  <w:pPr>
                    <w:jc w:val="center"/>
                    <w:rPr>
                      <w:color w:val="auto"/>
                      <w:szCs w:val="21"/>
                    </w:rPr>
                  </w:pPr>
                </w:p>
              </w:tc>
              <w:tc>
                <w:tcPr>
                  <w:tcW w:w="348" w:type="pct"/>
                  <w:vMerge w:val="continue"/>
                  <w:vAlign w:val="center"/>
                </w:tcPr>
                <w:p w14:paraId="4DB23889">
                  <w:pPr>
                    <w:jc w:val="center"/>
                    <w:rPr>
                      <w:color w:val="auto"/>
                      <w:szCs w:val="21"/>
                    </w:rPr>
                  </w:pPr>
                </w:p>
              </w:tc>
              <w:tc>
                <w:tcPr>
                  <w:tcW w:w="389" w:type="pct"/>
                  <w:vMerge w:val="continue"/>
                  <w:vAlign w:val="center"/>
                </w:tcPr>
                <w:p w14:paraId="00DA9038">
                  <w:pPr>
                    <w:jc w:val="center"/>
                    <w:rPr>
                      <w:color w:val="auto"/>
                      <w:szCs w:val="21"/>
                    </w:rPr>
                  </w:pPr>
                </w:p>
              </w:tc>
              <w:tc>
                <w:tcPr>
                  <w:tcW w:w="464" w:type="pct"/>
                  <w:vAlign w:val="center"/>
                </w:tcPr>
                <w:p w14:paraId="244D6538">
                  <w:pPr>
                    <w:jc w:val="center"/>
                    <w:rPr>
                      <w:color w:val="auto"/>
                      <w:szCs w:val="21"/>
                    </w:rPr>
                  </w:pPr>
                  <w:r>
                    <w:rPr>
                      <w:color w:val="auto"/>
                      <w:szCs w:val="21"/>
                    </w:rPr>
                    <w:t>NO</w:t>
                  </w:r>
                  <w:r>
                    <w:rPr>
                      <w:color w:val="auto"/>
                      <w:szCs w:val="21"/>
                      <w:vertAlign w:val="subscript"/>
                    </w:rPr>
                    <w:t>X</w:t>
                  </w:r>
                </w:p>
              </w:tc>
              <w:tc>
                <w:tcPr>
                  <w:tcW w:w="326" w:type="pct"/>
                  <w:vMerge w:val="continue"/>
                  <w:vAlign w:val="center"/>
                </w:tcPr>
                <w:p w14:paraId="07E99674">
                  <w:pPr>
                    <w:jc w:val="center"/>
                    <w:rPr>
                      <w:color w:val="auto"/>
                      <w:szCs w:val="21"/>
                    </w:rPr>
                  </w:pPr>
                </w:p>
              </w:tc>
              <w:tc>
                <w:tcPr>
                  <w:tcW w:w="1239" w:type="pct"/>
                  <w:shd w:val="clear" w:color="auto" w:fill="auto"/>
                  <w:vAlign w:val="center"/>
                </w:tcPr>
                <w:p w14:paraId="5AEC5BB6">
                  <w:pPr>
                    <w:jc w:val="center"/>
                    <w:rPr>
                      <w:color w:val="auto"/>
                      <w:szCs w:val="21"/>
                    </w:rPr>
                  </w:pPr>
                  <w:r>
                    <w:rPr>
                      <w:rFonts w:hint="eastAsia"/>
                      <w:color w:val="auto"/>
                      <w:szCs w:val="21"/>
                    </w:rPr>
                    <w:t>/</w:t>
                  </w:r>
                </w:p>
              </w:tc>
            </w:tr>
          </w:tbl>
          <w:p w14:paraId="73E87D3B">
            <w:pPr>
              <w:adjustRightInd w:val="0"/>
              <w:snapToGrid w:val="0"/>
              <w:spacing w:line="360" w:lineRule="auto"/>
              <w:ind w:firstLine="482" w:firstLineChars="200"/>
              <w:jc w:val="left"/>
              <w:rPr>
                <w:b/>
                <w:bCs/>
                <w:color w:val="auto"/>
                <w:sz w:val="24"/>
              </w:rPr>
            </w:pPr>
            <w:r>
              <w:rPr>
                <w:b/>
                <w:bCs/>
                <w:color w:val="auto"/>
                <w:sz w:val="24"/>
              </w:rPr>
              <w:t>2、非正常状况下废气源强</w:t>
            </w:r>
          </w:p>
          <w:p w14:paraId="2C4EBED4">
            <w:pPr>
              <w:tabs>
                <w:tab w:val="left" w:pos="930"/>
              </w:tabs>
              <w:spacing w:line="360" w:lineRule="auto"/>
              <w:ind w:firstLine="480" w:firstLineChars="200"/>
              <w:rPr>
                <w:bCs/>
                <w:color w:val="auto"/>
                <w:sz w:val="24"/>
              </w:rPr>
            </w:pPr>
            <w:r>
              <w:rPr>
                <w:color w:val="auto"/>
                <w:kern w:val="0"/>
                <w:sz w:val="24"/>
              </w:rPr>
              <w:t>污染物非正常排放情况为：热风炉除尘系统发生故障，布袋破损，除尘效率降至85%，每次污染物非正常排放情况发生时间1小时，每年发生次数1次。</w:t>
            </w:r>
            <w:r>
              <w:rPr>
                <w:color w:val="auto"/>
                <w:sz w:val="24"/>
              </w:rPr>
              <w:t>当布袋除尘器出现故障时，应立即停炉检修。本项目非正常工况设定情景</w:t>
            </w:r>
            <w:r>
              <w:rPr>
                <w:bCs/>
                <w:color w:val="auto"/>
                <w:sz w:val="24"/>
              </w:rPr>
              <w:t>具体见表</w:t>
            </w:r>
            <w:r>
              <w:rPr>
                <w:rFonts w:hint="eastAsia"/>
                <w:bCs/>
                <w:color w:val="auto"/>
                <w:sz w:val="24"/>
              </w:rPr>
              <w:t>4-4</w:t>
            </w:r>
            <w:r>
              <w:rPr>
                <w:bCs/>
                <w:color w:val="auto"/>
                <w:sz w:val="24"/>
              </w:rPr>
              <w:t>。</w:t>
            </w:r>
          </w:p>
          <w:p w14:paraId="1429A66F">
            <w:pPr>
              <w:spacing w:line="360" w:lineRule="auto"/>
              <w:jc w:val="center"/>
              <w:rPr>
                <w:b/>
                <w:color w:val="auto"/>
                <w:sz w:val="24"/>
              </w:rPr>
            </w:pPr>
            <w:r>
              <w:rPr>
                <w:b/>
                <w:color w:val="auto"/>
                <w:sz w:val="24"/>
              </w:rPr>
              <w:t>表</w:t>
            </w:r>
            <w:r>
              <w:rPr>
                <w:rFonts w:hint="eastAsia"/>
                <w:b/>
                <w:color w:val="auto"/>
                <w:sz w:val="24"/>
              </w:rPr>
              <w:t>4-4</w:t>
            </w:r>
            <w:r>
              <w:rPr>
                <w:b/>
                <w:color w:val="auto"/>
                <w:sz w:val="24"/>
              </w:rPr>
              <w:t xml:space="preserve"> </w:t>
            </w:r>
            <w:r>
              <w:rPr>
                <w:rFonts w:hint="eastAsia"/>
                <w:b/>
                <w:color w:val="auto"/>
                <w:sz w:val="24"/>
              </w:rPr>
              <w:t xml:space="preserve"> </w:t>
            </w:r>
            <w:r>
              <w:rPr>
                <w:b/>
                <w:color w:val="auto"/>
                <w:sz w:val="24"/>
              </w:rPr>
              <w:t>非正常排放参数表</w:t>
            </w:r>
          </w:p>
          <w:tbl>
            <w:tblPr>
              <w:tblStyle w:val="35"/>
              <w:tblW w:w="79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275"/>
              <w:gridCol w:w="1515"/>
              <w:gridCol w:w="1245"/>
              <w:gridCol w:w="913"/>
              <w:gridCol w:w="1128"/>
              <w:gridCol w:w="921"/>
            </w:tblGrid>
            <w:tr w14:paraId="0EE2EE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0" w:type="dxa"/>
                  <w:noWrap w:val="0"/>
                  <w:vAlign w:val="center"/>
                </w:tcPr>
                <w:p w14:paraId="2004B939">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非正常排放源</w:t>
                  </w:r>
                </w:p>
              </w:tc>
              <w:tc>
                <w:tcPr>
                  <w:tcW w:w="1275" w:type="dxa"/>
                  <w:noWrap w:val="0"/>
                  <w:vAlign w:val="center"/>
                </w:tcPr>
                <w:p w14:paraId="25BE680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非正常排放原因</w:t>
                  </w:r>
                </w:p>
              </w:tc>
              <w:tc>
                <w:tcPr>
                  <w:tcW w:w="1515" w:type="dxa"/>
                  <w:noWrap w:val="0"/>
                  <w:vAlign w:val="center"/>
                </w:tcPr>
                <w:p w14:paraId="6143608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污染物</w:t>
                  </w:r>
                </w:p>
              </w:tc>
              <w:tc>
                <w:tcPr>
                  <w:tcW w:w="1245" w:type="dxa"/>
                  <w:noWrap w:val="0"/>
                  <w:vAlign w:val="center"/>
                </w:tcPr>
                <w:p w14:paraId="48BB29D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非正常排放速率kg/h</w:t>
                  </w:r>
                </w:p>
              </w:tc>
              <w:tc>
                <w:tcPr>
                  <w:tcW w:w="913" w:type="dxa"/>
                  <w:noWrap w:val="0"/>
                  <w:vAlign w:val="center"/>
                </w:tcPr>
                <w:p w14:paraId="09D191E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rPr>
                    <w:t>非正常排放</w:t>
                  </w:r>
                  <w:r>
                    <w:rPr>
                      <w:rFonts w:hint="eastAsia" w:cs="Times New Roman"/>
                      <w:bCs/>
                      <w:color w:val="auto"/>
                      <w:szCs w:val="21"/>
                      <w:highlight w:val="none"/>
                      <w:lang w:val="en-US" w:eastAsia="zh-CN"/>
                    </w:rPr>
                    <w:t>浓度mg/m</w:t>
                  </w:r>
                  <w:r>
                    <w:rPr>
                      <w:rFonts w:hint="eastAsia" w:cs="Times New Roman"/>
                      <w:bCs/>
                      <w:color w:val="auto"/>
                      <w:szCs w:val="21"/>
                      <w:highlight w:val="none"/>
                      <w:vertAlign w:val="superscript"/>
                      <w:lang w:val="en-US" w:eastAsia="zh-CN"/>
                    </w:rPr>
                    <w:t>3</w:t>
                  </w:r>
                </w:p>
              </w:tc>
              <w:tc>
                <w:tcPr>
                  <w:tcW w:w="1128" w:type="dxa"/>
                  <w:noWrap w:val="0"/>
                  <w:vAlign w:val="center"/>
                </w:tcPr>
                <w:p w14:paraId="3CBDB7C9">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单次持续时间/h</w:t>
                  </w:r>
                </w:p>
              </w:tc>
              <w:tc>
                <w:tcPr>
                  <w:tcW w:w="921" w:type="dxa"/>
                  <w:noWrap w:val="0"/>
                  <w:vAlign w:val="center"/>
                </w:tcPr>
                <w:p w14:paraId="65B54F95">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年发生频次/次</w:t>
                  </w:r>
                </w:p>
              </w:tc>
            </w:tr>
            <w:tr w14:paraId="6FE83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0" w:type="dxa"/>
                  <w:noWrap w:val="0"/>
                  <w:vAlign w:val="center"/>
                </w:tcPr>
                <w:p w14:paraId="61A1F21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DA001</w:t>
                  </w:r>
                </w:p>
              </w:tc>
              <w:tc>
                <w:tcPr>
                  <w:tcW w:w="1275" w:type="dxa"/>
                  <w:noWrap w:val="0"/>
                  <w:vAlign w:val="center"/>
                </w:tcPr>
                <w:p w14:paraId="032ACD33">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布袋除尘器破损</w:t>
                  </w:r>
                </w:p>
              </w:tc>
              <w:tc>
                <w:tcPr>
                  <w:tcW w:w="1515" w:type="dxa"/>
                  <w:noWrap w:val="0"/>
                  <w:vAlign w:val="center"/>
                </w:tcPr>
                <w:p w14:paraId="721EC19C">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颗粒物</w:t>
                  </w:r>
                </w:p>
              </w:tc>
              <w:tc>
                <w:tcPr>
                  <w:tcW w:w="1245" w:type="dxa"/>
                  <w:noWrap w:val="0"/>
                  <w:vAlign w:val="center"/>
                </w:tcPr>
                <w:p w14:paraId="4C76F135">
                  <w:pPr>
                    <w:widowControl/>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9.825</w:t>
                  </w:r>
                </w:p>
              </w:tc>
              <w:tc>
                <w:tcPr>
                  <w:tcW w:w="913" w:type="dxa"/>
                  <w:noWrap w:val="0"/>
                  <w:vAlign w:val="center"/>
                </w:tcPr>
                <w:p w14:paraId="5664A0A6">
                  <w:pPr>
                    <w:widowControl/>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613.15</w:t>
                  </w:r>
                </w:p>
              </w:tc>
              <w:tc>
                <w:tcPr>
                  <w:tcW w:w="1128" w:type="dxa"/>
                  <w:noWrap w:val="0"/>
                  <w:vAlign w:val="center"/>
                </w:tcPr>
                <w:p w14:paraId="44993CC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w:t>
                  </w:r>
                </w:p>
              </w:tc>
              <w:tc>
                <w:tcPr>
                  <w:tcW w:w="921" w:type="dxa"/>
                  <w:noWrap w:val="0"/>
                  <w:vAlign w:val="center"/>
                </w:tcPr>
                <w:p w14:paraId="5B8560EB">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1次</w:t>
                  </w:r>
                </w:p>
              </w:tc>
            </w:tr>
            <w:tr w14:paraId="42CD3F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0" w:type="dxa"/>
                  <w:shd w:val="clear" w:color="auto" w:fill="auto"/>
                  <w:noWrap w:val="0"/>
                  <w:vAlign w:val="center"/>
                </w:tcPr>
                <w:p w14:paraId="41BEF087">
                  <w:pPr>
                    <w:adjustRightInd w:val="0"/>
                    <w:snapToGrid w:val="0"/>
                    <w:jc w:val="center"/>
                    <w:rPr>
                      <w:rFonts w:hint="eastAsia"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rPr>
                    <w:t>DA00</w:t>
                  </w:r>
                  <w:r>
                    <w:rPr>
                      <w:rFonts w:hint="eastAsia" w:cs="Times New Roman"/>
                      <w:bCs/>
                      <w:color w:val="auto"/>
                      <w:szCs w:val="21"/>
                      <w:highlight w:val="none"/>
                      <w:lang w:val="en-US" w:eastAsia="zh-CN"/>
                    </w:rPr>
                    <w:t>2</w:t>
                  </w:r>
                </w:p>
              </w:tc>
              <w:tc>
                <w:tcPr>
                  <w:tcW w:w="1275" w:type="dxa"/>
                  <w:shd w:val="clear" w:color="auto" w:fill="auto"/>
                  <w:noWrap w:val="0"/>
                  <w:vAlign w:val="center"/>
                </w:tcPr>
                <w:p w14:paraId="6950DC46">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rPr>
                    <w:t>布袋除尘器破损</w:t>
                  </w:r>
                </w:p>
              </w:tc>
              <w:tc>
                <w:tcPr>
                  <w:tcW w:w="1515" w:type="dxa"/>
                  <w:shd w:val="clear" w:color="auto" w:fill="auto"/>
                  <w:noWrap w:val="0"/>
                  <w:vAlign w:val="center"/>
                </w:tcPr>
                <w:p w14:paraId="0F1F1C96">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rPr>
                    <w:t>颗粒物</w:t>
                  </w:r>
                </w:p>
              </w:tc>
              <w:tc>
                <w:tcPr>
                  <w:tcW w:w="1245" w:type="dxa"/>
                  <w:shd w:val="clear" w:color="auto" w:fill="auto"/>
                  <w:noWrap w:val="0"/>
                  <w:vAlign w:val="center"/>
                </w:tcPr>
                <w:p w14:paraId="46464DF2">
                  <w:pPr>
                    <w:widowControl/>
                    <w:jc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szCs w:val="21"/>
                      <w:highlight w:val="none"/>
                      <w:lang w:val="en-US" w:eastAsia="zh-CN"/>
                    </w:rPr>
                    <w:t>9.825</w:t>
                  </w:r>
                </w:p>
              </w:tc>
              <w:tc>
                <w:tcPr>
                  <w:tcW w:w="913" w:type="dxa"/>
                  <w:shd w:val="clear" w:color="auto" w:fill="auto"/>
                  <w:noWrap w:val="0"/>
                  <w:vAlign w:val="center"/>
                </w:tcPr>
                <w:p w14:paraId="0D58ACC2">
                  <w:pPr>
                    <w:widowControl/>
                    <w:jc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szCs w:val="21"/>
                      <w:highlight w:val="none"/>
                      <w:lang w:val="en-US" w:eastAsia="zh-CN"/>
                    </w:rPr>
                    <w:t>613.15</w:t>
                  </w:r>
                </w:p>
              </w:tc>
              <w:tc>
                <w:tcPr>
                  <w:tcW w:w="1128" w:type="dxa"/>
                  <w:shd w:val="clear" w:color="auto" w:fill="auto"/>
                  <w:noWrap w:val="0"/>
                  <w:vAlign w:val="center"/>
                </w:tcPr>
                <w:p w14:paraId="5B1C1541">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rPr>
                    <w:t>1</w:t>
                  </w:r>
                </w:p>
              </w:tc>
              <w:tc>
                <w:tcPr>
                  <w:tcW w:w="921" w:type="dxa"/>
                  <w:shd w:val="clear" w:color="auto" w:fill="auto"/>
                  <w:noWrap w:val="0"/>
                  <w:vAlign w:val="center"/>
                </w:tcPr>
                <w:p w14:paraId="0F168CDB">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rPr>
                    <w:t>1次</w:t>
                  </w:r>
                </w:p>
              </w:tc>
            </w:tr>
          </w:tbl>
          <w:p w14:paraId="16E2544B">
            <w:pPr>
              <w:spacing w:line="360" w:lineRule="auto"/>
              <w:ind w:firstLine="482" w:firstLineChars="200"/>
              <w:rPr>
                <w:b/>
                <w:color w:val="auto"/>
                <w:sz w:val="24"/>
              </w:rPr>
            </w:pPr>
          </w:p>
          <w:p w14:paraId="3B2632E5">
            <w:pPr>
              <w:spacing w:line="360" w:lineRule="auto"/>
              <w:ind w:firstLine="482" w:firstLineChars="200"/>
              <w:rPr>
                <w:b/>
                <w:color w:val="auto"/>
                <w:sz w:val="24"/>
              </w:rPr>
            </w:pPr>
            <w:r>
              <w:rPr>
                <w:b/>
                <w:color w:val="auto"/>
                <w:sz w:val="24"/>
              </w:rPr>
              <w:t>3、监测要求</w:t>
            </w:r>
          </w:p>
          <w:p w14:paraId="4352EC4A">
            <w:pPr>
              <w:spacing w:line="360" w:lineRule="auto"/>
              <w:ind w:firstLine="480"/>
              <w:rPr>
                <w:color w:val="auto"/>
                <w:sz w:val="24"/>
              </w:rPr>
            </w:pPr>
            <w:r>
              <w:rPr>
                <w:color w:val="auto"/>
                <w:sz w:val="24"/>
              </w:rPr>
              <w:t>本项目根据《排污单位自行监测技术指南 总则》（HJ 819-2017）及</w:t>
            </w:r>
            <w:r>
              <w:rPr>
                <w:rFonts w:hint="eastAsia"/>
                <w:color w:val="auto"/>
                <w:sz w:val="24"/>
              </w:rPr>
              <w:t>《</w:t>
            </w:r>
            <w:r>
              <w:rPr>
                <w:color w:val="auto"/>
              </w:rPr>
              <w:fldChar w:fldCharType="begin"/>
            </w:r>
            <w:r>
              <w:rPr>
                <w:color w:val="auto"/>
              </w:rPr>
              <w:instrText xml:space="preserve"> HYPERLINK "https://www.mee.gov.cn/ywgz/fgbz/bz/bzwb/pwxk/202004/W020200401325055992721.pdf" </w:instrText>
            </w:r>
            <w:r>
              <w:rPr>
                <w:color w:val="auto"/>
              </w:rPr>
              <w:fldChar w:fldCharType="separate"/>
            </w:r>
            <w:r>
              <w:rPr>
                <w:rFonts w:hint="eastAsia"/>
                <w:color w:val="auto"/>
                <w:sz w:val="24"/>
              </w:rPr>
              <w:t>排污许可证申请与核发技术规范 工业炉窑</w:t>
            </w:r>
            <w:r>
              <w:rPr>
                <w:rFonts w:hint="eastAsia"/>
                <w:color w:val="auto"/>
                <w:sz w:val="24"/>
              </w:rPr>
              <w:fldChar w:fldCharType="end"/>
            </w:r>
            <w:r>
              <w:rPr>
                <w:rFonts w:hint="eastAsia"/>
                <w:color w:val="auto"/>
                <w:sz w:val="24"/>
              </w:rPr>
              <w:t>》（HJ1121-2020）</w:t>
            </w:r>
            <w:r>
              <w:rPr>
                <w:color w:val="auto"/>
                <w:sz w:val="24"/>
              </w:rPr>
              <w:t>要求，定期进行自行监测，监测计划如下：</w:t>
            </w:r>
          </w:p>
          <w:p w14:paraId="56B89B5A">
            <w:pPr>
              <w:ind w:firstLine="482" w:firstLineChars="200"/>
              <w:jc w:val="center"/>
              <w:rPr>
                <w:b/>
                <w:color w:val="auto"/>
                <w:sz w:val="24"/>
              </w:rPr>
            </w:pPr>
            <w:r>
              <w:rPr>
                <w:b/>
                <w:color w:val="auto"/>
                <w:sz w:val="24"/>
              </w:rPr>
              <w:t>表</w:t>
            </w:r>
            <w:r>
              <w:rPr>
                <w:rFonts w:hint="eastAsia"/>
                <w:b/>
                <w:color w:val="auto"/>
                <w:sz w:val="24"/>
              </w:rPr>
              <w:t>4-5</w:t>
            </w:r>
            <w:r>
              <w:rPr>
                <w:b/>
                <w:color w:val="auto"/>
                <w:sz w:val="24"/>
              </w:rPr>
              <w:t xml:space="preserve">  废气监测方案</w:t>
            </w:r>
          </w:p>
          <w:tbl>
            <w:tblPr>
              <w:tblStyle w:val="35"/>
              <w:tblW w:w="7895"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534"/>
              <w:gridCol w:w="1147"/>
              <w:gridCol w:w="1058"/>
              <w:gridCol w:w="1089"/>
              <w:gridCol w:w="3067"/>
            </w:tblGrid>
            <w:tr w14:paraId="71B0A7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1534" w:type="dxa"/>
                  <w:vAlign w:val="center"/>
                </w:tcPr>
                <w:p w14:paraId="3A59AFFB">
                  <w:pPr>
                    <w:spacing w:before="72" w:beforeLines="30"/>
                    <w:jc w:val="center"/>
                    <w:rPr>
                      <w:color w:val="auto"/>
                      <w:szCs w:val="21"/>
                    </w:rPr>
                  </w:pPr>
                  <w:r>
                    <w:rPr>
                      <w:color w:val="auto"/>
                      <w:szCs w:val="21"/>
                    </w:rPr>
                    <w:t>监测点位</w:t>
                  </w:r>
                </w:p>
              </w:tc>
              <w:tc>
                <w:tcPr>
                  <w:tcW w:w="1147" w:type="dxa"/>
                  <w:vAlign w:val="center"/>
                </w:tcPr>
                <w:p w14:paraId="5F3ED139">
                  <w:pPr>
                    <w:spacing w:before="72" w:beforeLines="30"/>
                    <w:jc w:val="center"/>
                    <w:rPr>
                      <w:color w:val="auto"/>
                      <w:szCs w:val="21"/>
                    </w:rPr>
                  </w:pPr>
                  <w:r>
                    <w:rPr>
                      <w:color w:val="auto"/>
                      <w:szCs w:val="21"/>
                    </w:rPr>
                    <w:t>监测指标</w:t>
                  </w:r>
                </w:p>
              </w:tc>
              <w:tc>
                <w:tcPr>
                  <w:tcW w:w="1058" w:type="dxa"/>
                  <w:vAlign w:val="center"/>
                </w:tcPr>
                <w:p w14:paraId="24FB0DE2">
                  <w:pPr>
                    <w:spacing w:before="72" w:beforeLines="30"/>
                    <w:jc w:val="center"/>
                    <w:rPr>
                      <w:color w:val="auto"/>
                      <w:szCs w:val="21"/>
                    </w:rPr>
                  </w:pPr>
                  <w:r>
                    <w:rPr>
                      <w:color w:val="auto"/>
                      <w:szCs w:val="21"/>
                    </w:rPr>
                    <w:t>排放类型</w:t>
                  </w:r>
                </w:p>
              </w:tc>
              <w:tc>
                <w:tcPr>
                  <w:tcW w:w="1089" w:type="dxa"/>
                  <w:vAlign w:val="center"/>
                </w:tcPr>
                <w:p w14:paraId="6EDAB93B">
                  <w:pPr>
                    <w:spacing w:before="72" w:beforeLines="30"/>
                    <w:jc w:val="center"/>
                    <w:rPr>
                      <w:color w:val="auto"/>
                      <w:szCs w:val="21"/>
                    </w:rPr>
                  </w:pPr>
                  <w:r>
                    <w:rPr>
                      <w:color w:val="auto"/>
                      <w:szCs w:val="21"/>
                    </w:rPr>
                    <w:t>监测频次</w:t>
                  </w:r>
                </w:p>
              </w:tc>
              <w:tc>
                <w:tcPr>
                  <w:tcW w:w="3067" w:type="dxa"/>
                  <w:vAlign w:val="center"/>
                </w:tcPr>
                <w:p w14:paraId="5DF0C550">
                  <w:pPr>
                    <w:spacing w:before="72" w:beforeLines="30"/>
                    <w:jc w:val="center"/>
                    <w:rPr>
                      <w:color w:val="auto"/>
                      <w:szCs w:val="21"/>
                    </w:rPr>
                  </w:pPr>
                  <w:r>
                    <w:rPr>
                      <w:color w:val="auto"/>
                      <w:szCs w:val="21"/>
                    </w:rPr>
                    <w:t>执行排放标准</w:t>
                  </w:r>
                </w:p>
              </w:tc>
            </w:tr>
            <w:tr w14:paraId="6518D5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534" w:type="dxa"/>
                  <w:vMerge w:val="restart"/>
                  <w:vAlign w:val="center"/>
                </w:tcPr>
                <w:p w14:paraId="09BBEC79">
                  <w:pPr>
                    <w:spacing w:before="72" w:beforeLines="30"/>
                    <w:jc w:val="center"/>
                    <w:rPr>
                      <w:color w:val="auto"/>
                      <w:szCs w:val="21"/>
                    </w:rPr>
                  </w:pPr>
                  <w:r>
                    <w:rPr>
                      <w:rFonts w:hint="eastAsia"/>
                      <w:color w:val="auto"/>
                      <w:szCs w:val="21"/>
                      <w:lang w:eastAsia="zh-CN"/>
                    </w:rPr>
                    <w:t>360万kcal/h</w:t>
                  </w:r>
                  <w:r>
                    <w:rPr>
                      <w:color w:val="auto"/>
                      <w:szCs w:val="21"/>
                    </w:rPr>
                    <w:t>热风炉烟囱DA001（有组织排放源）</w:t>
                  </w:r>
                </w:p>
              </w:tc>
              <w:tc>
                <w:tcPr>
                  <w:tcW w:w="1147" w:type="dxa"/>
                  <w:tcBorders>
                    <w:bottom w:val="single" w:color="auto" w:sz="4" w:space="0"/>
                  </w:tcBorders>
                  <w:vAlign w:val="center"/>
                </w:tcPr>
                <w:p w14:paraId="4E76DEFA">
                  <w:pPr>
                    <w:spacing w:before="72" w:beforeLines="30"/>
                    <w:jc w:val="center"/>
                    <w:rPr>
                      <w:color w:val="auto"/>
                      <w:szCs w:val="21"/>
                    </w:rPr>
                  </w:pPr>
                  <w:r>
                    <w:rPr>
                      <w:color w:val="auto"/>
                      <w:szCs w:val="21"/>
                    </w:rPr>
                    <w:t>颗粒物、SO</w:t>
                  </w:r>
                  <w:r>
                    <w:rPr>
                      <w:color w:val="auto"/>
                      <w:szCs w:val="21"/>
                      <w:vertAlign w:val="subscript"/>
                    </w:rPr>
                    <w:t>2</w:t>
                  </w:r>
                  <w:r>
                    <w:rPr>
                      <w:rFonts w:hint="eastAsia"/>
                      <w:color w:val="auto"/>
                      <w:szCs w:val="21"/>
                    </w:rPr>
                    <w:t>、汞</w:t>
                  </w:r>
                </w:p>
              </w:tc>
              <w:tc>
                <w:tcPr>
                  <w:tcW w:w="1058" w:type="dxa"/>
                  <w:vMerge w:val="restart"/>
                  <w:vAlign w:val="center"/>
                </w:tcPr>
                <w:p w14:paraId="0887BAA3">
                  <w:pPr>
                    <w:spacing w:before="72" w:beforeLines="30"/>
                    <w:jc w:val="center"/>
                    <w:rPr>
                      <w:color w:val="auto"/>
                      <w:szCs w:val="21"/>
                    </w:rPr>
                  </w:pPr>
                  <w:r>
                    <w:rPr>
                      <w:rFonts w:hint="eastAsia"/>
                      <w:color w:val="auto"/>
                      <w:szCs w:val="21"/>
                    </w:rPr>
                    <w:t>一般</w:t>
                  </w:r>
                  <w:r>
                    <w:rPr>
                      <w:color w:val="auto"/>
                      <w:szCs w:val="21"/>
                    </w:rPr>
                    <w:t>排放口</w:t>
                  </w:r>
                </w:p>
              </w:tc>
              <w:tc>
                <w:tcPr>
                  <w:tcW w:w="1089" w:type="dxa"/>
                  <w:tcBorders>
                    <w:bottom w:val="single" w:color="auto" w:sz="4" w:space="0"/>
                  </w:tcBorders>
                  <w:vAlign w:val="center"/>
                </w:tcPr>
                <w:p w14:paraId="4B76FFD1">
                  <w:pPr>
                    <w:spacing w:before="72" w:beforeLines="30"/>
                    <w:jc w:val="center"/>
                    <w:rPr>
                      <w:color w:val="auto"/>
                      <w:szCs w:val="21"/>
                    </w:rPr>
                  </w:pPr>
                  <w:r>
                    <w:rPr>
                      <w:color w:val="auto"/>
                      <w:szCs w:val="21"/>
                    </w:rPr>
                    <w:t>1次/年</w:t>
                  </w:r>
                </w:p>
              </w:tc>
              <w:tc>
                <w:tcPr>
                  <w:tcW w:w="3067" w:type="dxa"/>
                  <w:vMerge w:val="restart"/>
                  <w:vAlign w:val="center"/>
                </w:tcPr>
                <w:p w14:paraId="039216D2">
                  <w:pPr>
                    <w:spacing w:before="72" w:beforeLines="30"/>
                    <w:jc w:val="center"/>
                    <w:rPr>
                      <w:color w:val="auto"/>
                      <w:szCs w:val="21"/>
                    </w:rPr>
                  </w:pPr>
                  <w:r>
                    <w:rPr>
                      <w:color w:val="auto"/>
                      <w:szCs w:val="21"/>
                    </w:rPr>
                    <w:t>热风炉烟尘、SO</w:t>
                  </w:r>
                  <w:r>
                    <w:rPr>
                      <w:color w:val="auto"/>
                      <w:szCs w:val="21"/>
                      <w:vertAlign w:val="subscript"/>
                    </w:rPr>
                    <w:t>2</w:t>
                  </w:r>
                  <w:r>
                    <w:rPr>
                      <w:color w:val="auto"/>
                      <w:szCs w:val="21"/>
                    </w:rPr>
                    <w:t>执行《工业炉窑大气污染物排放标准》（GB9078-1996）表2、表4标准。</w:t>
                  </w:r>
                </w:p>
              </w:tc>
            </w:tr>
            <w:tr w14:paraId="0B2AE9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534" w:type="dxa"/>
                  <w:vMerge w:val="continue"/>
                  <w:vAlign w:val="center"/>
                </w:tcPr>
                <w:p w14:paraId="66517348">
                  <w:pPr>
                    <w:spacing w:before="72" w:beforeLines="30"/>
                    <w:jc w:val="center"/>
                    <w:rPr>
                      <w:color w:val="auto"/>
                      <w:szCs w:val="21"/>
                    </w:rPr>
                  </w:pPr>
                </w:p>
              </w:tc>
              <w:tc>
                <w:tcPr>
                  <w:tcW w:w="1147" w:type="dxa"/>
                  <w:tcBorders>
                    <w:bottom w:val="single" w:color="auto" w:sz="4" w:space="0"/>
                  </w:tcBorders>
                  <w:vAlign w:val="center"/>
                </w:tcPr>
                <w:p w14:paraId="49136B00">
                  <w:pPr>
                    <w:spacing w:before="72" w:beforeLines="30"/>
                    <w:jc w:val="center"/>
                    <w:rPr>
                      <w:color w:val="auto"/>
                      <w:szCs w:val="21"/>
                    </w:rPr>
                  </w:pPr>
                  <w:r>
                    <w:rPr>
                      <w:color w:val="auto"/>
                      <w:szCs w:val="21"/>
                    </w:rPr>
                    <w:t>NO</w:t>
                  </w:r>
                  <w:r>
                    <w:rPr>
                      <w:color w:val="auto"/>
                      <w:szCs w:val="21"/>
                      <w:vertAlign w:val="subscript"/>
                    </w:rPr>
                    <w:t>X</w:t>
                  </w:r>
                </w:p>
              </w:tc>
              <w:tc>
                <w:tcPr>
                  <w:tcW w:w="1058" w:type="dxa"/>
                  <w:vMerge w:val="continue"/>
                  <w:vAlign w:val="center"/>
                </w:tcPr>
                <w:p w14:paraId="1AACF067">
                  <w:pPr>
                    <w:spacing w:before="72" w:beforeLines="30"/>
                    <w:jc w:val="center"/>
                    <w:rPr>
                      <w:color w:val="auto"/>
                      <w:szCs w:val="21"/>
                    </w:rPr>
                  </w:pPr>
                </w:p>
              </w:tc>
              <w:tc>
                <w:tcPr>
                  <w:tcW w:w="1089" w:type="dxa"/>
                  <w:tcBorders>
                    <w:bottom w:val="single" w:color="auto" w:sz="4" w:space="0"/>
                  </w:tcBorders>
                  <w:vAlign w:val="center"/>
                </w:tcPr>
                <w:p w14:paraId="664CE550">
                  <w:pPr>
                    <w:spacing w:before="72" w:beforeLines="30"/>
                    <w:jc w:val="center"/>
                    <w:rPr>
                      <w:color w:val="auto"/>
                      <w:szCs w:val="21"/>
                    </w:rPr>
                  </w:pPr>
                  <w:r>
                    <w:rPr>
                      <w:color w:val="auto"/>
                      <w:szCs w:val="21"/>
                    </w:rPr>
                    <w:t>1次/</w:t>
                  </w:r>
                  <w:r>
                    <w:rPr>
                      <w:rFonts w:hint="eastAsia"/>
                      <w:color w:val="auto"/>
                      <w:szCs w:val="21"/>
                    </w:rPr>
                    <w:t>月</w:t>
                  </w:r>
                </w:p>
              </w:tc>
              <w:tc>
                <w:tcPr>
                  <w:tcW w:w="3067" w:type="dxa"/>
                  <w:vMerge w:val="continue"/>
                  <w:vAlign w:val="center"/>
                </w:tcPr>
                <w:p w14:paraId="43CA6B9E">
                  <w:pPr>
                    <w:spacing w:before="72" w:beforeLines="30"/>
                    <w:jc w:val="center"/>
                    <w:rPr>
                      <w:color w:val="auto"/>
                      <w:szCs w:val="21"/>
                    </w:rPr>
                  </w:pPr>
                </w:p>
              </w:tc>
            </w:tr>
            <w:tr w14:paraId="7D0D04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534" w:type="dxa"/>
                  <w:vMerge w:val="restart"/>
                  <w:vAlign w:val="center"/>
                </w:tcPr>
                <w:p w14:paraId="4DBCCFA7">
                  <w:pPr>
                    <w:spacing w:before="72" w:beforeLines="30"/>
                    <w:jc w:val="center"/>
                    <w:rPr>
                      <w:color w:val="auto"/>
                      <w:szCs w:val="21"/>
                    </w:rPr>
                  </w:pPr>
                  <w:r>
                    <w:rPr>
                      <w:rFonts w:hint="eastAsia"/>
                      <w:color w:val="auto"/>
                      <w:szCs w:val="21"/>
                      <w:lang w:eastAsia="zh-CN"/>
                    </w:rPr>
                    <w:t>360万kcal/h</w:t>
                  </w:r>
                  <w:r>
                    <w:rPr>
                      <w:color w:val="auto"/>
                      <w:szCs w:val="21"/>
                    </w:rPr>
                    <w:t>热风炉烟囱DA00</w:t>
                  </w:r>
                  <w:r>
                    <w:rPr>
                      <w:rFonts w:hint="eastAsia"/>
                      <w:color w:val="auto"/>
                      <w:szCs w:val="21"/>
                      <w:lang w:val="en-US" w:eastAsia="zh-CN"/>
                    </w:rPr>
                    <w:t>2</w:t>
                  </w:r>
                  <w:r>
                    <w:rPr>
                      <w:color w:val="auto"/>
                      <w:szCs w:val="21"/>
                    </w:rPr>
                    <w:t>（有组织排放源）</w:t>
                  </w:r>
                </w:p>
              </w:tc>
              <w:tc>
                <w:tcPr>
                  <w:tcW w:w="1147" w:type="dxa"/>
                  <w:tcBorders>
                    <w:bottom w:val="single" w:color="auto" w:sz="4" w:space="0"/>
                  </w:tcBorders>
                  <w:shd w:val="clear" w:color="auto" w:fill="auto"/>
                  <w:vAlign w:val="center"/>
                </w:tcPr>
                <w:p w14:paraId="7477D89D">
                  <w:pPr>
                    <w:spacing w:before="72" w:beforeLines="30"/>
                    <w:jc w:val="center"/>
                    <w:rPr>
                      <w:rFonts w:ascii="Times New Roman" w:hAnsi="Times New Roman" w:eastAsia="宋体" w:cs="Times New Roman"/>
                      <w:color w:val="auto"/>
                      <w:kern w:val="2"/>
                      <w:sz w:val="21"/>
                      <w:szCs w:val="21"/>
                      <w:lang w:val="en-US" w:eastAsia="zh-CN" w:bidi="ar-SA"/>
                    </w:rPr>
                  </w:pPr>
                  <w:r>
                    <w:rPr>
                      <w:color w:val="auto"/>
                      <w:szCs w:val="21"/>
                    </w:rPr>
                    <w:t>颗粒物、SO</w:t>
                  </w:r>
                  <w:r>
                    <w:rPr>
                      <w:color w:val="auto"/>
                      <w:szCs w:val="21"/>
                      <w:vertAlign w:val="subscript"/>
                    </w:rPr>
                    <w:t>2</w:t>
                  </w:r>
                  <w:r>
                    <w:rPr>
                      <w:rFonts w:hint="eastAsia"/>
                      <w:color w:val="auto"/>
                      <w:szCs w:val="21"/>
                    </w:rPr>
                    <w:t>、汞</w:t>
                  </w:r>
                </w:p>
              </w:tc>
              <w:tc>
                <w:tcPr>
                  <w:tcW w:w="1058" w:type="dxa"/>
                  <w:vMerge w:val="restart"/>
                  <w:vAlign w:val="center"/>
                </w:tcPr>
                <w:p w14:paraId="728AAF83">
                  <w:pPr>
                    <w:spacing w:before="72" w:beforeLines="30"/>
                    <w:jc w:val="center"/>
                    <w:rPr>
                      <w:color w:val="auto"/>
                      <w:szCs w:val="21"/>
                    </w:rPr>
                  </w:pPr>
                  <w:r>
                    <w:rPr>
                      <w:rFonts w:hint="eastAsia"/>
                      <w:color w:val="auto"/>
                      <w:szCs w:val="21"/>
                    </w:rPr>
                    <w:t>一般</w:t>
                  </w:r>
                  <w:r>
                    <w:rPr>
                      <w:color w:val="auto"/>
                      <w:szCs w:val="21"/>
                    </w:rPr>
                    <w:t>排放口</w:t>
                  </w:r>
                </w:p>
              </w:tc>
              <w:tc>
                <w:tcPr>
                  <w:tcW w:w="1089" w:type="dxa"/>
                  <w:tcBorders>
                    <w:bottom w:val="single" w:color="auto" w:sz="4" w:space="0"/>
                  </w:tcBorders>
                  <w:shd w:val="clear" w:color="auto" w:fill="auto"/>
                  <w:vAlign w:val="center"/>
                </w:tcPr>
                <w:p w14:paraId="490371E4">
                  <w:pPr>
                    <w:spacing w:before="72" w:beforeLines="30"/>
                    <w:jc w:val="center"/>
                    <w:rPr>
                      <w:rFonts w:ascii="Times New Roman" w:hAnsi="Times New Roman" w:eastAsia="宋体" w:cs="Times New Roman"/>
                      <w:color w:val="auto"/>
                      <w:kern w:val="2"/>
                      <w:sz w:val="21"/>
                      <w:szCs w:val="21"/>
                      <w:lang w:val="en-US" w:eastAsia="zh-CN" w:bidi="ar-SA"/>
                    </w:rPr>
                  </w:pPr>
                  <w:r>
                    <w:rPr>
                      <w:color w:val="auto"/>
                      <w:szCs w:val="21"/>
                    </w:rPr>
                    <w:t>1次/年</w:t>
                  </w:r>
                </w:p>
              </w:tc>
              <w:tc>
                <w:tcPr>
                  <w:tcW w:w="3067" w:type="dxa"/>
                  <w:vMerge w:val="restart"/>
                  <w:vAlign w:val="center"/>
                </w:tcPr>
                <w:p w14:paraId="14CB3C74">
                  <w:pPr>
                    <w:spacing w:before="72" w:beforeLines="30"/>
                    <w:jc w:val="center"/>
                    <w:rPr>
                      <w:color w:val="auto"/>
                      <w:szCs w:val="21"/>
                    </w:rPr>
                  </w:pPr>
                  <w:r>
                    <w:rPr>
                      <w:rFonts w:hint="eastAsia"/>
                      <w:color w:val="auto"/>
                      <w:szCs w:val="21"/>
                    </w:rPr>
                    <w:t>热风炉烟尘、SO2执行《工业炉窑大气污染物排放标准》（GB9078-1996）表2、表4标准。</w:t>
                  </w:r>
                </w:p>
              </w:tc>
            </w:tr>
            <w:tr w14:paraId="741C72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534" w:type="dxa"/>
                  <w:vMerge w:val="continue"/>
                  <w:vAlign w:val="center"/>
                </w:tcPr>
                <w:p w14:paraId="10A0C692">
                  <w:pPr>
                    <w:spacing w:before="72" w:beforeLines="30"/>
                    <w:jc w:val="center"/>
                    <w:rPr>
                      <w:color w:val="auto"/>
                      <w:szCs w:val="21"/>
                    </w:rPr>
                  </w:pPr>
                </w:p>
              </w:tc>
              <w:tc>
                <w:tcPr>
                  <w:tcW w:w="1147" w:type="dxa"/>
                  <w:tcBorders>
                    <w:bottom w:val="single" w:color="auto" w:sz="4" w:space="0"/>
                  </w:tcBorders>
                  <w:shd w:val="clear" w:color="auto" w:fill="auto"/>
                  <w:vAlign w:val="center"/>
                </w:tcPr>
                <w:p w14:paraId="690CEE53">
                  <w:pPr>
                    <w:spacing w:before="72" w:beforeLines="30"/>
                    <w:jc w:val="center"/>
                    <w:rPr>
                      <w:rFonts w:ascii="Times New Roman" w:hAnsi="Times New Roman" w:eastAsia="宋体" w:cs="Times New Roman"/>
                      <w:color w:val="auto"/>
                      <w:kern w:val="2"/>
                      <w:sz w:val="21"/>
                      <w:szCs w:val="21"/>
                      <w:lang w:val="en-US" w:eastAsia="zh-CN" w:bidi="ar-SA"/>
                    </w:rPr>
                  </w:pPr>
                  <w:r>
                    <w:rPr>
                      <w:color w:val="auto"/>
                      <w:szCs w:val="21"/>
                    </w:rPr>
                    <w:t>NO</w:t>
                  </w:r>
                  <w:r>
                    <w:rPr>
                      <w:color w:val="auto"/>
                      <w:szCs w:val="21"/>
                      <w:vertAlign w:val="subscript"/>
                    </w:rPr>
                    <w:t>X</w:t>
                  </w:r>
                </w:p>
              </w:tc>
              <w:tc>
                <w:tcPr>
                  <w:tcW w:w="1058" w:type="dxa"/>
                  <w:vMerge w:val="continue"/>
                  <w:vAlign w:val="center"/>
                </w:tcPr>
                <w:p w14:paraId="07664F62">
                  <w:pPr>
                    <w:spacing w:before="72" w:beforeLines="30"/>
                    <w:jc w:val="center"/>
                    <w:rPr>
                      <w:color w:val="auto"/>
                      <w:szCs w:val="21"/>
                    </w:rPr>
                  </w:pPr>
                </w:p>
              </w:tc>
              <w:tc>
                <w:tcPr>
                  <w:tcW w:w="1089" w:type="dxa"/>
                  <w:tcBorders>
                    <w:bottom w:val="single" w:color="auto" w:sz="4" w:space="0"/>
                  </w:tcBorders>
                  <w:shd w:val="clear" w:color="auto" w:fill="auto"/>
                  <w:vAlign w:val="center"/>
                </w:tcPr>
                <w:p w14:paraId="60CB7059">
                  <w:pPr>
                    <w:spacing w:before="72" w:beforeLines="30"/>
                    <w:jc w:val="center"/>
                    <w:rPr>
                      <w:rFonts w:ascii="Times New Roman" w:hAnsi="Times New Roman" w:eastAsia="宋体" w:cs="Times New Roman"/>
                      <w:color w:val="auto"/>
                      <w:kern w:val="2"/>
                      <w:sz w:val="21"/>
                      <w:szCs w:val="21"/>
                      <w:lang w:val="en-US" w:eastAsia="zh-CN" w:bidi="ar-SA"/>
                    </w:rPr>
                  </w:pPr>
                  <w:r>
                    <w:rPr>
                      <w:color w:val="auto"/>
                      <w:szCs w:val="21"/>
                    </w:rPr>
                    <w:t>1次/</w:t>
                  </w:r>
                  <w:r>
                    <w:rPr>
                      <w:rFonts w:hint="eastAsia"/>
                      <w:color w:val="auto"/>
                      <w:szCs w:val="21"/>
                    </w:rPr>
                    <w:t>月</w:t>
                  </w:r>
                </w:p>
              </w:tc>
              <w:tc>
                <w:tcPr>
                  <w:tcW w:w="3067" w:type="dxa"/>
                  <w:vMerge w:val="continue"/>
                  <w:vAlign w:val="center"/>
                </w:tcPr>
                <w:p w14:paraId="6C3F7C41">
                  <w:pPr>
                    <w:spacing w:before="72" w:beforeLines="30"/>
                    <w:jc w:val="center"/>
                    <w:rPr>
                      <w:color w:val="auto"/>
                      <w:szCs w:val="21"/>
                    </w:rPr>
                  </w:pPr>
                </w:p>
              </w:tc>
            </w:tr>
            <w:tr w14:paraId="0524A1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1534" w:type="dxa"/>
                  <w:vAlign w:val="center"/>
                </w:tcPr>
                <w:p w14:paraId="74419236">
                  <w:pPr>
                    <w:spacing w:before="72" w:beforeLines="30"/>
                    <w:jc w:val="center"/>
                    <w:rPr>
                      <w:color w:val="auto"/>
                      <w:szCs w:val="21"/>
                    </w:rPr>
                  </w:pPr>
                  <w:r>
                    <w:rPr>
                      <w:color w:val="auto"/>
                      <w:szCs w:val="21"/>
                    </w:rPr>
                    <w:t>厂界四周</w:t>
                  </w:r>
                </w:p>
              </w:tc>
              <w:tc>
                <w:tcPr>
                  <w:tcW w:w="1147" w:type="dxa"/>
                  <w:vAlign w:val="center"/>
                </w:tcPr>
                <w:p w14:paraId="3B154A05">
                  <w:pPr>
                    <w:spacing w:before="72" w:beforeLines="30"/>
                    <w:jc w:val="center"/>
                    <w:rPr>
                      <w:color w:val="auto"/>
                      <w:szCs w:val="21"/>
                    </w:rPr>
                  </w:pPr>
                  <w:r>
                    <w:rPr>
                      <w:color w:val="auto"/>
                      <w:szCs w:val="21"/>
                    </w:rPr>
                    <w:t>颗粒物</w:t>
                  </w:r>
                </w:p>
              </w:tc>
              <w:tc>
                <w:tcPr>
                  <w:tcW w:w="1058" w:type="dxa"/>
                  <w:vAlign w:val="center"/>
                </w:tcPr>
                <w:p w14:paraId="13073F63">
                  <w:pPr>
                    <w:spacing w:before="72" w:beforeLines="30"/>
                    <w:jc w:val="center"/>
                    <w:rPr>
                      <w:color w:val="auto"/>
                      <w:szCs w:val="21"/>
                    </w:rPr>
                  </w:pPr>
                  <w:r>
                    <w:rPr>
                      <w:color w:val="auto"/>
                      <w:szCs w:val="21"/>
                    </w:rPr>
                    <w:t>/</w:t>
                  </w:r>
                </w:p>
              </w:tc>
              <w:tc>
                <w:tcPr>
                  <w:tcW w:w="1089" w:type="dxa"/>
                  <w:vAlign w:val="center"/>
                </w:tcPr>
                <w:p w14:paraId="7FC5B535">
                  <w:pPr>
                    <w:spacing w:before="72" w:beforeLines="30"/>
                    <w:jc w:val="center"/>
                    <w:rPr>
                      <w:color w:val="auto"/>
                      <w:szCs w:val="21"/>
                    </w:rPr>
                  </w:pPr>
                  <w:r>
                    <w:rPr>
                      <w:color w:val="auto"/>
                      <w:szCs w:val="21"/>
                    </w:rPr>
                    <w:t>1次/年</w:t>
                  </w:r>
                </w:p>
              </w:tc>
              <w:tc>
                <w:tcPr>
                  <w:tcW w:w="3067" w:type="dxa"/>
                  <w:vAlign w:val="center"/>
                </w:tcPr>
                <w:p w14:paraId="044C47B2">
                  <w:pPr>
                    <w:spacing w:before="72" w:beforeLines="30"/>
                    <w:jc w:val="center"/>
                    <w:rPr>
                      <w:color w:val="auto"/>
                      <w:szCs w:val="21"/>
                    </w:rPr>
                  </w:pPr>
                  <w:r>
                    <w:rPr>
                      <w:color w:val="auto"/>
                      <w:szCs w:val="21"/>
                    </w:rPr>
                    <w:t>《大气污染物综合排放标准》（GB16297-1996）表2中无组织排放限值</w:t>
                  </w:r>
                </w:p>
              </w:tc>
            </w:tr>
            <w:tr w14:paraId="267635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1534" w:type="dxa"/>
                  <w:vAlign w:val="center"/>
                </w:tcPr>
                <w:p w14:paraId="5B87B607">
                  <w:pPr>
                    <w:spacing w:before="72" w:beforeLines="30"/>
                    <w:jc w:val="center"/>
                    <w:rPr>
                      <w:color w:val="auto"/>
                      <w:szCs w:val="21"/>
                    </w:rPr>
                  </w:pPr>
                  <w:r>
                    <w:rPr>
                      <w:color w:val="auto"/>
                      <w:szCs w:val="21"/>
                    </w:rPr>
                    <w:t>工业炉窑</w:t>
                  </w:r>
                  <w:r>
                    <w:rPr>
                      <w:rFonts w:hint="eastAsia"/>
                      <w:color w:val="auto"/>
                      <w:szCs w:val="21"/>
                    </w:rPr>
                    <w:t>（有车间厂房）</w:t>
                  </w:r>
                </w:p>
              </w:tc>
              <w:tc>
                <w:tcPr>
                  <w:tcW w:w="1147" w:type="dxa"/>
                  <w:vAlign w:val="center"/>
                </w:tcPr>
                <w:p w14:paraId="7CF30AE8">
                  <w:pPr>
                    <w:jc w:val="center"/>
                    <w:rPr>
                      <w:color w:val="auto"/>
                      <w:szCs w:val="21"/>
                    </w:rPr>
                  </w:pPr>
                  <w:r>
                    <w:rPr>
                      <w:rFonts w:hint="eastAsia"/>
                      <w:color w:val="auto"/>
                      <w:szCs w:val="21"/>
                    </w:rPr>
                    <w:t>颗粒物</w:t>
                  </w:r>
                </w:p>
              </w:tc>
              <w:tc>
                <w:tcPr>
                  <w:tcW w:w="1058" w:type="dxa"/>
                  <w:vAlign w:val="center"/>
                </w:tcPr>
                <w:p w14:paraId="1C5B79A8">
                  <w:pPr>
                    <w:jc w:val="center"/>
                    <w:rPr>
                      <w:color w:val="auto"/>
                      <w:szCs w:val="21"/>
                    </w:rPr>
                  </w:pPr>
                  <w:r>
                    <w:rPr>
                      <w:rFonts w:hint="eastAsia"/>
                      <w:color w:val="auto"/>
                      <w:szCs w:val="21"/>
                    </w:rPr>
                    <w:t>/</w:t>
                  </w:r>
                </w:p>
              </w:tc>
              <w:tc>
                <w:tcPr>
                  <w:tcW w:w="1089" w:type="dxa"/>
                  <w:vAlign w:val="center"/>
                </w:tcPr>
                <w:p w14:paraId="404C2069">
                  <w:pPr>
                    <w:jc w:val="center"/>
                    <w:rPr>
                      <w:color w:val="auto"/>
                      <w:szCs w:val="21"/>
                    </w:rPr>
                  </w:pPr>
                  <w:r>
                    <w:rPr>
                      <w:snapToGrid w:val="0"/>
                      <w:color w:val="auto"/>
                      <w:kern w:val="0"/>
                      <w:szCs w:val="21"/>
                    </w:rPr>
                    <w:t>1次/年</w:t>
                  </w:r>
                </w:p>
              </w:tc>
              <w:tc>
                <w:tcPr>
                  <w:tcW w:w="3067" w:type="dxa"/>
                  <w:vAlign w:val="center"/>
                </w:tcPr>
                <w:p w14:paraId="2BBD46F8">
                  <w:pPr>
                    <w:jc w:val="center"/>
                    <w:rPr>
                      <w:bCs/>
                      <w:color w:val="auto"/>
                      <w:kern w:val="0"/>
                      <w:szCs w:val="21"/>
                    </w:rPr>
                  </w:pPr>
                  <w:r>
                    <w:rPr>
                      <w:color w:val="auto"/>
                      <w:szCs w:val="21"/>
                    </w:rPr>
                    <w:t>《工业炉窑大气污染物排放标准》（GB9078-1996）表3标准</w:t>
                  </w:r>
                </w:p>
              </w:tc>
            </w:tr>
          </w:tbl>
          <w:p w14:paraId="39B174E0">
            <w:pPr>
              <w:spacing w:line="360" w:lineRule="auto"/>
              <w:ind w:firstLine="482" w:firstLineChars="200"/>
              <w:rPr>
                <w:b/>
                <w:color w:val="auto"/>
                <w:sz w:val="24"/>
              </w:rPr>
            </w:pPr>
            <w:r>
              <w:rPr>
                <w:b/>
                <w:color w:val="auto"/>
                <w:sz w:val="24"/>
              </w:rPr>
              <w:t>4、污染治理措施及环境影响分析</w:t>
            </w:r>
          </w:p>
          <w:p w14:paraId="0929B6E3">
            <w:pPr>
              <w:pStyle w:val="92"/>
              <w:spacing w:line="360" w:lineRule="auto"/>
              <w:ind w:firstLine="440"/>
              <w:rPr>
                <w:color w:val="auto"/>
              </w:rPr>
            </w:pPr>
            <w:r>
              <w:rPr>
                <w:rFonts w:hint="eastAsia"/>
                <w:bCs/>
                <w:color w:val="auto"/>
                <w:spacing w:val="-10"/>
              </w:rPr>
              <w:t>本项目</w:t>
            </w:r>
            <w:r>
              <w:rPr>
                <w:bCs/>
                <w:color w:val="auto"/>
                <w:spacing w:val="-10"/>
              </w:rPr>
              <w:t>对照《排污许可证申请与核发技术规范 工业炉窑》(HJ1121-2020)附录A，工业窑炉废气中颗粒物污染治理可行技术为燃气或净化后煤制气、袋式除尘、静电除尘，</w:t>
            </w:r>
            <w:r>
              <w:rPr>
                <w:rFonts w:hint="eastAsia"/>
                <w:color w:val="auto"/>
              </w:rPr>
              <w:t>本项目采用袋式除尘器处理热风炉废气中的颗粒物，属于可行性技术</w:t>
            </w:r>
            <w:r>
              <w:rPr>
                <w:bCs/>
                <w:color w:val="auto"/>
                <w:spacing w:val="-10"/>
              </w:rPr>
              <w:t>。</w:t>
            </w:r>
          </w:p>
          <w:p w14:paraId="7647194B">
            <w:pPr>
              <w:pStyle w:val="92"/>
              <w:spacing w:line="360" w:lineRule="auto"/>
              <w:ind w:firstLine="442"/>
              <w:rPr>
                <w:b/>
                <w:color w:val="auto"/>
                <w:spacing w:val="-10"/>
              </w:rPr>
            </w:pPr>
            <w:r>
              <w:rPr>
                <w:rFonts w:hint="eastAsia"/>
                <w:b/>
                <w:color w:val="auto"/>
                <w:spacing w:val="-10"/>
              </w:rPr>
              <w:t>5、排气筒高度合理性分析</w:t>
            </w:r>
          </w:p>
          <w:p w14:paraId="7B875D86">
            <w:pPr>
              <w:pStyle w:val="68"/>
              <w:spacing w:beforeLines="0" w:afterLines="0" w:line="360" w:lineRule="auto"/>
              <w:ind w:firstLine="480"/>
              <w:rPr>
                <w:bCs/>
                <w:color w:val="auto"/>
                <w:kern w:val="0"/>
                <w:szCs w:val="21"/>
              </w:rPr>
            </w:pPr>
            <w:r>
              <w:rPr>
                <w:rFonts w:hint="eastAsia"/>
                <w:bCs/>
                <w:color w:val="auto"/>
                <w:kern w:val="0"/>
                <w:szCs w:val="21"/>
              </w:rPr>
              <w:t>根据</w:t>
            </w:r>
            <w:r>
              <w:rPr>
                <w:bCs/>
                <w:color w:val="auto"/>
                <w:kern w:val="0"/>
                <w:szCs w:val="21"/>
              </w:rPr>
              <w:t>《工业炉窑大气污染物排放标准》（GB9078-1996）</w:t>
            </w:r>
            <w:r>
              <w:rPr>
                <w:rFonts w:hint="eastAsia"/>
                <w:bCs/>
                <w:color w:val="auto"/>
                <w:kern w:val="0"/>
                <w:szCs w:val="21"/>
              </w:rPr>
              <w:t>中4.6.1要求“各种工业炉窑烟囱（或排气筒）最低允许高度为15m”。4.6.3要求“当烟囱(或排气筒)周围半径200m距离内有建筑物时，除应执行4.6.1和4.6.2规定外，烟囱(或排气筒)还应高出最高建筑物3m以上”。本项目两个排气筒高度均为15m，周围200m范围内为民宅（厂区办公楼为5m），本项目排气筒高度符合相关要求。</w:t>
            </w:r>
          </w:p>
          <w:p w14:paraId="30A589E5">
            <w:pPr>
              <w:pStyle w:val="57"/>
              <w:spacing w:line="360" w:lineRule="auto"/>
              <w:ind w:firstLine="480"/>
              <w:rPr>
                <w:b/>
                <w:bCs/>
                <w:color w:val="auto"/>
                <w:szCs w:val="24"/>
              </w:rPr>
            </w:pPr>
            <w:r>
              <w:rPr>
                <w:rFonts w:hint="eastAsia"/>
                <w:color w:val="auto"/>
              </w:rPr>
              <w:t>二、</w:t>
            </w:r>
            <w:r>
              <w:rPr>
                <w:b/>
                <w:bCs/>
                <w:color w:val="auto"/>
                <w:szCs w:val="24"/>
              </w:rPr>
              <w:t>废水</w:t>
            </w:r>
          </w:p>
          <w:p w14:paraId="5B0D0D40">
            <w:pPr>
              <w:pStyle w:val="57"/>
              <w:spacing w:line="360" w:lineRule="auto"/>
              <w:ind w:firstLine="480"/>
              <w:rPr>
                <w:color w:val="auto"/>
              </w:rPr>
            </w:pPr>
            <w:r>
              <w:rPr>
                <w:color w:val="auto"/>
                <w:szCs w:val="24"/>
              </w:rPr>
              <w:t>本项目生产不使用水，无生产废水排放，生活污水排入防渗</w:t>
            </w:r>
            <w:r>
              <w:rPr>
                <w:rFonts w:hint="eastAsia"/>
                <w:color w:val="auto"/>
                <w:szCs w:val="24"/>
              </w:rPr>
              <w:t>厕所</w:t>
            </w:r>
            <w:r>
              <w:rPr>
                <w:color w:val="auto"/>
                <w:szCs w:val="24"/>
              </w:rPr>
              <w:t>，定期清掏，外运堆肥。</w:t>
            </w:r>
            <w:r>
              <w:rPr>
                <w:color w:val="auto"/>
              </w:rPr>
              <w:t>由于本项目仅为生活污水，且不外排，故本次不对其废水制定监测计划。</w:t>
            </w:r>
          </w:p>
          <w:p w14:paraId="3BA7AC4A">
            <w:pPr>
              <w:pStyle w:val="67"/>
              <w:rPr>
                <w:b w:val="0"/>
                <w:bCs/>
                <w:color w:val="auto"/>
                <w:szCs w:val="24"/>
              </w:rPr>
            </w:pPr>
            <w:r>
              <w:rPr>
                <w:bCs/>
                <w:color w:val="auto"/>
                <w:szCs w:val="24"/>
              </w:rPr>
              <w:t>表4-</w:t>
            </w:r>
            <w:r>
              <w:rPr>
                <w:rFonts w:hint="eastAsia"/>
                <w:bCs/>
                <w:color w:val="auto"/>
                <w:szCs w:val="24"/>
              </w:rPr>
              <w:t>6</w:t>
            </w:r>
            <w:r>
              <w:rPr>
                <w:bCs/>
                <w:color w:val="auto"/>
                <w:szCs w:val="24"/>
              </w:rPr>
              <w:t xml:space="preserve"> 本项目污水污染物产生及排放情况一览表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3"/>
              <w:gridCol w:w="808"/>
              <w:gridCol w:w="821"/>
              <w:gridCol w:w="787"/>
              <w:gridCol w:w="863"/>
              <w:gridCol w:w="1346"/>
              <w:gridCol w:w="575"/>
              <w:gridCol w:w="676"/>
              <w:gridCol w:w="708"/>
              <w:gridCol w:w="743"/>
            </w:tblGrid>
            <w:tr w14:paraId="626890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414" w:type="pct"/>
                  <w:vMerge w:val="restart"/>
                  <w:vAlign w:val="center"/>
                </w:tcPr>
                <w:p w14:paraId="368650B7">
                  <w:pPr>
                    <w:pStyle w:val="124"/>
                    <w:rPr>
                      <w:rFonts w:eastAsia="宋体"/>
                      <w:color w:val="auto"/>
                      <w:szCs w:val="21"/>
                    </w:rPr>
                  </w:pPr>
                  <w:r>
                    <w:rPr>
                      <w:rFonts w:eastAsia="宋体"/>
                      <w:color w:val="auto"/>
                      <w:szCs w:val="21"/>
                    </w:rPr>
                    <w:t>工序</w:t>
                  </w:r>
                </w:p>
              </w:tc>
              <w:tc>
                <w:tcPr>
                  <w:tcW w:w="505" w:type="pct"/>
                  <w:vMerge w:val="restart"/>
                  <w:vAlign w:val="center"/>
                </w:tcPr>
                <w:p w14:paraId="717EB1CD">
                  <w:pPr>
                    <w:pStyle w:val="124"/>
                    <w:rPr>
                      <w:rFonts w:eastAsia="宋体"/>
                      <w:color w:val="auto"/>
                      <w:szCs w:val="21"/>
                    </w:rPr>
                  </w:pPr>
                  <w:r>
                    <w:rPr>
                      <w:rFonts w:eastAsia="宋体"/>
                      <w:color w:val="auto"/>
                      <w:szCs w:val="21"/>
                    </w:rPr>
                    <w:t>污染源</w:t>
                  </w:r>
                </w:p>
              </w:tc>
              <w:tc>
                <w:tcPr>
                  <w:tcW w:w="513" w:type="pct"/>
                  <w:vMerge w:val="restart"/>
                  <w:vAlign w:val="center"/>
                </w:tcPr>
                <w:p w14:paraId="18B4E867">
                  <w:pPr>
                    <w:pStyle w:val="124"/>
                    <w:rPr>
                      <w:rFonts w:eastAsia="宋体"/>
                      <w:color w:val="auto"/>
                      <w:szCs w:val="21"/>
                    </w:rPr>
                  </w:pPr>
                  <w:r>
                    <w:rPr>
                      <w:rFonts w:eastAsia="宋体"/>
                      <w:color w:val="auto"/>
                      <w:szCs w:val="21"/>
                    </w:rPr>
                    <w:t>污染物</w:t>
                  </w:r>
                </w:p>
              </w:tc>
              <w:tc>
                <w:tcPr>
                  <w:tcW w:w="1032" w:type="pct"/>
                  <w:gridSpan w:val="2"/>
                  <w:vAlign w:val="center"/>
                </w:tcPr>
                <w:p w14:paraId="3D3C5F6C">
                  <w:pPr>
                    <w:pStyle w:val="124"/>
                    <w:rPr>
                      <w:rFonts w:eastAsia="宋体"/>
                      <w:color w:val="auto"/>
                      <w:szCs w:val="21"/>
                    </w:rPr>
                  </w:pPr>
                  <w:r>
                    <w:rPr>
                      <w:rFonts w:eastAsia="宋体"/>
                      <w:color w:val="auto"/>
                      <w:szCs w:val="21"/>
                    </w:rPr>
                    <w:t>污染物产生</w:t>
                  </w:r>
                </w:p>
              </w:tc>
              <w:tc>
                <w:tcPr>
                  <w:tcW w:w="1201" w:type="pct"/>
                  <w:gridSpan w:val="2"/>
                  <w:vAlign w:val="center"/>
                </w:tcPr>
                <w:p w14:paraId="7CC4FECD">
                  <w:pPr>
                    <w:pStyle w:val="124"/>
                    <w:rPr>
                      <w:rFonts w:eastAsia="宋体"/>
                      <w:color w:val="auto"/>
                      <w:szCs w:val="21"/>
                    </w:rPr>
                  </w:pPr>
                  <w:r>
                    <w:rPr>
                      <w:rFonts w:eastAsia="宋体"/>
                      <w:color w:val="auto"/>
                      <w:szCs w:val="21"/>
                    </w:rPr>
                    <w:t>治理措施</w:t>
                  </w:r>
                </w:p>
              </w:tc>
              <w:tc>
                <w:tcPr>
                  <w:tcW w:w="866" w:type="pct"/>
                  <w:gridSpan w:val="2"/>
                  <w:vAlign w:val="center"/>
                </w:tcPr>
                <w:p w14:paraId="7797F984">
                  <w:pPr>
                    <w:pStyle w:val="124"/>
                    <w:rPr>
                      <w:rFonts w:eastAsia="宋体"/>
                      <w:color w:val="auto"/>
                      <w:szCs w:val="21"/>
                    </w:rPr>
                  </w:pPr>
                  <w:r>
                    <w:rPr>
                      <w:rFonts w:eastAsia="宋体"/>
                      <w:color w:val="auto"/>
                      <w:szCs w:val="21"/>
                    </w:rPr>
                    <w:t>污染物排放</w:t>
                  </w:r>
                </w:p>
              </w:tc>
              <w:tc>
                <w:tcPr>
                  <w:tcW w:w="465" w:type="pct"/>
                  <w:vMerge w:val="restart"/>
                  <w:vAlign w:val="center"/>
                </w:tcPr>
                <w:p w14:paraId="35A8FA3A">
                  <w:pPr>
                    <w:pStyle w:val="124"/>
                    <w:rPr>
                      <w:rFonts w:eastAsia="宋体"/>
                      <w:color w:val="auto"/>
                      <w:szCs w:val="21"/>
                    </w:rPr>
                  </w:pPr>
                  <w:r>
                    <w:rPr>
                      <w:rFonts w:eastAsia="宋体"/>
                      <w:color w:val="auto"/>
                      <w:szCs w:val="21"/>
                    </w:rPr>
                    <w:t>排放时间</w:t>
                  </w:r>
                </w:p>
              </w:tc>
            </w:tr>
            <w:tr w14:paraId="3FBCF0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4CCF520C">
                  <w:pPr>
                    <w:pStyle w:val="124"/>
                    <w:rPr>
                      <w:rFonts w:eastAsia="宋体"/>
                      <w:color w:val="auto"/>
                      <w:szCs w:val="21"/>
                    </w:rPr>
                  </w:pPr>
                </w:p>
              </w:tc>
              <w:tc>
                <w:tcPr>
                  <w:tcW w:w="505" w:type="pct"/>
                  <w:vMerge w:val="continue"/>
                  <w:vAlign w:val="center"/>
                </w:tcPr>
                <w:p w14:paraId="693F1F5D">
                  <w:pPr>
                    <w:pStyle w:val="124"/>
                    <w:rPr>
                      <w:rFonts w:eastAsia="宋体"/>
                      <w:color w:val="auto"/>
                      <w:szCs w:val="21"/>
                    </w:rPr>
                  </w:pPr>
                </w:p>
              </w:tc>
              <w:tc>
                <w:tcPr>
                  <w:tcW w:w="513" w:type="pct"/>
                  <w:vMerge w:val="continue"/>
                  <w:vAlign w:val="center"/>
                </w:tcPr>
                <w:p w14:paraId="6CE45BD8">
                  <w:pPr>
                    <w:pStyle w:val="124"/>
                    <w:rPr>
                      <w:rFonts w:eastAsia="宋体"/>
                      <w:color w:val="auto"/>
                      <w:szCs w:val="21"/>
                    </w:rPr>
                  </w:pPr>
                </w:p>
              </w:tc>
              <w:tc>
                <w:tcPr>
                  <w:tcW w:w="492" w:type="pct"/>
                  <w:vAlign w:val="center"/>
                </w:tcPr>
                <w:p w14:paraId="570B1F00">
                  <w:pPr>
                    <w:pStyle w:val="124"/>
                    <w:rPr>
                      <w:rFonts w:eastAsia="宋体"/>
                      <w:color w:val="auto"/>
                      <w:szCs w:val="21"/>
                    </w:rPr>
                  </w:pPr>
                  <w:r>
                    <w:rPr>
                      <w:rFonts w:eastAsia="宋体"/>
                      <w:color w:val="auto"/>
                      <w:szCs w:val="21"/>
                    </w:rPr>
                    <w:t>产生浓度mg/L</w:t>
                  </w:r>
                </w:p>
              </w:tc>
              <w:tc>
                <w:tcPr>
                  <w:tcW w:w="539" w:type="pct"/>
                  <w:vAlign w:val="center"/>
                </w:tcPr>
                <w:p w14:paraId="1FF89E8E">
                  <w:pPr>
                    <w:pStyle w:val="124"/>
                    <w:rPr>
                      <w:rFonts w:eastAsia="宋体"/>
                      <w:color w:val="auto"/>
                      <w:szCs w:val="21"/>
                    </w:rPr>
                  </w:pPr>
                  <w:r>
                    <w:rPr>
                      <w:rFonts w:eastAsia="宋体"/>
                      <w:color w:val="auto"/>
                      <w:szCs w:val="21"/>
                    </w:rPr>
                    <w:t>产生量t/a</w:t>
                  </w:r>
                </w:p>
              </w:tc>
              <w:tc>
                <w:tcPr>
                  <w:tcW w:w="841" w:type="pct"/>
                  <w:vAlign w:val="center"/>
                </w:tcPr>
                <w:p w14:paraId="7E7BCB70">
                  <w:pPr>
                    <w:pStyle w:val="124"/>
                    <w:rPr>
                      <w:rFonts w:eastAsia="宋体"/>
                      <w:color w:val="auto"/>
                      <w:szCs w:val="21"/>
                    </w:rPr>
                  </w:pPr>
                  <w:r>
                    <w:rPr>
                      <w:rFonts w:eastAsia="宋体"/>
                      <w:color w:val="auto"/>
                      <w:szCs w:val="21"/>
                    </w:rPr>
                    <w:t>工艺</w:t>
                  </w:r>
                </w:p>
              </w:tc>
              <w:tc>
                <w:tcPr>
                  <w:tcW w:w="360" w:type="pct"/>
                  <w:vAlign w:val="center"/>
                </w:tcPr>
                <w:p w14:paraId="73B6DAEE">
                  <w:pPr>
                    <w:pStyle w:val="124"/>
                    <w:rPr>
                      <w:rFonts w:eastAsia="宋体"/>
                      <w:color w:val="auto"/>
                      <w:szCs w:val="21"/>
                    </w:rPr>
                  </w:pPr>
                  <w:r>
                    <w:rPr>
                      <w:rFonts w:eastAsia="宋体"/>
                      <w:color w:val="auto"/>
                      <w:szCs w:val="21"/>
                    </w:rPr>
                    <w:t>效率</w:t>
                  </w:r>
                </w:p>
              </w:tc>
              <w:tc>
                <w:tcPr>
                  <w:tcW w:w="423" w:type="pct"/>
                  <w:vAlign w:val="center"/>
                </w:tcPr>
                <w:p w14:paraId="362F4A26">
                  <w:pPr>
                    <w:pStyle w:val="124"/>
                    <w:rPr>
                      <w:rFonts w:eastAsia="宋体"/>
                      <w:color w:val="auto"/>
                      <w:szCs w:val="21"/>
                    </w:rPr>
                  </w:pPr>
                  <w:r>
                    <w:rPr>
                      <w:rFonts w:eastAsia="宋体"/>
                      <w:color w:val="auto"/>
                      <w:szCs w:val="21"/>
                    </w:rPr>
                    <w:t>排放浓度mg/L</w:t>
                  </w:r>
                </w:p>
              </w:tc>
              <w:tc>
                <w:tcPr>
                  <w:tcW w:w="443" w:type="pct"/>
                  <w:vAlign w:val="center"/>
                </w:tcPr>
                <w:p w14:paraId="49797300">
                  <w:pPr>
                    <w:pStyle w:val="124"/>
                    <w:rPr>
                      <w:rFonts w:eastAsia="宋体"/>
                      <w:color w:val="auto"/>
                      <w:szCs w:val="21"/>
                    </w:rPr>
                  </w:pPr>
                  <w:r>
                    <w:rPr>
                      <w:rFonts w:eastAsia="宋体"/>
                      <w:color w:val="auto"/>
                      <w:szCs w:val="21"/>
                    </w:rPr>
                    <w:t>排放量t/a</w:t>
                  </w:r>
                </w:p>
              </w:tc>
              <w:tc>
                <w:tcPr>
                  <w:tcW w:w="465" w:type="pct"/>
                  <w:vMerge w:val="continue"/>
                  <w:vAlign w:val="center"/>
                </w:tcPr>
                <w:p w14:paraId="0C462715">
                  <w:pPr>
                    <w:pStyle w:val="124"/>
                    <w:rPr>
                      <w:rFonts w:eastAsia="宋体"/>
                      <w:color w:val="auto"/>
                      <w:szCs w:val="21"/>
                    </w:rPr>
                  </w:pPr>
                </w:p>
              </w:tc>
            </w:tr>
            <w:tr w14:paraId="0A8B6F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restart"/>
                  <w:vAlign w:val="center"/>
                </w:tcPr>
                <w:p w14:paraId="34CE1D36">
                  <w:pPr>
                    <w:pStyle w:val="124"/>
                    <w:rPr>
                      <w:rFonts w:eastAsia="宋体"/>
                      <w:color w:val="auto"/>
                      <w:szCs w:val="21"/>
                    </w:rPr>
                  </w:pPr>
                  <w:r>
                    <w:rPr>
                      <w:rFonts w:eastAsia="宋体"/>
                      <w:color w:val="auto"/>
                      <w:szCs w:val="21"/>
                    </w:rPr>
                    <w:t>生活污水</w:t>
                  </w:r>
                </w:p>
              </w:tc>
              <w:tc>
                <w:tcPr>
                  <w:tcW w:w="505" w:type="pct"/>
                  <w:vMerge w:val="restart"/>
                  <w:vAlign w:val="center"/>
                </w:tcPr>
                <w:p w14:paraId="37EA32BA">
                  <w:pPr>
                    <w:pStyle w:val="124"/>
                    <w:rPr>
                      <w:rFonts w:eastAsia="宋体"/>
                      <w:color w:val="auto"/>
                      <w:szCs w:val="21"/>
                    </w:rPr>
                  </w:pPr>
                  <w:r>
                    <w:rPr>
                      <w:rFonts w:eastAsia="宋体"/>
                      <w:color w:val="auto"/>
                      <w:szCs w:val="21"/>
                    </w:rPr>
                    <w:t>生活污水</w:t>
                  </w:r>
                </w:p>
              </w:tc>
              <w:tc>
                <w:tcPr>
                  <w:tcW w:w="513" w:type="pct"/>
                  <w:vAlign w:val="center"/>
                </w:tcPr>
                <w:p w14:paraId="2B552E6C">
                  <w:pPr>
                    <w:pStyle w:val="124"/>
                    <w:rPr>
                      <w:rFonts w:eastAsia="宋体"/>
                      <w:color w:val="auto"/>
                      <w:szCs w:val="21"/>
                    </w:rPr>
                  </w:pPr>
                  <w:r>
                    <w:rPr>
                      <w:rFonts w:eastAsia="宋体"/>
                      <w:color w:val="auto"/>
                      <w:szCs w:val="21"/>
                    </w:rPr>
                    <w:t>COD</w:t>
                  </w:r>
                </w:p>
              </w:tc>
              <w:tc>
                <w:tcPr>
                  <w:tcW w:w="492" w:type="pct"/>
                  <w:vAlign w:val="center"/>
                </w:tcPr>
                <w:p w14:paraId="19453366">
                  <w:pPr>
                    <w:pStyle w:val="124"/>
                    <w:rPr>
                      <w:rFonts w:eastAsia="宋体"/>
                      <w:color w:val="auto"/>
                      <w:szCs w:val="21"/>
                    </w:rPr>
                  </w:pPr>
                  <w:r>
                    <w:rPr>
                      <w:rFonts w:eastAsia="宋体"/>
                      <w:color w:val="auto"/>
                      <w:szCs w:val="21"/>
                    </w:rPr>
                    <w:t>300</w:t>
                  </w:r>
                </w:p>
              </w:tc>
              <w:tc>
                <w:tcPr>
                  <w:tcW w:w="539" w:type="pct"/>
                  <w:vAlign w:val="center"/>
                </w:tcPr>
                <w:p w14:paraId="62806406">
                  <w:pPr>
                    <w:pStyle w:val="124"/>
                    <w:rPr>
                      <w:rFonts w:eastAsia="宋体"/>
                      <w:color w:val="auto"/>
                      <w:szCs w:val="21"/>
                    </w:rPr>
                  </w:pPr>
                  <w:r>
                    <w:rPr>
                      <w:rFonts w:eastAsia="宋体"/>
                      <w:color w:val="auto"/>
                      <w:szCs w:val="21"/>
                    </w:rPr>
                    <w:t>0.00</w:t>
                  </w:r>
                  <w:r>
                    <w:rPr>
                      <w:rFonts w:hint="eastAsia" w:eastAsia="宋体"/>
                      <w:color w:val="auto"/>
                      <w:szCs w:val="21"/>
                    </w:rPr>
                    <w:t>52</w:t>
                  </w:r>
                </w:p>
              </w:tc>
              <w:tc>
                <w:tcPr>
                  <w:tcW w:w="841" w:type="pct"/>
                  <w:vMerge w:val="restart"/>
                  <w:vAlign w:val="center"/>
                </w:tcPr>
                <w:p w14:paraId="788C79A1">
                  <w:pPr>
                    <w:pStyle w:val="124"/>
                    <w:jc w:val="both"/>
                    <w:rPr>
                      <w:rFonts w:eastAsia="宋体"/>
                      <w:color w:val="auto"/>
                      <w:szCs w:val="21"/>
                    </w:rPr>
                  </w:pPr>
                  <w:r>
                    <w:rPr>
                      <w:rFonts w:eastAsia="宋体"/>
                      <w:color w:val="auto"/>
                      <w:szCs w:val="21"/>
                    </w:rPr>
                    <w:t>排入防渗旱厕，定期清掏，外运堆肥。</w:t>
                  </w:r>
                </w:p>
              </w:tc>
              <w:tc>
                <w:tcPr>
                  <w:tcW w:w="360" w:type="pct"/>
                  <w:vMerge w:val="restart"/>
                  <w:vAlign w:val="center"/>
                </w:tcPr>
                <w:p w14:paraId="70FE0ACF">
                  <w:pPr>
                    <w:pStyle w:val="124"/>
                    <w:rPr>
                      <w:rFonts w:eastAsia="宋体"/>
                      <w:color w:val="auto"/>
                      <w:szCs w:val="21"/>
                    </w:rPr>
                  </w:pPr>
                  <w:r>
                    <w:rPr>
                      <w:rFonts w:eastAsia="宋体"/>
                      <w:color w:val="auto"/>
                      <w:szCs w:val="21"/>
                    </w:rPr>
                    <w:t>/</w:t>
                  </w:r>
                </w:p>
              </w:tc>
              <w:tc>
                <w:tcPr>
                  <w:tcW w:w="423" w:type="pct"/>
                  <w:vAlign w:val="center"/>
                </w:tcPr>
                <w:p w14:paraId="514DE108">
                  <w:pPr>
                    <w:pStyle w:val="124"/>
                    <w:rPr>
                      <w:rFonts w:eastAsia="宋体"/>
                      <w:color w:val="auto"/>
                      <w:szCs w:val="21"/>
                    </w:rPr>
                  </w:pPr>
                  <w:r>
                    <w:rPr>
                      <w:rFonts w:eastAsia="宋体"/>
                      <w:color w:val="auto"/>
                      <w:szCs w:val="21"/>
                    </w:rPr>
                    <w:t>/</w:t>
                  </w:r>
                </w:p>
              </w:tc>
              <w:tc>
                <w:tcPr>
                  <w:tcW w:w="443" w:type="pct"/>
                  <w:vAlign w:val="center"/>
                </w:tcPr>
                <w:p w14:paraId="0F72910C">
                  <w:pPr>
                    <w:pStyle w:val="124"/>
                    <w:rPr>
                      <w:rFonts w:eastAsia="宋体"/>
                      <w:color w:val="auto"/>
                      <w:szCs w:val="21"/>
                    </w:rPr>
                  </w:pPr>
                  <w:r>
                    <w:rPr>
                      <w:rFonts w:eastAsia="宋体"/>
                      <w:color w:val="auto"/>
                      <w:szCs w:val="21"/>
                    </w:rPr>
                    <w:t>/</w:t>
                  </w:r>
                </w:p>
              </w:tc>
              <w:tc>
                <w:tcPr>
                  <w:tcW w:w="465" w:type="pct"/>
                  <w:vMerge w:val="restart"/>
                  <w:vAlign w:val="center"/>
                </w:tcPr>
                <w:p w14:paraId="358F0A35">
                  <w:pPr>
                    <w:pStyle w:val="124"/>
                    <w:rPr>
                      <w:rFonts w:eastAsia="宋体"/>
                      <w:color w:val="auto"/>
                      <w:szCs w:val="21"/>
                    </w:rPr>
                  </w:pPr>
                  <w:r>
                    <w:rPr>
                      <w:rFonts w:hint="eastAsia" w:eastAsia="宋体"/>
                      <w:color w:val="auto"/>
                      <w:szCs w:val="21"/>
                    </w:rPr>
                    <w:t>816h</w:t>
                  </w:r>
                </w:p>
              </w:tc>
            </w:tr>
            <w:tr w14:paraId="72B72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2C603B43">
                  <w:pPr>
                    <w:pStyle w:val="124"/>
                    <w:rPr>
                      <w:rFonts w:eastAsia="宋体"/>
                      <w:color w:val="auto"/>
                      <w:szCs w:val="21"/>
                    </w:rPr>
                  </w:pPr>
                </w:p>
              </w:tc>
              <w:tc>
                <w:tcPr>
                  <w:tcW w:w="505" w:type="pct"/>
                  <w:vMerge w:val="continue"/>
                  <w:vAlign w:val="center"/>
                </w:tcPr>
                <w:p w14:paraId="453D5066">
                  <w:pPr>
                    <w:pStyle w:val="124"/>
                    <w:rPr>
                      <w:rFonts w:eastAsia="宋体"/>
                      <w:color w:val="auto"/>
                      <w:szCs w:val="21"/>
                    </w:rPr>
                  </w:pPr>
                </w:p>
              </w:tc>
              <w:tc>
                <w:tcPr>
                  <w:tcW w:w="513" w:type="pct"/>
                  <w:vAlign w:val="center"/>
                </w:tcPr>
                <w:p w14:paraId="37119735">
                  <w:pPr>
                    <w:pStyle w:val="124"/>
                    <w:rPr>
                      <w:rFonts w:eastAsia="宋体"/>
                      <w:color w:val="auto"/>
                      <w:szCs w:val="21"/>
                    </w:rPr>
                  </w:pPr>
                  <w:r>
                    <w:rPr>
                      <w:rFonts w:eastAsia="宋体"/>
                      <w:color w:val="auto"/>
                      <w:szCs w:val="21"/>
                    </w:rPr>
                    <w:t>BOD</w:t>
                  </w:r>
                  <w:r>
                    <w:rPr>
                      <w:rFonts w:eastAsia="宋体"/>
                      <w:color w:val="auto"/>
                      <w:szCs w:val="21"/>
                      <w:vertAlign w:val="subscript"/>
                    </w:rPr>
                    <w:t>5</w:t>
                  </w:r>
                </w:p>
              </w:tc>
              <w:tc>
                <w:tcPr>
                  <w:tcW w:w="492" w:type="pct"/>
                  <w:vAlign w:val="center"/>
                </w:tcPr>
                <w:p w14:paraId="66282C01">
                  <w:pPr>
                    <w:pStyle w:val="124"/>
                    <w:rPr>
                      <w:rFonts w:eastAsia="宋体"/>
                      <w:color w:val="auto"/>
                      <w:szCs w:val="21"/>
                    </w:rPr>
                  </w:pPr>
                  <w:r>
                    <w:rPr>
                      <w:rFonts w:eastAsia="宋体"/>
                      <w:color w:val="auto"/>
                      <w:szCs w:val="21"/>
                    </w:rPr>
                    <w:t>200</w:t>
                  </w:r>
                </w:p>
              </w:tc>
              <w:tc>
                <w:tcPr>
                  <w:tcW w:w="539" w:type="pct"/>
                  <w:vAlign w:val="center"/>
                </w:tcPr>
                <w:p w14:paraId="239B08F3">
                  <w:pPr>
                    <w:pStyle w:val="124"/>
                    <w:rPr>
                      <w:rFonts w:eastAsia="宋体"/>
                      <w:color w:val="auto"/>
                      <w:szCs w:val="21"/>
                    </w:rPr>
                  </w:pPr>
                  <w:r>
                    <w:rPr>
                      <w:rFonts w:eastAsia="宋体"/>
                      <w:color w:val="auto"/>
                      <w:szCs w:val="21"/>
                    </w:rPr>
                    <w:t>0.00</w:t>
                  </w:r>
                  <w:r>
                    <w:rPr>
                      <w:rFonts w:hint="eastAsia" w:eastAsia="宋体"/>
                      <w:color w:val="auto"/>
                      <w:szCs w:val="21"/>
                    </w:rPr>
                    <w:t>34</w:t>
                  </w:r>
                </w:p>
              </w:tc>
              <w:tc>
                <w:tcPr>
                  <w:tcW w:w="841" w:type="pct"/>
                  <w:vMerge w:val="continue"/>
                  <w:vAlign w:val="center"/>
                </w:tcPr>
                <w:p w14:paraId="5A17AE5E">
                  <w:pPr>
                    <w:pStyle w:val="124"/>
                    <w:rPr>
                      <w:rFonts w:eastAsia="宋体"/>
                      <w:color w:val="auto"/>
                      <w:szCs w:val="21"/>
                    </w:rPr>
                  </w:pPr>
                </w:p>
              </w:tc>
              <w:tc>
                <w:tcPr>
                  <w:tcW w:w="360" w:type="pct"/>
                  <w:vMerge w:val="continue"/>
                  <w:vAlign w:val="center"/>
                </w:tcPr>
                <w:p w14:paraId="419F9D3E">
                  <w:pPr>
                    <w:pStyle w:val="124"/>
                    <w:rPr>
                      <w:rFonts w:eastAsia="宋体"/>
                      <w:color w:val="auto"/>
                      <w:szCs w:val="21"/>
                    </w:rPr>
                  </w:pPr>
                </w:p>
              </w:tc>
              <w:tc>
                <w:tcPr>
                  <w:tcW w:w="423" w:type="pct"/>
                  <w:vAlign w:val="center"/>
                </w:tcPr>
                <w:p w14:paraId="1B9F632F">
                  <w:pPr>
                    <w:pStyle w:val="124"/>
                    <w:rPr>
                      <w:rFonts w:eastAsia="宋体"/>
                      <w:color w:val="auto"/>
                      <w:szCs w:val="21"/>
                    </w:rPr>
                  </w:pPr>
                  <w:r>
                    <w:rPr>
                      <w:rFonts w:eastAsia="宋体"/>
                      <w:color w:val="auto"/>
                      <w:szCs w:val="21"/>
                    </w:rPr>
                    <w:t>/</w:t>
                  </w:r>
                </w:p>
              </w:tc>
              <w:tc>
                <w:tcPr>
                  <w:tcW w:w="443" w:type="pct"/>
                  <w:vAlign w:val="center"/>
                </w:tcPr>
                <w:p w14:paraId="475B2217">
                  <w:pPr>
                    <w:pStyle w:val="124"/>
                    <w:rPr>
                      <w:rFonts w:eastAsia="宋体"/>
                      <w:color w:val="auto"/>
                      <w:szCs w:val="21"/>
                    </w:rPr>
                  </w:pPr>
                  <w:r>
                    <w:rPr>
                      <w:rFonts w:eastAsia="宋体"/>
                      <w:color w:val="auto"/>
                      <w:szCs w:val="21"/>
                    </w:rPr>
                    <w:t>/</w:t>
                  </w:r>
                </w:p>
              </w:tc>
              <w:tc>
                <w:tcPr>
                  <w:tcW w:w="465" w:type="pct"/>
                  <w:vMerge w:val="continue"/>
                  <w:vAlign w:val="center"/>
                </w:tcPr>
                <w:p w14:paraId="3BA7750C">
                  <w:pPr>
                    <w:pStyle w:val="124"/>
                    <w:rPr>
                      <w:rFonts w:eastAsia="宋体"/>
                      <w:color w:val="auto"/>
                      <w:szCs w:val="21"/>
                    </w:rPr>
                  </w:pPr>
                </w:p>
              </w:tc>
            </w:tr>
            <w:tr w14:paraId="78D1AC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5EE2FCBB">
                  <w:pPr>
                    <w:pStyle w:val="124"/>
                    <w:rPr>
                      <w:rFonts w:eastAsia="宋体"/>
                      <w:color w:val="auto"/>
                      <w:szCs w:val="21"/>
                    </w:rPr>
                  </w:pPr>
                </w:p>
              </w:tc>
              <w:tc>
                <w:tcPr>
                  <w:tcW w:w="505" w:type="pct"/>
                  <w:vMerge w:val="continue"/>
                  <w:vAlign w:val="center"/>
                </w:tcPr>
                <w:p w14:paraId="3EA0C04C">
                  <w:pPr>
                    <w:pStyle w:val="124"/>
                    <w:rPr>
                      <w:rFonts w:eastAsia="宋体"/>
                      <w:color w:val="auto"/>
                      <w:szCs w:val="21"/>
                    </w:rPr>
                  </w:pPr>
                </w:p>
              </w:tc>
              <w:tc>
                <w:tcPr>
                  <w:tcW w:w="513" w:type="pct"/>
                  <w:vAlign w:val="center"/>
                </w:tcPr>
                <w:p w14:paraId="588C9AF1">
                  <w:pPr>
                    <w:pStyle w:val="124"/>
                    <w:rPr>
                      <w:rFonts w:eastAsia="宋体"/>
                      <w:color w:val="auto"/>
                      <w:szCs w:val="21"/>
                    </w:rPr>
                  </w:pPr>
                  <w:r>
                    <w:rPr>
                      <w:rFonts w:eastAsia="宋体"/>
                      <w:color w:val="auto"/>
                      <w:szCs w:val="21"/>
                    </w:rPr>
                    <w:t>SS</w:t>
                  </w:r>
                </w:p>
              </w:tc>
              <w:tc>
                <w:tcPr>
                  <w:tcW w:w="492" w:type="pct"/>
                  <w:vAlign w:val="center"/>
                </w:tcPr>
                <w:p w14:paraId="2F3EB083">
                  <w:pPr>
                    <w:pStyle w:val="124"/>
                    <w:rPr>
                      <w:rFonts w:eastAsia="宋体"/>
                      <w:color w:val="auto"/>
                      <w:szCs w:val="21"/>
                    </w:rPr>
                  </w:pPr>
                  <w:r>
                    <w:rPr>
                      <w:rFonts w:eastAsia="宋体"/>
                      <w:color w:val="auto"/>
                      <w:szCs w:val="21"/>
                    </w:rPr>
                    <w:t>200</w:t>
                  </w:r>
                </w:p>
              </w:tc>
              <w:tc>
                <w:tcPr>
                  <w:tcW w:w="539" w:type="pct"/>
                  <w:vAlign w:val="center"/>
                </w:tcPr>
                <w:p w14:paraId="441B7C5D">
                  <w:pPr>
                    <w:pStyle w:val="124"/>
                    <w:rPr>
                      <w:rFonts w:eastAsia="宋体"/>
                      <w:color w:val="auto"/>
                      <w:szCs w:val="21"/>
                    </w:rPr>
                  </w:pPr>
                  <w:r>
                    <w:rPr>
                      <w:rFonts w:eastAsia="宋体"/>
                      <w:color w:val="auto"/>
                      <w:szCs w:val="21"/>
                    </w:rPr>
                    <w:t>0.00</w:t>
                  </w:r>
                  <w:r>
                    <w:rPr>
                      <w:rFonts w:hint="eastAsia" w:eastAsia="宋体"/>
                      <w:color w:val="auto"/>
                      <w:szCs w:val="21"/>
                    </w:rPr>
                    <w:t>34</w:t>
                  </w:r>
                </w:p>
              </w:tc>
              <w:tc>
                <w:tcPr>
                  <w:tcW w:w="841" w:type="pct"/>
                  <w:vMerge w:val="continue"/>
                  <w:vAlign w:val="center"/>
                </w:tcPr>
                <w:p w14:paraId="6C067404">
                  <w:pPr>
                    <w:pStyle w:val="124"/>
                    <w:rPr>
                      <w:rFonts w:eastAsia="宋体"/>
                      <w:color w:val="auto"/>
                      <w:szCs w:val="21"/>
                    </w:rPr>
                  </w:pPr>
                </w:p>
              </w:tc>
              <w:tc>
                <w:tcPr>
                  <w:tcW w:w="360" w:type="pct"/>
                  <w:vMerge w:val="continue"/>
                  <w:vAlign w:val="center"/>
                </w:tcPr>
                <w:p w14:paraId="5CA4EEE3">
                  <w:pPr>
                    <w:pStyle w:val="124"/>
                    <w:rPr>
                      <w:rFonts w:eastAsia="宋体"/>
                      <w:color w:val="auto"/>
                      <w:szCs w:val="21"/>
                    </w:rPr>
                  </w:pPr>
                </w:p>
              </w:tc>
              <w:tc>
                <w:tcPr>
                  <w:tcW w:w="423" w:type="pct"/>
                  <w:vAlign w:val="center"/>
                </w:tcPr>
                <w:p w14:paraId="38089811">
                  <w:pPr>
                    <w:pStyle w:val="124"/>
                    <w:rPr>
                      <w:rFonts w:eastAsia="宋体"/>
                      <w:color w:val="auto"/>
                      <w:szCs w:val="21"/>
                    </w:rPr>
                  </w:pPr>
                  <w:r>
                    <w:rPr>
                      <w:rFonts w:eastAsia="宋体"/>
                      <w:color w:val="auto"/>
                      <w:szCs w:val="21"/>
                    </w:rPr>
                    <w:t>/</w:t>
                  </w:r>
                </w:p>
              </w:tc>
              <w:tc>
                <w:tcPr>
                  <w:tcW w:w="443" w:type="pct"/>
                  <w:vAlign w:val="center"/>
                </w:tcPr>
                <w:p w14:paraId="37FD79D2">
                  <w:pPr>
                    <w:pStyle w:val="124"/>
                    <w:rPr>
                      <w:rFonts w:eastAsia="宋体"/>
                      <w:color w:val="auto"/>
                      <w:szCs w:val="21"/>
                    </w:rPr>
                  </w:pPr>
                  <w:r>
                    <w:rPr>
                      <w:rFonts w:eastAsia="宋体"/>
                      <w:color w:val="auto"/>
                      <w:szCs w:val="21"/>
                    </w:rPr>
                    <w:t>/</w:t>
                  </w:r>
                </w:p>
              </w:tc>
              <w:tc>
                <w:tcPr>
                  <w:tcW w:w="465" w:type="pct"/>
                  <w:vMerge w:val="continue"/>
                  <w:vAlign w:val="center"/>
                </w:tcPr>
                <w:p w14:paraId="02E06410">
                  <w:pPr>
                    <w:pStyle w:val="124"/>
                    <w:rPr>
                      <w:rFonts w:eastAsia="宋体"/>
                      <w:color w:val="auto"/>
                      <w:szCs w:val="21"/>
                    </w:rPr>
                  </w:pPr>
                </w:p>
              </w:tc>
            </w:tr>
            <w:tr w14:paraId="4A4541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5266E201">
                  <w:pPr>
                    <w:pStyle w:val="124"/>
                    <w:rPr>
                      <w:rFonts w:eastAsia="宋体"/>
                      <w:color w:val="auto"/>
                      <w:szCs w:val="21"/>
                    </w:rPr>
                  </w:pPr>
                </w:p>
              </w:tc>
              <w:tc>
                <w:tcPr>
                  <w:tcW w:w="505" w:type="pct"/>
                  <w:vMerge w:val="continue"/>
                  <w:vAlign w:val="center"/>
                </w:tcPr>
                <w:p w14:paraId="2F270C7F">
                  <w:pPr>
                    <w:pStyle w:val="124"/>
                    <w:rPr>
                      <w:rFonts w:eastAsia="宋体"/>
                      <w:color w:val="auto"/>
                      <w:szCs w:val="21"/>
                    </w:rPr>
                  </w:pPr>
                </w:p>
              </w:tc>
              <w:tc>
                <w:tcPr>
                  <w:tcW w:w="513" w:type="pct"/>
                  <w:vAlign w:val="center"/>
                </w:tcPr>
                <w:p w14:paraId="72A57461">
                  <w:pPr>
                    <w:pStyle w:val="124"/>
                    <w:rPr>
                      <w:rFonts w:eastAsia="宋体"/>
                      <w:color w:val="auto"/>
                      <w:szCs w:val="21"/>
                    </w:rPr>
                  </w:pPr>
                  <w:r>
                    <w:rPr>
                      <w:rFonts w:eastAsia="宋体"/>
                      <w:color w:val="auto"/>
                      <w:szCs w:val="21"/>
                    </w:rPr>
                    <w:t>NH</w:t>
                  </w:r>
                  <w:r>
                    <w:rPr>
                      <w:rFonts w:eastAsia="宋体"/>
                      <w:color w:val="auto"/>
                      <w:szCs w:val="21"/>
                      <w:vertAlign w:val="subscript"/>
                    </w:rPr>
                    <w:t>3</w:t>
                  </w:r>
                  <w:r>
                    <w:rPr>
                      <w:rFonts w:eastAsia="宋体"/>
                      <w:color w:val="auto"/>
                      <w:szCs w:val="21"/>
                    </w:rPr>
                    <w:t>-N</w:t>
                  </w:r>
                </w:p>
              </w:tc>
              <w:tc>
                <w:tcPr>
                  <w:tcW w:w="492" w:type="pct"/>
                  <w:vAlign w:val="center"/>
                </w:tcPr>
                <w:p w14:paraId="5B27D174">
                  <w:pPr>
                    <w:pStyle w:val="124"/>
                    <w:rPr>
                      <w:rFonts w:eastAsia="宋体"/>
                      <w:color w:val="auto"/>
                      <w:szCs w:val="21"/>
                    </w:rPr>
                  </w:pPr>
                  <w:r>
                    <w:rPr>
                      <w:rFonts w:eastAsia="宋体"/>
                      <w:color w:val="auto"/>
                      <w:szCs w:val="21"/>
                    </w:rPr>
                    <w:t>25</w:t>
                  </w:r>
                </w:p>
              </w:tc>
              <w:tc>
                <w:tcPr>
                  <w:tcW w:w="539" w:type="pct"/>
                  <w:vAlign w:val="center"/>
                </w:tcPr>
                <w:p w14:paraId="3A580BEE">
                  <w:pPr>
                    <w:pStyle w:val="124"/>
                    <w:rPr>
                      <w:rFonts w:eastAsia="宋体"/>
                      <w:color w:val="auto"/>
                      <w:szCs w:val="21"/>
                    </w:rPr>
                  </w:pPr>
                  <w:r>
                    <w:rPr>
                      <w:rFonts w:eastAsia="宋体"/>
                      <w:color w:val="auto"/>
                      <w:szCs w:val="21"/>
                    </w:rPr>
                    <w:t>0.00</w:t>
                  </w:r>
                  <w:r>
                    <w:rPr>
                      <w:rFonts w:hint="eastAsia" w:eastAsia="宋体"/>
                      <w:color w:val="auto"/>
                      <w:szCs w:val="21"/>
                    </w:rPr>
                    <w:t>04</w:t>
                  </w:r>
                </w:p>
              </w:tc>
              <w:tc>
                <w:tcPr>
                  <w:tcW w:w="841" w:type="pct"/>
                  <w:vMerge w:val="continue"/>
                  <w:vAlign w:val="center"/>
                </w:tcPr>
                <w:p w14:paraId="451B46A6">
                  <w:pPr>
                    <w:pStyle w:val="124"/>
                    <w:rPr>
                      <w:rFonts w:eastAsia="宋体"/>
                      <w:color w:val="auto"/>
                      <w:szCs w:val="21"/>
                    </w:rPr>
                  </w:pPr>
                </w:p>
              </w:tc>
              <w:tc>
                <w:tcPr>
                  <w:tcW w:w="360" w:type="pct"/>
                  <w:vMerge w:val="continue"/>
                  <w:vAlign w:val="center"/>
                </w:tcPr>
                <w:p w14:paraId="6B532DB3">
                  <w:pPr>
                    <w:pStyle w:val="124"/>
                    <w:rPr>
                      <w:rFonts w:eastAsia="宋体"/>
                      <w:color w:val="auto"/>
                      <w:szCs w:val="21"/>
                    </w:rPr>
                  </w:pPr>
                </w:p>
              </w:tc>
              <w:tc>
                <w:tcPr>
                  <w:tcW w:w="423" w:type="pct"/>
                  <w:vAlign w:val="center"/>
                </w:tcPr>
                <w:p w14:paraId="40950F06">
                  <w:pPr>
                    <w:pStyle w:val="124"/>
                    <w:rPr>
                      <w:rFonts w:eastAsia="宋体"/>
                      <w:color w:val="auto"/>
                      <w:szCs w:val="21"/>
                    </w:rPr>
                  </w:pPr>
                  <w:r>
                    <w:rPr>
                      <w:rFonts w:eastAsia="宋体"/>
                      <w:color w:val="auto"/>
                      <w:szCs w:val="21"/>
                    </w:rPr>
                    <w:t>/</w:t>
                  </w:r>
                </w:p>
              </w:tc>
              <w:tc>
                <w:tcPr>
                  <w:tcW w:w="443" w:type="pct"/>
                  <w:vAlign w:val="center"/>
                </w:tcPr>
                <w:p w14:paraId="7DDCDFDF">
                  <w:pPr>
                    <w:pStyle w:val="124"/>
                    <w:rPr>
                      <w:rFonts w:eastAsia="宋体"/>
                      <w:color w:val="auto"/>
                      <w:szCs w:val="21"/>
                    </w:rPr>
                  </w:pPr>
                  <w:r>
                    <w:rPr>
                      <w:rFonts w:eastAsia="宋体"/>
                      <w:color w:val="auto"/>
                      <w:szCs w:val="21"/>
                    </w:rPr>
                    <w:t>/</w:t>
                  </w:r>
                </w:p>
              </w:tc>
              <w:tc>
                <w:tcPr>
                  <w:tcW w:w="465" w:type="pct"/>
                  <w:vMerge w:val="continue"/>
                  <w:vAlign w:val="center"/>
                </w:tcPr>
                <w:p w14:paraId="2EB94F75">
                  <w:pPr>
                    <w:pStyle w:val="124"/>
                    <w:rPr>
                      <w:rFonts w:eastAsia="宋体"/>
                      <w:color w:val="auto"/>
                      <w:szCs w:val="21"/>
                    </w:rPr>
                  </w:pPr>
                </w:p>
              </w:tc>
            </w:tr>
          </w:tbl>
          <w:p w14:paraId="176E4D62">
            <w:pPr>
              <w:pStyle w:val="57"/>
              <w:spacing w:line="360" w:lineRule="auto"/>
              <w:ind w:firstLine="482"/>
              <w:rPr>
                <w:b/>
                <w:bCs/>
                <w:color w:val="auto"/>
                <w:szCs w:val="24"/>
              </w:rPr>
            </w:pPr>
            <w:r>
              <w:rPr>
                <w:rFonts w:hint="eastAsia"/>
                <w:b/>
                <w:bCs/>
                <w:color w:val="auto"/>
                <w:szCs w:val="24"/>
              </w:rPr>
              <w:t>三</w:t>
            </w:r>
            <w:r>
              <w:rPr>
                <w:b/>
                <w:bCs/>
                <w:color w:val="auto"/>
                <w:szCs w:val="24"/>
              </w:rPr>
              <w:t>、噪声</w:t>
            </w:r>
          </w:p>
          <w:p w14:paraId="070B4773">
            <w:pPr>
              <w:pStyle w:val="57"/>
              <w:spacing w:line="360" w:lineRule="auto"/>
              <w:ind w:firstLine="480"/>
              <w:rPr>
                <w:color w:val="auto"/>
                <w:szCs w:val="24"/>
              </w:rPr>
            </w:pPr>
            <w:r>
              <w:rPr>
                <w:color w:val="auto"/>
                <w:szCs w:val="24"/>
              </w:rPr>
              <w:t>（一）源强核算</w:t>
            </w:r>
          </w:p>
          <w:p w14:paraId="3AA4C799">
            <w:pPr>
              <w:autoSpaceDE w:val="0"/>
              <w:autoSpaceDN w:val="0"/>
              <w:adjustRightInd w:val="0"/>
              <w:snapToGrid w:val="0"/>
              <w:spacing w:line="360" w:lineRule="auto"/>
              <w:ind w:firstLine="480" w:firstLineChars="200"/>
              <w:rPr>
                <w:color w:val="auto"/>
                <w:sz w:val="24"/>
                <w:lang w:bidi="ar"/>
              </w:rPr>
            </w:pPr>
            <w:r>
              <w:rPr>
                <w:color w:val="auto"/>
                <w:sz w:val="24"/>
              </w:rPr>
              <w:t>本项目噪声源主要为风机、滚筒筛等设备，参照《污染源源强核算技术指南 锅炉》（HJ991-2018）中附录E锅炉相关设备噪声源强参考值、根据设备类型经查找资料及类比</w:t>
            </w:r>
            <w:r>
              <w:rPr>
                <w:rFonts w:hint="eastAsia"/>
                <w:color w:val="auto"/>
                <w:sz w:val="24"/>
                <w:lang w:val="en-US" w:eastAsia="zh-CN"/>
              </w:rPr>
              <w:t>其他项目</w:t>
            </w:r>
            <w:r>
              <w:rPr>
                <w:color w:val="auto"/>
                <w:sz w:val="24"/>
              </w:rPr>
              <w:t>设备情况可知，噪声值在70～85dB(A)之间，</w:t>
            </w:r>
            <w:r>
              <w:rPr>
                <w:color w:val="auto"/>
                <w:sz w:val="24"/>
                <w:lang w:bidi="ar"/>
              </w:rPr>
              <w:t>噪声</w:t>
            </w:r>
            <w:r>
              <w:rPr>
                <w:color w:val="auto"/>
                <w:sz w:val="24"/>
              </w:rPr>
              <w:t>源强见下表</w:t>
            </w:r>
            <w:r>
              <w:rPr>
                <w:color w:val="auto"/>
                <w:sz w:val="24"/>
                <w:lang w:bidi="ar"/>
              </w:rPr>
              <w:t>。</w:t>
            </w:r>
          </w:p>
          <w:p w14:paraId="3035895E">
            <w:pPr>
              <w:pStyle w:val="57"/>
              <w:adjustRightInd w:val="0"/>
              <w:snapToGrid w:val="0"/>
              <w:spacing w:line="500" w:lineRule="atLeast"/>
              <w:ind w:firstLine="0" w:firstLineChars="0"/>
              <w:jc w:val="center"/>
              <w:rPr>
                <w:b/>
                <w:color w:val="auto"/>
                <w:kern w:val="2"/>
                <w:sz w:val="21"/>
                <w:szCs w:val="21"/>
              </w:rPr>
            </w:pPr>
            <w:r>
              <w:rPr>
                <w:b/>
                <w:color w:val="auto"/>
                <w:kern w:val="2"/>
                <w:sz w:val="21"/>
                <w:szCs w:val="21"/>
              </w:rPr>
              <w:t>表4-</w:t>
            </w:r>
            <w:r>
              <w:rPr>
                <w:rFonts w:hint="eastAsia"/>
                <w:b/>
                <w:color w:val="auto"/>
                <w:kern w:val="2"/>
                <w:sz w:val="21"/>
                <w:szCs w:val="21"/>
                <w:lang w:val="en-US" w:eastAsia="zh-CN"/>
              </w:rPr>
              <w:t>7</w:t>
            </w:r>
            <w:r>
              <w:rPr>
                <w:b/>
                <w:color w:val="auto"/>
                <w:kern w:val="2"/>
                <w:sz w:val="21"/>
                <w:szCs w:val="21"/>
              </w:rPr>
              <w:t xml:space="preserve"> 工业企业噪声源强调查清单（室外声源）单位：dB（A）</w:t>
            </w:r>
          </w:p>
          <w:tbl>
            <w:tblPr>
              <w:tblStyle w:val="35"/>
              <w:tblW w:w="785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9"/>
              <w:gridCol w:w="996"/>
              <w:gridCol w:w="1114"/>
              <w:gridCol w:w="737"/>
              <w:gridCol w:w="525"/>
              <w:gridCol w:w="576"/>
              <w:gridCol w:w="464"/>
              <w:gridCol w:w="1190"/>
              <w:gridCol w:w="878"/>
              <w:gridCol w:w="631"/>
            </w:tblGrid>
            <w:tr w14:paraId="730361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39" w:type="dxa"/>
                  <w:vMerge w:val="restart"/>
                  <w:tcBorders>
                    <w:tl2br w:val="nil"/>
                    <w:tr2bl w:val="nil"/>
                  </w:tcBorders>
                  <w:vAlign w:val="center"/>
                </w:tcPr>
                <w:p w14:paraId="2D7E5A8B">
                  <w:pPr>
                    <w:jc w:val="center"/>
                    <w:rPr>
                      <w:color w:val="auto"/>
                      <w:sz w:val="18"/>
                      <w:szCs w:val="18"/>
                    </w:rPr>
                  </w:pPr>
                  <w:r>
                    <w:rPr>
                      <w:color w:val="auto"/>
                      <w:sz w:val="18"/>
                      <w:szCs w:val="18"/>
                    </w:rPr>
                    <w:t>序号</w:t>
                  </w:r>
                </w:p>
              </w:tc>
              <w:tc>
                <w:tcPr>
                  <w:tcW w:w="996" w:type="dxa"/>
                  <w:vMerge w:val="restart"/>
                  <w:tcBorders>
                    <w:tl2br w:val="nil"/>
                    <w:tr2bl w:val="nil"/>
                  </w:tcBorders>
                  <w:vAlign w:val="center"/>
                </w:tcPr>
                <w:p w14:paraId="6F0A0C66">
                  <w:pPr>
                    <w:jc w:val="center"/>
                    <w:rPr>
                      <w:color w:val="auto"/>
                      <w:sz w:val="18"/>
                      <w:szCs w:val="18"/>
                    </w:rPr>
                  </w:pPr>
                  <w:r>
                    <w:rPr>
                      <w:color w:val="auto"/>
                      <w:sz w:val="18"/>
                      <w:szCs w:val="18"/>
                    </w:rPr>
                    <w:t>建筑物名称</w:t>
                  </w:r>
                </w:p>
              </w:tc>
              <w:tc>
                <w:tcPr>
                  <w:tcW w:w="1114" w:type="dxa"/>
                  <w:vMerge w:val="restart"/>
                  <w:tcBorders>
                    <w:tl2br w:val="nil"/>
                    <w:tr2bl w:val="nil"/>
                  </w:tcBorders>
                  <w:vAlign w:val="center"/>
                </w:tcPr>
                <w:p w14:paraId="0ABEE6B4">
                  <w:pPr>
                    <w:jc w:val="center"/>
                    <w:rPr>
                      <w:color w:val="auto"/>
                      <w:sz w:val="18"/>
                      <w:szCs w:val="18"/>
                    </w:rPr>
                  </w:pPr>
                  <w:r>
                    <w:rPr>
                      <w:color w:val="auto"/>
                      <w:sz w:val="18"/>
                      <w:szCs w:val="18"/>
                    </w:rPr>
                    <w:t>声源名称</w:t>
                  </w:r>
                </w:p>
              </w:tc>
              <w:tc>
                <w:tcPr>
                  <w:tcW w:w="737" w:type="dxa"/>
                  <w:vMerge w:val="restart"/>
                  <w:tcBorders>
                    <w:tl2br w:val="nil"/>
                    <w:tr2bl w:val="nil"/>
                  </w:tcBorders>
                  <w:vAlign w:val="center"/>
                </w:tcPr>
                <w:p w14:paraId="3C2A046F">
                  <w:pPr>
                    <w:jc w:val="center"/>
                    <w:rPr>
                      <w:color w:val="auto"/>
                      <w:sz w:val="18"/>
                      <w:szCs w:val="18"/>
                    </w:rPr>
                  </w:pPr>
                  <w:r>
                    <w:rPr>
                      <w:color w:val="auto"/>
                      <w:sz w:val="18"/>
                      <w:szCs w:val="18"/>
                    </w:rPr>
                    <w:t>型号</w:t>
                  </w:r>
                </w:p>
              </w:tc>
              <w:tc>
                <w:tcPr>
                  <w:tcW w:w="1565" w:type="dxa"/>
                  <w:gridSpan w:val="3"/>
                  <w:tcBorders>
                    <w:tl2br w:val="nil"/>
                    <w:tr2bl w:val="nil"/>
                  </w:tcBorders>
                  <w:vAlign w:val="center"/>
                </w:tcPr>
                <w:p w14:paraId="32A1358D">
                  <w:pPr>
                    <w:jc w:val="center"/>
                    <w:rPr>
                      <w:color w:val="auto"/>
                      <w:sz w:val="18"/>
                      <w:szCs w:val="18"/>
                    </w:rPr>
                  </w:pPr>
                  <w:r>
                    <w:rPr>
                      <w:color w:val="auto"/>
                      <w:sz w:val="18"/>
                      <w:szCs w:val="18"/>
                    </w:rPr>
                    <w:t>空间相对位置/m</w:t>
                  </w:r>
                </w:p>
              </w:tc>
              <w:tc>
                <w:tcPr>
                  <w:tcW w:w="1190" w:type="dxa"/>
                  <w:vMerge w:val="restart"/>
                  <w:tcBorders>
                    <w:tl2br w:val="nil"/>
                    <w:tr2bl w:val="nil"/>
                  </w:tcBorders>
                  <w:vAlign w:val="center"/>
                </w:tcPr>
                <w:p w14:paraId="70E0E923">
                  <w:pPr>
                    <w:jc w:val="center"/>
                    <w:rPr>
                      <w:color w:val="auto"/>
                      <w:sz w:val="18"/>
                      <w:szCs w:val="18"/>
                    </w:rPr>
                  </w:pPr>
                  <w:r>
                    <w:rPr>
                      <w:color w:val="auto"/>
                      <w:sz w:val="18"/>
                      <w:szCs w:val="18"/>
                    </w:rPr>
                    <w:t>声源源强（声压级/dB（A））</w:t>
                  </w:r>
                </w:p>
              </w:tc>
              <w:tc>
                <w:tcPr>
                  <w:tcW w:w="878" w:type="dxa"/>
                  <w:vMerge w:val="restart"/>
                  <w:tcBorders>
                    <w:tl2br w:val="nil"/>
                    <w:tr2bl w:val="nil"/>
                  </w:tcBorders>
                  <w:vAlign w:val="center"/>
                </w:tcPr>
                <w:p w14:paraId="74CC5075">
                  <w:pPr>
                    <w:jc w:val="center"/>
                    <w:rPr>
                      <w:color w:val="auto"/>
                      <w:sz w:val="18"/>
                      <w:szCs w:val="18"/>
                    </w:rPr>
                  </w:pPr>
                  <w:r>
                    <w:rPr>
                      <w:color w:val="auto"/>
                      <w:sz w:val="18"/>
                      <w:szCs w:val="18"/>
                    </w:rPr>
                    <w:t>声源控制措施</w:t>
                  </w:r>
                </w:p>
              </w:tc>
              <w:tc>
                <w:tcPr>
                  <w:tcW w:w="631" w:type="dxa"/>
                  <w:vMerge w:val="restart"/>
                  <w:tcBorders>
                    <w:tl2br w:val="nil"/>
                    <w:tr2bl w:val="nil"/>
                  </w:tcBorders>
                  <w:vAlign w:val="center"/>
                </w:tcPr>
                <w:p w14:paraId="130E1D14">
                  <w:pPr>
                    <w:jc w:val="center"/>
                    <w:rPr>
                      <w:color w:val="auto"/>
                      <w:sz w:val="18"/>
                      <w:szCs w:val="18"/>
                    </w:rPr>
                  </w:pPr>
                  <w:r>
                    <w:rPr>
                      <w:color w:val="auto"/>
                      <w:sz w:val="18"/>
                      <w:szCs w:val="18"/>
                    </w:rPr>
                    <w:t>运行时段</w:t>
                  </w:r>
                </w:p>
              </w:tc>
            </w:tr>
            <w:tr w14:paraId="0F938F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21" w:hRule="atLeast"/>
                <w:jc w:val="center"/>
              </w:trPr>
              <w:tc>
                <w:tcPr>
                  <w:tcW w:w="739" w:type="dxa"/>
                  <w:vMerge w:val="continue"/>
                  <w:tcBorders>
                    <w:tl2br w:val="nil"/>
                    <w:tr2bl w:val="nil"/>
                  </w:tcBorders>
                  <w:vAlign w:val="center"/>
                </w:tcPr>
                <w:p w14:paraId="4D345CFA">
                  <w:pPr>
                    <w:jc w:val="center"/>
                    <w:rPr>
                      <w:color w:val="auto"/>
                      <w:sz w:val="18"/>
                      <w:szCs w:val="18"/>
                    </w:rPr>
                  </w:pPr>
                </w:p>
              </w:tc>
              <w:tc>
                <w:tcPr>
                  <w:tcW w:w="996" w:type="dxa"/>
                  <w:vMerge w:val="continue"/>
                  <w:tcBorders>
                    <w:tl2br w:val="nil"/>
                    <w:tr2bl w:val="nil"/>
                  </w:tcBorders>
                  <w:vAlign w:val="center"/>
                </w:tcPr>
                <w:p w14:paraId="366FDD43">
                  <w:pPr>
                    <w:jc w:val="center"/>
                    <w:rPr>
                      <w:color w:val="auto"/>
                      <w:sz w:val="18"/>
                      <w:szCs w:val="18"/>
                    </w:rPr>
                  </w:pPr>
                </w:p>
              </w:tc>
              <w:tc>
                <w:tcPr>
                  <w:tcW w:w="1114" w:type="dxa"/>
                  <w:vMerge w:val="continue"/>
                  <w:tcBorders>
                    <w:tl2br w:val="nil"/>
                    <w:tr2bl w:val="nil"/>
                  </w:tcBorders>
                  <w:vAlign w:val="center"/>
                </w:tcPr>
                <w:p w14:paraId="288A9C67">
                  <w:pPr>
                    <w:jc w:val="center"/>
                    <w:rPr>
                      <w:color w:val="auto"/>
                      <w:sz w:val="18"/>
                      <w:szCs w:val="18"/>
                    </w:rPr>
                  </w:pPr>
                </w:p>
              </w:tc>
              <w:tc>
                <w:tcPr>
                  <w:tcW w:w="737" w:type="dxa"/>
                  <w:vMerge w:val="continue"/>
                  <w:tcBorders>
                    <w:tl2br w:val="nil"/>
                    <w:tr2bl w:val="nil"/>
                  </w:tcBorders>
                  <w:vAlign w:val="center"/>
                </w:tcPr>
                <w:p w14:paraId="7ECC72FA">
                  <w:pPr>
                    <w:jc w:val="center"/>
                    <w:rPr>
                      <w:color w:val="auto"/>
                      <w:sz w:val="18"/>
                      <w:szCs w:val="18"/>
                    </w:rPr>
                  </w:pPr>
                </w:p>
              </w:tc>
              <w:tc>
                <w:tcPr>
                  <w:tcW w:w="525" w:type="dxa"/>
                  <w:tcBorders>
                    <w:tl2br w:val="nil"/>
                    <w:tr2bl w:val="nil"/>
                  </w:tcBorders>
                  <w:vAlign w:val="center"/>
                </w:tcPr>
                <w:p w14:paraId="4AAD4A3F">
                  <w:pPr>
                    <w:jc w:val="center"/>
                    <w:rPr>
                      <w:color w:val="auto"/>
                      <w:sz w:val="18"/>
                      <w:szCs w:val="18"/>
                    </w:rPr>
                  </w:pPr>
                  <w:r>
                    <w:rPr>
                      <w:color w:val="auto"/>
                      <w:sz w:val="18"/>
                      <w:szCs w:val="18"/>
                    </w:rPr>
                    <w:t>X</w:t>
                  </w:r>
                </w:p>
              </w:tc>
              <w:tc>
                <w:tcPr>
                  <w:tcW w:w="576" w:type="dxa"/>
                  <w:tcBorders>
                    <w:tl2br w:val="nil"/>
                    <w:tr2bl w:val="nil"/>
                  </w:tcBorders>
                  <w:vAlign w:val="center"/>
                </w:tcPr>
                <w:p w14:paraId="6ADBD7FA">
                  <w:pPr>
                    <w:jc w:val="center"/>
                    <w:rPr>
                      <w:color w:val="auto"/>
                      <w:sz w:val="18"/>
                      <w:szCs w:val="18"/>
                    </w:rPr>
                  </w:pPr>
                  <w:r>
                    <w:rPr>
                      <w:color w:val="auto"/>
                      <w:sz w:val="18"/>
                      <w:szCs w:val="18"/>
                    </w:rPr>
                    <w:t>Y</w:t>
                  </w:r>
                </w:p>
              </w:tc>
              <w:tc>
                <w:tcPr>
                  <w:tcW w:w="464" w:type="dxa"/>
                  <w:tcBorders>
                    <w:tl2br w:val="nil"/>
                    <w:tr2bl w:val="nil"/>
                  </w:tcBorders>
                  <w:vAlign w:val="center"/>
                </w:tcPr>
                <w:p w14:paraId="10E9BB65">
                  <w:pPr>
                    <w:jc w:val="center"/>
                    <w:rPr>
                      <w:color w:val="auto"/>
                      <w:sz w:val="18"/>
                      <w:szCs w:val="18"/>
                    </w:rPr>
                  </w:pPr>
                  <w:r>
                    <w:rPr>
                      <w:color w:val="auto"/>
                      <w:sz w:val="18"/>
                      <w:szCs w:val="18"/>
                    </w:rPr>
                    <w:t>Z</w:t>
                  </w:r>
                </w:p>
              </w:tc>
              <w:tc>
                <w:tcPr>
                  <w:tcW w:w="1190" w:type="dxa"/>
                  <w:vMerge w:val="continue"/>
                  <w:tcBorders>
                    <w:tl2br w:val="nil"/>
                    <w:tr2bl w:val="nil"/>
                  </w:tcBorders>
                  <w:vAlign w:val="center"/>
                </w:tcPr>
                <w:p w14:paraId="6C1FE56A">
                  <w:pPr>
                    <w:jc w:val="center"/>
                    <w:rPr>
                      <w:color w:val="auto"/>
                      <w:sz w:val="18"/>
                      <w:szCs w:val="18"/>
                    </w:rPr>
                  </w:pPr>
                </w:p>
              </w:tc>
              <w:tc>
                <w:tcPr>
                  <w:tcW w:w="878" w:type="dxa"/>
                  <w:vMerge w:val="continue"/>
                  <w:tcBorders>
                    <w:tl2br w:val="nil"/>
                    <w:tr2bl w:val="nil"/>
                  </w:tcBorders>
                  <w:vAlign w:val="center"/>
                </w:tcPr>
                <w:p w14:paraId="2D15FEC7">
                  <w:pPr>
                    <w:jc w:val="center"/>
                    <w:rPr>
                      <w:color w:val="auto"/>
                      <w:sz w:val="18"/>
                      <w:szCs w:val="18"/>
                    </w:rPr>
                  </w:pPr>
                </w:p>
              </w:tc>
              <w:tc>
                <w:tcPr>
                  <w:tcW w:w="631" w:type="dxa"/>
                  <w:vMerge w:val="continue"/>
                  <w:tcBorders>
                    <w:tl2br w:val="nil"/>
                    <w:tr2bl w:val="nil"/>
                  </w:tcBorders>
                  <w:vAlign w:val="center"/>
                </w:tcPr>
                <w:p w14:paraId="54C8F2C7">
                  <w:pPr>
                    <w:jc w:val="center"/>
                    <w:rPr>
                      <w:color w:val="auto"/>
                      <w:sz w:val="18"/>
                      <w:szCs w:val="18"/>
                    </w:rPr>
                  </w:pPr>
                </w:p>
              </w:tc>
            </w:tr>
            <w:tr w14:paraId="4F61F5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39" w:type="dxa"/>
                  <w:tcBorders>
                    <w:tl2br w:val="nil"/>
                    <w:tr2bl w:val="nil"/>
                  </w:tcBorders>
                  <w:vAlign w:val="center"/>
                </w:tcPr>
                <w:p w14:paraId="3F1586D8">
                  <w:pPr>
                    <w:jc w:val="center"/>
                    <w:rPr>
                      <w:color w:val="auto"/>
                      <w:sz w:val="18"/>
                      <w:szCs w:val="18"/>
                    </w:rPr>
                  </w:pPr>
                  <w:r>
                    <w:rPr>
                      <w:color w:val="auto"/>
                      <w:sz w:val="18"/>
                      <w:szCs w:val="18"/>
                    </w:rPr>
                    <w:t>1</w:t>
                  </w:r>
                </w:p>
              </w:tc>
              <w:tc>
                <w:tcPr>
                  <w:tcW w:w="996" w:type="dxa"/>
                  <w:tcBorders>
                    <w:tl2br w:val="nil"/>
                    <w:tr2bl w:val="nil"/>
                  </w:tcBorders>
                  <w:shd w:val="clear" w:color="auto" w:fill="auto"/>
                  <w:vAlign w:val="center"/>
                </w:tcPr>
                <w:p w14:paraId="32B2B4F4">
                  <w:pPr>
                    <w:jc w:val="center"/>
                    <w:rPr>
                      <w:color w:val="auto"/>
                      <w:sz w:val="18"/>
                      <w:szCs w:val="18"/>
                    </w:rPr>
                  </w:pPr>
                  <w:r>
                    <w:rPr>
                      <w:color w:val="auto"/>
                      <w:sz w:val="18"/>
                      <w:szCs w:val="18"/>
                    </w:rPr>
                    <w:t>烘干塔</w:t>
                  </w:r>
                </w:p>
              </w:tc>
              <w:tc>
                <w:tcPr>
                  <w:tcW w:w="1114" w:type="dxa"/>
                  <w:tcBorders>
                    <w:tl2br w:val="nil"/>
                    <w:tr2bl w:val="nil"/>
                  </w:tcBorders>
                  <w:shd w:val="clear" w:color="auto" w:fill="auto"/>
                  <w:vAlign w:val="center"/>
                </w:tcPr>
                <w:p w14:paraId="7FA74B2F">
                  <w:pPr>
                    <w:jc w:val="center"/>
                    <w:rPr>
                      <w:color w:val="auto"/>
                      <w:sz w:val="18"/>
                      <w:szCs w:val="18"/>
                    </w:rPr>
                  </w:pPr>
                  <w:r>
                    <w:rPr>
                      <w:color w:val="auto"/>
                      <w:sz w:val="18"/>
                      <w:szCs w:val="18"/>
                    </w:rPr>
                    <w:t>烘干塔</w:t>
                  </w:r>
                  <w:r>
                    <w:rPr>
                      <w:rFonts w:hint="eastAsia"/>
                      <w:color w:val="auto"/>
                      <w:sz w:val="18"/>
                      <w:szCs w:val="18"/>
                    </w:rPr>
                    <w:t>1</w:t>
                  </w:r>
                </w:p>
              </w:tc>
              <w:tc>
                <w:tcPr>
                  <w:tcW w:w="737" w:type="dxa"/>
                  <w:tcBorders>
                    <w:tl2br w:val="nil"/>
                    <w:tr2bl w:val="nil"/>
                  </w:tcBorders>
                  <w:vAlign w:val="center"/>
                </w:tcPr>
                <w:p w14:paraId="551575A6">
                  <w:pPr>
                    <w:jc w:val="center"/>
                    <w:rPr>
                      <w:color w:val="auto"/>
                      <w:sz w:val="18"/>
                      <w:szCs w:val="18"/>
                    </w:rPr>
                  </w:pPr>
                  <w:r>
                    <w:rPr>
                      <w:color w:val="auto"/>
                      <w:sz w:val="18"/>
                      <w:szCs w:val="18"/>
                    </w:rPr>
                    <w:t>/</w:t>
                  </w:r>
                </w:p>
              </w:tc>
              <w:tc>
                <w:tcPr>
                  <w:tcW w:w="525" w:type="dxa"/>
                  <w:tcBorders>
                    <w:tl2br w:val="nil"/>
                    <w:tr2bl w:val="nil"/>
                  </w:tcBorders>
                  <w:vAlign w:val="center"/>
                </w:tcPr>
                <w:p w14:paraId="2C635256">
                  <w:pPr>
                    <w:jc w:val="center"/>
                    <w:rPr>
                      <w:color w:val="auto"/>
                      <w:sz w:val="18"/>
                      <w:szCs w:val="18"/>
                    </w:rPr>
                  </w:pPr>
                  <w:r>
                    <w:rPr>
                      <w:color w:val="auto"/>
                      <w:sz w:val="18"/>
                      <w:szCs w:val="18"/>
                    </w:rPr>
                    <w:t>30</w:t>
                  </w:r>
                </w:p>
              </w:tc>
              <w:tc>
                <w:tcPr>
                  <w:tcW w:w="576" w:type="dxa"/>
                  <w:tcBorders>
                    <w:tl2br w:val="nil"/>
                    <w:tr2bl w:val="nil"/>
                  </w:tcBorders>
                  <w:vAlign w:val="center"/>
                </w:tcPr>
                <w:p w14:paraId="62CCA4E4">
                  <w:pPr>
                    <w:jc w:val="center"/>
                    <w:rPr>
                      <w:color w:val="auto"/>
                      <w:sz w:val="18"/>
                      <w:szCs w:val="18"/>
                    </w:rPr>
                  </w:pPr>
                  <w:r>
                    <w:rPr>
                      <w:rFonts w:hint="eastAsia"/>
                      <w:color w:val="auto"/>
                      <w:sz w:val="18"/>
                      <w:szCs w:val="18"/>
                    </w:rPr>
                    <w:t>100</w:t>
                  </w:r>
                </w:p>
              </w:tc>
              <w:tc>
                <w:tcPr>
                  <w:tcW w:w="464" w:type="dxa"/>
                  <w:tcBorders>
                    <w:tl2br w:val="nil"/>
                    <w:tr2bl w:val="nil"/>
                  </w:tcBorders>
                  <w:vAlign w:val="center"/>
                </w:tcPr>
                <w:p w14:paraId="4F7F6202">
                  <w:pPr>
                    <w:jc w:val="center"/>
                    <w:rPr>
                      <w:color w:val="auto"/>
                      <w:sz w:val="18"/>
                      <w:szCs w:val="18"/>
                    </w:rPr>
                  </w:pPr>
                  <w:r>
                    <w:rPr>
                      <w:rFonts w:hint="eastAsia"/>
                      <w:color w:val="auto"/>
                      <w:sz w:val="18"/>
                      <w:szCs w:val="18"/>
                    </w:rPr>
                    <w:t>10</w:t>
                  </w:r>
                </w:p>
              </w:tc>
              <w:tc>
                <w:tcPr>
                  <w:tcW w:w="1190" w:type="dxa"/>
                  <w:tcBorders>
                    <w:tl2br w:val="nil"/>
                    <w:tr2bl w:val="nil"/>
                  </w:tcBorders>
                  <w:vAlign w:val="center"/>
                </w:tcPr>
                <w:p w14:paraId="1146D9FB">
                  <w:pPr>
                    <w:jc w:val="center"/>
                    <w:rPr>
                      <w:color w:val="auto"/>
                      <w:sz w:val="18"/>
                      <w:szCs w:val="18"/>
                    </w:rPr>
                  </w:pPr>
                  <w:r>
                    <w:rPr>
                      <w:color w:val="auto"/>
                      <w:sz w:val="18"/>
                      <w:szCs w:val="18"/>
                    </w:rPr>
                    <w:t>80</w:t>
                  </w:r>
                </w:p>
              </w:tc>
              <w:tc>
                <w:tcPr>
                  <w:tcW w:w="878" w:type="dxa"/>
                  <w:vMerge w:val="restart"/>
                  <w:tcBorders>
                    <w:tl2br w:val="nil"/>
                    <w:tr2bl w:val="nil"/>
                  </w:tcBorders>
                  <w:vAlign w:val="center"/>
                </w:tcPr>
                <w:p w14:paraId="1238842C">
                  <w:pPr>
                    <w:jc w:val="center"/>
                    <w:rPr>
                      <w:color w:val="auto"/>
                      <w:sz w:val="18"/>
                      <w:szCs w:val="18"/>
                    </w:rPr>
                  </w:pPr>
                  <w:r>
                    <w:rPr>
                      <w:color w:val="auto"/>
                      <w:sz w:val="18"/>
                      <w:szCs w:val="18"/>
                    </w:rPr>
                    <w:t>采取低噪声设备，建筑物隔声、基础减振</w:t>
                  </w:r>
                </w:p>
              </w:tc>
              <w:tc>
                <w:tcPr>
                  <w:tcW w:w="631" w:type="dxa"/>
                  <w:vMerge w:val="restart"/>
                  <w:tcBorders>
                    <w:tl2br w:val="nil"/>
                    <w:tr2bl w:val="nil"/>
                  </w:tcBorders>
                  <w:vAlign w:val="center"/>
                </w:tcPr>
                <w:p w14:paraId="45C0E5C1">
                  <w:pPr>
                    <w:jc w:val="center"/>
                    <w:rPr>
                      <w:color w:val="auto"/>
                      <w:sz w:val="18"/>
                      <w:szCs w:val="18"/>
                    </w:rPr>
                  </w:pPr>
                  <w:r>
                    <w:rPr>
                      <w:color w:val="auto"/>
                      <w:sz w:val="18"/>
                      <w:szCs w:val="18"/>
                    </w:rPr>
                    <w:t>全天</w:t>
                  </w:r>
                </w:p>
              </w:tc>
            </w:tr>
            <w:tr w14:paraId="14A9D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39" w:type="dxa"/>
                  <w:tcBorders>
                    <w:tl2br w:val="nil"/>
                    <w:tr2bl w:val="nil"/>
                  </w:tcBorders>
                  <w:vAlign w:val="center"/>
                </w:tcPr>
                <w:p w14:paraId="237B24AC">
                  <w:pPr>
                    <w:jc w:val="center"/>
                    <w:rPr>
                      <w:color w:val="auto"/>
                      <w:sz w:val="18"/>
                      <w:szCs w:val="18"/>
                    </w:rPr>
                  </w:pPr>
                  <w:r>
                    <w:rPr>
                      <w:color w:val="auto"/>
                      <w:sz w:val="18"/>
                      <w:szCs w:val="18"/>
                    </w:rPr>
                    <w:t>2</w:t>
                  </w:r>
                </w:p>
              </w:tc>
              <w:tc>
                <w:tcPr>
                  <w:tcW w:w="996" w:type="dxa"/>
                  <w:tcBorders>
                    <w:tl2br w:val="nil"/>
                    <w:tr2bl w:val="nil"/>
                  </w:tcBorders>
                  <w:vAlign w:val="center"/>
                </w:tcPr>
                <w:p w14:paraId="2E8BD76F">
                  <w:pPr>
                    <w:jc w:val="center"/>
                    <w:rPr>
                      <w:color w:val="auto"/>
                      <w:sz w:val="18"/>
                      <w:szCs w:val="18"/>
                    </w:rPr>
                  </w:pPr>
                  <w:r>
                    <w:rPr>
                      <w:color w:val="auto"/>
                      <w:sz w:val="18"/>
                      <w:szCs w:val="18"/>
                    </w:rPr>
                    <w:t>烘干塔</w:t>
                  </w:r>
                </w:p>
              </w:tc>
              <w:tc>
                <w:tcPr>
                  <w:tcW w:w="1114" w:type="dxa"/>
                  <w:tcBorders>
                    <w:tl2br w:val="nil"/>
                    <w:tr2bl w:val="nil"/>
                  </w:tcBorders>
                  <w:vAlign w:val="center"/>
                </w:tcPr>
                <w:p w14:paraId="47342EEC">
                  <w:pPr>
                    <w:jc w:val="center"/>
                    <w:rPr>
                      <w:color w:val="auto"/>
                      <w:sz w:val="18"/>
                      <w:szCs w:val="18"/>
                    </w:rPr>
                  </w:pPr>
                  <w:r>
                    <w:rPr>
                      <w:color w:val="auto"/>
                      <w:sz w:val="18"/>
                      <w:szCs w:val="18"/>
                    </w:rPr>
                    <w:t>烘干塔</w:t>
                  </w:r>
                  <w:r>
                    <w:rPr>
                      <w:rFonts w:hint="eastAsia"/>
                      <w:color w:val="auto"/>
                      <w:sz w:val="18"/>
                      <w:szCs w:val="18"/>
                    </w:rPr>
                    <w:t>2</w:t>
                  </w:r>
                </w:p>
              </w:tc>
              <w:tc>
                <w:tcPr>
                  <w:tcW w:w="737" w:type="dxa"/>
                  <w:tcBorders>
                    <w:tl2br w:val="nil"/>
                    <w:tr2bl w:val="nil"/>
                  </w:tcBorders>
                  <w:vAlign w:val="center"/>
                </w:tcPr>
                <w:p w14:paraId="79A9E2A2">
                  <w:pPr>
                    <w:jc w:val="center"/>
                    <w:rPr>
                      <w:color w:val="auto"/>
                      <w:sz w:val="18"/>
                      <w:szCs w:val="18"/>
                    </w:rPr>
                  </w:pPr>
                  <w:r>
                    <w:rPr>
                      <w:color w:val="auto"/>
                      <w:sz w:val="18"/>
                      <w:szCs w:val="18"/>
                    </w:rPr>
                    <w:t>/</w:t>
                  </w:r>
                </w:p>
              </w:tc>
              <w:tc>
                <w:tcPr>
                  <w:tcW w:w="525" w:type="dxa"/>
                  <w:tcBorders>
                    <w:tl2br w:val="nil"/>
                    <w:tr2bl w:val="nil"/>
                  </w:tcBorders>
                  <w:vAlign w:val="center"/>
                </w:tcPr>
                <w:p w14:paraId="29502B6E">
                  <w:pPr>
                    <w:jc w:val="center"/>
                    <w:rPr>
                      <w:color w:val="auto"/>
                      <w:sz w:val="18"/>
                      <w:szCs w:val="18"/>
                    </w:rPr>
                  </w:pPr>
                  <w:r>
                    <w:rPr>
                      <w:color w:val="auto"/>
                      <w:sz w:val="18"/>
                      <w:szCs w:val="18"/>
                    </w:rPr>
                    <w:t>30</w:t>
                  </w:r>
                </w:p>
              </w:tc>
              <w:tc>
                <w:tcPr>
                  <w:tcW w:w="576" w:type="dxa"/>
                  <w:tcBorders>
                    <w:tl2br w:val="nil"/>
                    <w:tr2bl w:val="nil"/>
                  </w:tcBorders>
                  <w:vAlign w:val="center"/>
                </w:tcPr>
                <w:p w14:paraId="435F4460">
                  <w:pPr>
                    <w:jc w:val="center"/>
                    <w:rPr>
                      <w:color w:val="auto"/>
                      <w:sz w:val="18"/>
                      <w:szCs w:val="18"/>
                    </w:rPr>
                  </w:pPr>
                  <w:r>
                    <w:rPr>
                      <w:color w:val="auto"/>
                      <w:sz w:val="18"/>
                      <w:szCs w:val="18"/>
                    </w:rPr>
                    <w:t>100</w:t>
                  </w:r>
                </w:p>
              </w:tc>
              <w:tc>
                <w:tcPr>
                  <w:tcW w:w="464" w:type="dxa"/>
                  <w:tcBorders>
                    <w:tl2br w:val="nil"/>
                    <w:tr2bl w:val="nil"/>
                  </w:tcBorders>
                  <w:vAlign w:val="center"/>
                </w:tcPr>
                <w:p w14:paraId="36AE39B8">
                  <w:pPr>
                    <w:jc w:val="center"/>
                    <w:rPr>
                      <w:color w:val="auto"/>
                      <w:sz w:val="18"/>
                      <w:szCs w:val="18"/>
                    </w:rPr>
                  </w:pPr>
                  <w:r>
                    <w:rPr>
                      <w:rFonts w:hint="eastAsia"/>
                      <w:color w:val="auto"/>
                      <w:sz w:val="18"/>
                      <w:szCs w:val="18"/>
                    </w:rPr>
                    <w:t>10</w:t>
                  </w:r>
                </w:p>
              </w:tc>
              <w:tc>
                <w:tcPr>
                  <w:tcW w:w="1190" w:type="dxa"/>
                  <w:tcBorders>
                    <w:tl2br w:val="nil"/>
                    <w:tr2bl w:val="nil"/>
                  </w:tcBorders>
                  <w:vAlign w:val="center"/>
                </w:tcPr>
                <w:p w14:paraId="1FBCEE21">
                  <w:pPr>
                    <w:jc w:val="center"/>
                    <w:rPr>
                      <w:color w:val="auto"/>
                      <w:sz w:val="18"/>
                      <w:szCs w:val="18"/>
                    </w:rPr>
                  </w:pPr>
                  <w:r>
                    <w:rPr>
                      <w:color w:val="auto"/>
                      <w:sz w:val="18"/>
                      <w:szCs w:val="18"/>
                    </w:rPr>
                    <w:t>80</w:t>
                  </w:r>
                </w:p>
              </w:tc>
              <w:tc>
                <w:tcPr>
                  <w:tcW w:w="878" w:type="dxa"/>
                  <w:vMerge w:val="continue"/>
                  <w:tcBorders>
                    <w:tl2br w:val="nil"/>
                    <w:tr2bl w:val="nil"/>
                  </w:tcBorders>
                  <w:vAlign w:val="center"/>
                </w:tcPr>
                <w:p w14:paraId="60AE9375">
                  <w:pPr>
                    <w:jc w:val="center"/>
                    <w:rPr>
                      <w:bCs/>
                      <w:color w:val="auto"/>
                      <w:sz w:val="18"/>
                      <w:szCs w:val="18"/>
                    </w:rPr>
                  </w:pPr>
                </w:p>
              </w:tc>
              <w:tc>
                <w:tcPr>
                  <w:tcW w:w="631" w:type="dxa"/>
                  <w:vMerge w:val="continue"/>
                  <w:tcBorders>
                    <w:tl2br w:val="nil"/>
                    <w:tr2bl w:val="nil"/>
                  </w:tcBorders>
                  <w:vAlign w:val="center"/>
                </w:tcPr>
                <w:p w14:paraId="6C29923B">
                  <w:pPr>
                    <w:jc w:val="center"/>
                    <w:rPr>
                      <w:bCs/>
                      <w:color w:val="auto"/>
                      <w:sz w:val="18"/>
                      <w:szCs w:val="18"/>
                    </w:rPr>
                  </w:pPr>
                </w:p>
              </w:tc>
            </w:tr>
          </w:tbl>
          <w:p w14:paraId="386A1249">
            <w:pPr>
              <w:pStyle w:val="57"/>
              <w:adjustRightInd w:val="0"/>
              <w:snapToGrid w:val="0"/>
              <w:spacing w:line="500" w:lineRule="atLeast"/>
              <w:ind w:firstLine="0" w:firstLineChars="0"/>
              <w:jc w:val="center"/>
              <w:rPr>
                <w:b/>
                <w:color w:val="auto"/>
                <w:kern w:val="2"/>
                <w:sz w:val="21"/>
                <w:szCs w:val="21"/>
              </w:rPr>
            </w:pPr>
            <w:r>
              <w:rPr>
                <w:b/>
                <w:color w:val="auto"/>
                <w:kern w:val="2"/>
                <w:sz w:val="21"/>
                <w:szCs w:val="21"/>
              </w:rPr>
              <w:t>表4-</w:t>
            </w:r>
            <w:r>
              <w:rPr>
                <w:rFonts w:hint="eastAsia"/>
                <w:b/>
                <w:color w:val="auto"/>
                <w:kern w:val="2"/>
                <w:sz w:val="21"/>
                <w:szCs w:val="21"/>
                <w:lang w:val="en-US" w:eastAsia="zh-CN"/>
              </w:rPr>
              <w:t>8</w:t>
            </w:r>
            <w:r>
              <w:rPr>
                <w:b/>
                <w:color w:val="auto"/>
                <w:kern w:val="2"/>
                <w:sz w:val="21"/>
                <w:szCs w:val="21"/>
              </w:rPr>
              <w:t xml:space="preserve"> 工业企业噪声源强调查清单（室内声源）单位：dB（A）</w:t>
            </w:r>
          </w:p>
          <w:tbl>
            <w:tblPr>
              <w:tblStyle w:val="36"/>
              <w:tblW w:w="760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9"/>
              <w:gridCol w:w="402"/>
              <w:gridCol w:w="422"/>
              <w:gridCol w:w="380"/>
              <w:gridCol w:w="486"/>
              <w:gridCol w:w="555"/>
              <w:gridCol w:w="326"/>
              <w:gridCol w:w="326"/>
              <w:gridCol w:w="329"/>
              <w:gridCol w:w="269"/>
              <w:gridCol w:w="280"/>
              <w:gridCol w:w="245"/>
              <w:gridCol w:w="273"/>
              <w:gridCol w:w="285"/>
              <w:gridCol w:w="271"/>
              <w:gridCol w:w="280"/>
              <w:gridCol w:w="282"/>
              <w:gridCol w:w="301"/>
              <w:gridCol w:w="578"/>
              <w:gridCol w:w="490"/>
              <w:gridCol w:w="493"/>
            </w:tblGrid>
            <w:tr w14:paraId="371D4F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29" w:type="dxa"/>
                  <w:vMerge w:val="restart"/>
                  <w:tcBorders>
                    <w:tl2br w:val="nil"/>
                    <w:tr2bl w:val="nil"/>
                  </w:tcBorders>
                  <w:vAlign w:val="center"/>
                </w:tcPr>
                <w:p w14:paraId="4AF44B3B">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序号</w:t>
                  </w:r>
                </w:p>
              </w:tc>
              <w:tc>
                <w:tcPr>
                  <w:tcW w:w="402" w:type="dxa"/>
                  <w:vMerge w:val="restart"/>
                  <w:tcBorders>
                    <w:tl2br w:val="nil"/>
                    <w:tr2bl w:val="nil"/>
                  </w:tcBorders>
                  <w:vAlign w:val="center"/>
                </w:tcPr>
                <w:p w14:paraId="3A86D06A">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建筑物名称</w:t>
                  </w:r>
                </w:p>
              </w:tc>
              <w:tc>
                <w:tcPr>
                  <w:tcW w:w="422" w:type="dxa"/>
                  <w:vMerge w:val="restart"/>
                  <w:tcBorders>
                    <w:tl2br w:val="nil"/>
                    <w:tr2bl w:val="nil"/>
                  </w:tcBorders>
                  <w:vAlign w:val="center"/>
                </w:tcPr>
                <w:p w14:paraId="31342657">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声源名称</w:t>
                  </w:r>
                </w:p>
              </w:tc>
              <w:tc>
                <w:tcPr>
                  <w:tcW w:w="380" w:type="dxa"/>
                  <w:vMerge w:val="restart"/>
                  <w:tcBorders>
                    <w:tl2br w:val="nil"/>
                    <w:tr2bl w:val="nil"/>
                  </w:tcBorders>
                  <w:vAlign w:val="center"/>
                </w:tcPr>
                <w:p w14:paraId="31380DF4">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型号</w:t>
                  </w:r>
                </w:p>
              </w:tc>
              <w:tc>
                <w:tcPr>
                  <w:tcW w:w="486" w:type="dxa"/>
                  <w:vMerge w:val="restart"/>
                  <w:tcBorders>
                    <w:tl2br w:val="nil"/>
                    <w:tr2bl w:val="nil"/>
                  </w:tcBorders>
                  <w:vAlign w:val="center"/>
                </w:tcPr>
                <w:p w14:paraId="47DC873E">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声源源强声功率级/dB（A）</w:t>
                  </w:r>
                </w:p>
              </w:tc>
              <w:tc>
                <w:tcPr>
                  <w:tcW w:w="555" w:type="dxa"/>
                  <w:vMerge w:val="restart"/>
                  <w:tcBorders>
                    <w:tl2br w:val="nil"/>
                    <w:tr2bl w:val="nil"/>
                  </w:tcBorders>
                  <w:vAlign w:val="center"/>
                </w:tcPr>
                <w:p w14:paraId="50843BE2">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声源控制措施</w:t>
                  </w:r>
                </w:p>
              </w:tc>
              <w:tc>
                <w:tcPr>
                  <w:tcW w:w="981" w:type="dxa"/>
                  <w:gridSpan w:val="3"/>
                  <w:vMerge w:val="restart"/>
                  <w:tcBorders>
                    <w:tl2br w:val="nil"/>
                    <w:tr2bl w:val="nil"/>
                  </w:tcBorders>
                  <w:vAlign w:val="center"/>
                </w:tcPr>
                <w:p w14:paraId="30D66F95">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空间相对位置/m</w:t>
                  </w:r>
                </w:p>
              </w:tc>
              <w:tc>
                <w:tcPr>
                  <w:tcW w:w="1067" w:type="dxa"/>
                  <w:gridSpan w:val="4"/>
                  <w:vMerge w:val="restart"/>
                  <w:tcBorders>
                    <w:right w:val="single" w:color="000000" w:sz="4" w:space="0"/>
                    <w:tl2br w:val="nil"/>
                    <w:tr2bl w:val="nil"/>
                  </w:tcBorders>
                  <w:shd w:val="clear" w:color="auto" w:fill="auto"/>
                  <w:vAlign w:val="center"/>
                </w:tcPr>
                <w:p w14:paraId="3BDD8DD5">
                  <w:pPr>
                    <w:pStyle w:val="124"/>
                    <w:rPr>
                      <w:rFonts w:eastAsia="宋体"/>
                      <w:color w:val="auto"/>
                      <w:sz w:val="18"/>
                      <w:szCs w:val="18"/>
                    </w:rPr>
                  </w:pPr>
                  <w:r>
                    <w:rPr>
                      <w:rFonts w:eastAsia="宋体"/>
                      <w:color w:val="auto"/>
                      <w:sz w:val="18"/>
                      <w:szCs w:val="18"/>
                    </w:rPr>
                    <w:t>距室内边界距离/m</w:t>
                  </w:r>
                </w:p>
              </w:tc>
              <w:tc>
                <w:tcPr>
                  <w:tcW w:w="1118" w:type="dxa"/>
                  <w:gridSpan w:val="4"/>
                  <w:vMerge w:val="restart"/>
                  <w:tcBorders>
                    <w:left w:val="single" w:color="000000" w:sz="4" w:space="0"/>
                    <w:tl2br w:val="nil"/>
                    <w:tr2bl w:val="nil"/>
                  </w:tcBorders>
                  <w:shd w:val="clear" w:color="auto" w:fill="auto"/>
                  <w:vAlign w:val="center"/>
                </w:tcPr>
                <w:p w14:paraId="1F0F15D4">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室内边界声级/dB（A）</w:t>
                  </w:r>
                </w:p>
              </w:tc>
              <w:tc>
                <w:tcPr>
                  <w:tcW w:w="301" w:type="dxa"/>
                  <w:vMerge w:val="restart"/>
                  <w:tcBorders>
                    <w:tl2br w:val="nil"/>
                    <w:tr2bl w:val="nil"/>
                  </w:tcBorders>
                  <w:vAlign w:val="center"/>
                </w:tcPr>
                <w:p w14:paraId="2B16AFBE">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运行时段</w:t>
                  </w:r>
                </w:p>
              </w:tc>
              <w:tc>
                <w:tcPr>
                  <w:tcW w:w="578" w:type="dxa"/>
                  <w:vMerge w:val="restart"/>
                  <w:tcBorders>
                    <w:tl2br w:val="nil"/>
                    <w:tr2bl w:val="nil"/>
                  </w:tcBorders>
                  <w:vAlign w:val="center"/>
                </w:tcPr>
                <w:p w14:paraId="15BA308F">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建筑物插入损失/dB（A）</w:t>
                  </w:r>
                </w:p>
              </w:tc>
              <w:tc>
                <w:tcPr>
                  <w:tcW w:w="983" w:type="dxa"/>
                  <w:gridSpan w:val="2"/>
                  <w:tcBorders>
                    <w:tl2br w:val="nil"/>
                    <w:tr2bl w:val="nil"/>
                  </w:tcBorders>
                  <w:vAlign w:val="center"/>
                </w:tcPr>
                <w:p w14:paraId="1593CDB2">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建筑物外噪声</w:t>
                  </w:r>
                </w:p>
              </w:tc>
            </w:tr>
            <w:tr w14:paraId="3A9B08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9" w:type="dxa"/>
                  <w:vMerge w:val="continue"/>
                  <w:tcBorders>
                    <w:tl2br w:val="nil"/>
                    <w:tr2bl w:val="nil"/>
                  </w:tcBorders>
                  <w:vAlign w:val="center"/>
                </w:tcPr>
                <w:p w14:paraId="0F7E0E91">
                  <w:pPr>
                    <w:pStyle w:val="50"/>
                    <w:snapToGrid w:val="0"/>
                    <w:textAlignment w:val="auto"/>
                    <w:rPr>
                      <w:rFonts w:ascii="Times New Roman" w:hAnsi="Times New Roman" w:cs="Times New Roman"/>
                      <w:color w:val="auto"/>
                      <w:kern w:val="2"/>
                      <w:sz w:val="18"/>
                      <w:szCs w:val="18"/>
                    </w:rPr>
                  </w:pPr>
                </w:p>
              </w:tc>
              <w:tc>
                <w:tcPr>
                  <w:tcW w:w="402" w:type="dxa"/>
                  <w:vMerge w:val="continue"/>
                  <w:tcBorders>
                    <w:tl2br w:val="nil"/>
                    <w:tr2bl w:val="nil"/>
                  </w:tcBorders>
                  <w:vAlign w:val="center"/>
                </w:tcPr>
                <w:p w14:paraId="5F268688">
                  <w:pPr>
                    <w:pStyle w:val="50"/>
                    <w:snapToGrid w:val="0"/>
                    <w:textAlignment w:val="auto"/>
                    <w:rPr>
                      <w:rFonts w:ascii="Times New Roman" w:hAnsi="Times New Roman" w:cs="Times New Roman"/>
                      <w:color w:val="auto"/>
                      <w:kern w:val="2"/>
                      <w:sz w:val="18"/>
                      <w:szCs w:val="18"/>
                    </w:rPr>
                  </w:pPr>
                </w:p>
              </w:tc>
              <w:tc>
                <w:tcPr>
                  <w:tcW w:w="422" w:type="dxa"/>
                  <w:vMerge w:val="continue"/>
                  <w:tcBorders>
                    <w:tl2br w:val="nil"/>
                    <w:tr2bl w:val="nil"/>
                  </w:tcBorders>
                  <w:vAlign w:val="center"/>
                </w:tcPr>
                <w:p w14:paraId="4FD2362E">
                  <w:pPr>
                    <w:pStyle w:val="50"/>
                    <w:snapToGrid w:val="0"/>
                    <w:textAlignment w:val="auto"/>
                    <w:rPr>
                      <w:rFonts w:ascii="Times New Roman" w:hAnsi="Times New Roman" w:cs="Times New Roman"/>
                      <w:color w:val="auto"/>
                      <w:kern w:val="2"/>
                      <w:sz w:val="18"/>
                      <w:szCs w:val="18"/>
                    </w:rPr>
                  </w:pPr>
                </w:p>
              </w:tc>
              <w:tc>
                <w:tcPr>
                  <w:tcW w:w="380" w:type="dxa"/>
                  <w:vMerge w:val="continue"/>
                  <w:tcBorders>
                    <w:tl2br w:val="nil"/>
                    <w:tr2bl w:val="nil"/>
                  </w:tcBorders>
                  <w:vAlign w:val="center"/>
                </w:tcPr>
                <w:p w14:paraId="77279912">
                  <w:pPr>
                    <w:pStyle w:val="50"/>
                    <w:snapToGrid w:val="0"/>
                    <w:textAlignment w:val="auto"/>
                    <w:rPr>
                      <w:rFonts w:ascii="Times New Roman" w:hAnsi="Times New Roman" w:cs="Times New Roman"/>
                      <w:color w:val="auto"/>
                      <w:kern w:val="2"/>
                      <w:sz w:val="18"/>
                      <w:szCs w:val="18"/>
                    </w:rPr>
                  </w:pPr>
                </w:p>
              </w:tc>
              <w:tc>
                <w:tcPr>
                  <w:tcW w:w="486" w:type="dxa"/>
                  <w:vMerge w:val="continue"/>
                  <w:tcBorders>
                    <w:tl2br w:val="nil"/>
                    <w:tr2bl w:val="nil"/>
                  </w:tcBorders>
                  <w:vAlign w:val="center"/>
                </w:tcPr>
                <w:p w14:paraId="5344D759">
                  <w:pPr>
                    <w:pStyle w:val="50"/>
                    <w:snapToGrid w:val="0"/>
                    <w:textAlignment w:val="auto"/>
                    <w:rPr>
                      <w:rFonts w:ascii="Times New Roman" w:hAnsi="Times New Roman" w:cs="Times New Roman"/>
                      <w:color w:val="auto"/>
                      <w:kern w:val="2"/>
                      <w:sz w:val="18"/>
                      <w:szCs w:val="18"/>
                    </w:rPr>
                  </w:pPr>
                </w:p>
              </w:tc>
              <w:tc>
                <w:tcPr>
                  <w:tcW w:w="555" w:type="dxa"/>
                  <w:vMerge w:val="continue"/>
                  <w:tcBorders>
                    <w:tl2br w:val="nil"/>
                    <w:tr2bl w:val="nil"/>
                  </w:tcBorders>
                  <w:vAlign w:val="center"/>
                </w:tcPr>
                <w:p w14:paraId="5785186A">
                  <w:pPr>
                    <w:pStyle w:val="50"/>
                    <w:snapToGrid w:val="0"/>
                    <w:textAlignment w:val="auto"/>
                    <w:rPr>
                      <w:rFonts w:ascii="Times New Roman" w:hAnsi="Times New Roman" w:cs="Times New Roman"/>
                      <w:color w:val="auto"/>
                      <w:kern w:val="2"/>
                      <w:sz w:val="18"/>
                      <w:szCs w:val="18"/>
                    </w:rPr>
                  </w:pPr>
                </w:p>
              </w:tc>
              <w:tc>
                <w:tcPr>
                  <w:tcW w:w="981" w:type="dxa"/>
                  <w:gridSpan w:val="3"/>
                  <w:vMerge w:val="continue"/>
                  <w:tcBorders>
                    <w:tl2br w:val="nil"/>
                    <w:tr2bl w:val="nil"/>
                  </w:tcBorders>
                  <w:vAlign w:val="center"/>
                </w:tcPr>
                <w:p w14:paraId="50816576">
                  <w:pPr>
                    <w:pStyle w:val="50"/>
                    <w:snapToGrid w:val="0"/>
                    <w:textAlignment w:val="auto"/>
                    <w:rPr>
                      <w:rFonts w:ascii="Times New Roman" w:hAnsi="Times New Roman" w:cs="Times New Roman"/>
                      <w:color w:val="auto"/>
                      <w:kern w:val="2"/>
                      <w:sz w:val="18"/>
                      <w:szCs w:val="18"/>
                    </w:rPr>
                  </w:pPr>
                </w:p>
              </w:tc>
              <w:tc>
                <w:tcPr>
                  <w:tcW w:w="1067" w:type="dxa"/>
                  <w:gridSpan w:val="4"/>
                  <w:vMerge w:val="continue"/>
                  <w:tcBorders>
                    <w:right w:val="single" w:color="000000" w:sz="4" w:space="0"/>
                    <w:tl2br w:val="nil"/>
                    <w:tr2bl w:val="nil"/>
                  </w:tcBorders>
                  <w:shd w:val="clear" w:color="auto" w:fill="auto"/>
                  <w:vAlign w:val="center"/>
                </w:tcPr>
                <w:p w14:paraId="62C2A447">
                  <w:pPr>
                    <w:pStyle w:val="124"/>
                    <w:rPr>
                      <w:rFonts w:eastAsia="宋体"/>
                      <w:color w:val="auto"/>
                      <w:sz w:val="18"/>
                      <w:szCs w:val="18"/>
                    </w:rPr>
                  </w:pPr>
                </w:p>
              </w:tc>
              <w:tc>
                <w:tcPr>
                  <w:tcW w:w="1118" w:type="dxa"/>
                  <w:gridSpan w:val="4"/>
                  <w:vMerge w:val="continue"/>
                  <w:tcBorders>
                    <w:left w:val="single" w:color="000000" w:sz="4" w:space="0"/>
                    <w:tl2br w:val="nil"/>
                    <w:tr2bl w:val="nil"/>
                  </w:tcBorders>
                  <w:vAlign w:val="center"/>
                </w:tcPr>
                <w:p w14:paraId="6CBE2651">
                  <w:pPr>
                    <w:pStyle w:val="50"/>
                    <w:snapToGrid w:val="0"/>
                    <w:textAlignment w:val="auto"/>
                    <w:rPr>
                      <w:rFonts w:ascii="Times New Roman" w:hAnsi="Times New Roman" w:cs="Times New Roman"/>
                      <w:color w:val="auto"/>
                      <w:kern w:val="2"/>
                      <w:sz w:val="18"/>
                      <w:szCs w:val="18"/>
                    </w:rPr>
                  </w:pPr>
                </w:p>
              </w:tc>
              <w:tc>
                <w:tcPr>
                  <w:tcW w:w="301" w:type="dxa"/>
                  <w:vMerge w:val="continue"/>
                  <w:tcBorders>
                    <w:tl2br w:val="nil"/>
                    <w:tr2bl w:val="nil"/>
                  </w:tcBorders>
                  <w:vAlign w:val="center"/>
                </w:tcPr>
                <w:p w14:paraId="1B330CC8">
                  <w:pPr>
                    <w:pStyle w:val="50"/>
                    <w:snapToGrid w:val="0"/>
                    <w:textAlignment w:val="auto"/>
                    <w:rPr>
                      <w:rFonts w:ascii="Times New Roman" w:hAnsi="Times New Roman" w:cs="Times New Roman"/>
                      <w:color w:val="auto"/>
                      <w:kern w:val="2"/>
                      <w:sz w:val="18"/>
                      <w:szCs w:val="18"/>
                    </w:rPr>
                  </w:pPr>
                </w:p>
              </w:tc>
              <w:tc>
                <w:tcPr>
                  <w:tcW w:w="578" w:type="dxa"/>
                  <w:vMerge w:val="continue"/>
                  <w:tcBorders>
                    <w:tl2br w:val="nil"/>
                    <w:tr2bl w:val="nil"/>
                  </w:tcBorders>
                  <w:vAlign w:val="center"/>
                </w:tcPr>
                <w:p w14:paraId="74C6BBDA">
                  <w:pPr>
                    <w:pStyle w:val="50"/>
                    <w:snapToGrid w:val="0"/>
                    <w:textAlignment w:val="auto"/>
                    <w:rPr>
                      <w:rFonts w:ascii="Times New Roman" w:hAnsi="Times New Roman" w:cs="Times New Roman"/>
                      <w:color w:val="auto"/>
                      <w:kern w:val="2"/>
                      <w:sz w:val="18"/>
                      <w:szCs w:val="18"/>
                    </w:rPr>
                  </w:pPr>
                </w:p>
              </w:tc>
              <w:tc>
                <w:tcPr>
                  <w:tcW w:w="490" w:type="dxa"/>
                  <w:vMerge w:val="restart"/>
                  <w:tcBorders>
                    <w:tl2br w:val="nil"/>
                    <w:tr2bl w:val="nil"/>
                  </w:tcBorders>
                  <w:vAlign w:val="center"/>
                </w:tcPr>
                <w:p w14:paraId="340F70BE">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声压级/dB（A）</w:t>
                  </w:r>
                </w:p>
              </w:tc>
              <w:tc>
                <w:tcPr>
                  <w:tcW w:w="493" w:type="dxa"/>
                  <w:vMerge w:val="restart"/>
                  <w:tcBorders>
                    <w:tl2br w:val="nil"/>
                    <w:tr2bl w:val="nil"/>
                  </w:tcBorders>
                  <w:vAlign w:val="center"/>
                </w:tcPr>
                <w:p w14:paraId="415CFC9C">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建筑物外距离（m）</w:t>
                  </w:r>
                </w:p>
              </w:tc>
            </w:tr>
            <w:tr w14:paraId="1BF89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329" w:type="dxa"/>
                  <w:vMerge w:val="continue"/>
                  <w:tcBorders>
                    <w:tl2br w:val="nil"/>
                    <w:tr2bl w:val="nil"/>
                  </w:tcBorders>
                  <w:vAlign w:val="center"/>
                </w:tcPr>
                <w:p w14:paraId="56F4A5C8">
                  <w:pPr>
                    <w:pStyle w:val="50"/>
                    <w:snapToGrid w:val="0"/>
                    <w:textAlignment w:val="auto"/>
                    <w:rPr>
                      <w:rFonts w:ascii="Times New Roman" w:hAnsi="Times New Roman" w:cs="Times New Roman"/>
                      <w:color w:val="auto"/>
                      <w:kern w:val="2"/>
                      <w:sz w:val="18"/>
                      <w:szCs w:val="18"/>
                    </w:rPr>
                  </w:pPr>
                </w:p>
              </w:tc>
              <w:tc>
                <w:tcPr>
                  <w:tcW w:w="402" w:type="dxa"/>
                  <w:vMerge w:val="continue"/>
                  <w:tcBorders>
                    <w:tl2br w:val="nil"/>
                    <w:tr2bl w:val="nil"/>
                  </w:tcBorders>
                  <w:vAlign w:val="center"/>
                </w:tcPr>
                <w:p w14:paraId="7AF96EA1">
                  <w:pPr>
                    <w:pStyle w:val="50"/>
                    <w:snapToGrid w:val="0"/>
                    <w:textAlignment w:val="auto"/>
                    <w:rPr>
                      <w:rFonts w:ascii="Times New Roman" w:hAnsi="Times New Roman" w:cs="Times New Roman"/>
                      <w:color w:val="auto"/>
                      <w:kern w:val="2"/>
                      <w:sz w:val="18"/>
                      <w:szCs w:val="18"/>
                    </w:rPr>
                  </w:pPr>
                </w:p>
              </w:tc>
              <w:tc>
                <w:tcPr>
                  <w:tcW w:w="422" w:type="dxa"/>
                  <w:vMerge w:val="continue"/>
                  <w:tcBorders>
                    <w:tl2br w:val="nil"/>
                    <w:tr2bl w:val="nil"/>
                  </w:tcBorders>
                  <w:vAlign w:val="center"/>
                </w:tcPr>
                <w:p w14:paraId="07784D8F">
                  <w:pPr>
                    <w:pStyle w:val="50"/>
                    <w:snapToGrid w:val="0"/>
                    <w:textAlignment w:val="auto"/>
                    <w:rPr>
                      <w:rFonts w:ascii="Times New Roman" w:hAnsi="Times New Roman" w:cs="Times New Roman"/>
                      <w:color w:val="auto"/>
                      <w:kern w:val="2"/>
                      <w:sz w:val="18"/>
                      <w:szCs w:val="18"/>
                    </w:rPr>
                  </w:pPr>
                </w:p>
              </w:tc>
              <w:tc>
                <w:tcPr>
                  <w:tcW w:w="380" w:type="dxa"/>
                  <w:vMerge w:val="continue"/>
                  <w:tcBorders>
                    <w:tl2br w:val="nil"/>
                    <w:tr2bl w:val="nil"/>
                  </w:tcBorders>
                  <w:vAlign w:val="center"/>
                </w:tcPr>
                <w:p w14:paraId="1CD125BB">
                  <w:pPr>
                    <w:pStyle w:val="50"/>
                    <w:snapToGrid w:val="0"/>
                    <w:textAlignment w:val="auto"/>
                    <w:rPr>
                      <w:rFonts w:ascii="Times New Roman" w:hAnsi="Times New Roman" w:cs="Times New Roman"/>
                      <w:color w:val="auto"/>
                      <w:kern w:val="2"/>
                      <w:sz w:val="18"/>
                      <w:szCs w:val="18"/>
                    </w:rPr>
                  </w:pPr>
                </w:p>
              </w:tc>
              <w:tc>
                <w:tcPr>
                  <w:tcW w:w="486" w:type="dxa"/>
                  <w:vMerge w:val="continue"/>
                  <w:tcBorders>
                    <w:tl2br w:val="nil"/>
                    <w:tr2bl w:val="nil"/>
                  </w:tcBorders>
                  <w:vAlign w:val="center"/>
                </w:tcPr>
                <w:p w14:paraId="5A5BDB9F">
                  <w:pPr>
                    <w:pStyle w:val="50"/>
                    <w:snapToGrid w:val="0"/>
                    <w:textAlignment w:val="auto"/>
                    <w:rPr>
                      <w:rFonts w:ascii="Times New Roman" w:hAnsi="Times New Roman" w:cs="Times New Roman"/>
                      <w:color w:val="auto"/>
                      <w:kern w:val="2"/>
                      <w:sz w:val="18"/>
                      <w:szCs w:val="18"/>
                    </w:rPr>
                  </w:pPr>
                </w:p>
              </w:tc>
              <w:tc>
                <w:tcPr>
                  <w:tcW w:w="555" w:type="dxa"/>
                  <w:vMerge w:val="continue"/>
                  <w:tcBorders>
                    <w:tl2br w:val="nil"/>
                    <w:tr2bl w:val="nil"/>
                  </w:tcBorders>
                  <w:vAlign w:val="center"/>
                </w:tcPr>
                <w:p w14:paraId="713AE5A4">
                  <w:pPr>
                    <w:pStyle w:val="50"/>
                    <w:snapToGrid w:val="0"/>
                    <w:textAlignment w:val="auto"/>
                    <w:rPr>
                      <w:rFonts w:ascii="Times New Roman" w:hAnsi="Times New Roman" w:cs="Times New Roman"/>
                      <w:color w:val="auto"/>
                      <w:kern w:val="2"/>
                      <w:sz w:val="18"/>
                      <w:szCs w:val="18"/>
                    </w:rPr>
                  </w:pPr>
                </w:p>
              </w:tc>
              <w:tc>
                <w:tcPr>
                  <w:tcW w:w="326" w:type="dxa"/>
                  <w:tcBorders>
                    <w:tl2br w:val="nil"/>
                    <w:tr2bl w:val="nil"/>
                  </w:tcBorders>
                  <w:vAlign w:val="center"/>
                </w:tcPr>
                <w:p w14:paraId="43BE00D6">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X</w:t>
                  </w:r>
                </w:p>
              </w:tc>
              <w:tc>
                <w:tcPr>
                  <w:tcW w:w="326" w:type="dxa"/>
                  <w:tcBorders>
                    <w:tl2br w:val="nil"/>
                    <w:tr2bl w:val="nil"/>
                  </w:tcBorders>
                  <w:vAlign w:val="center"/>
                </w:tcPr>
                <w:p w14:paraId="44CA357F">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Y</w:t>
                  </w:r>
                </w:p>
              </w:tc>
              <w:tc>
                <w:tcPr>
                  <w:tcW w:w="329" w:type="dxa"/>
                  <w:tcBorders>
                    <w:tl2br w:val="nil"/>
                    <w:tr2bl w:val="nil"/>
                  </w:tcBorders>
                  <w:vAlign w:val="center"/>
                </w:tcPr>
                <w:p w14:paraId="61AE49C4">
                  <w:pPr>
                    <w:pStyle w:val="50"/>
                    <w:snapToGrid w:val="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Z</w:t>
                  </w:r>
                </w:p>
              </w:tc>
              <w:tc>
                <w:tcPr>
                  <w:tcW w:w="269" w:type="dxa"/>
                  <w:tcBorders>
                    <w:tl2br w:val="nil"/>
                    <w:tr2bl w:val="nil"/>
                  </w:tcBorders>
                  <w:shd w:val="clear" w:color="auto" w:fill="auto"/>
                  <w:vAlign w:val="center"/>
                </w:tcPr>
                <w:p w14:paraId="18F8878F">
                  <w:pPr>
                    <w:pStyle w:val="124"/>
                    <w:jc w:val="both"/>
                    <w:rPr>
                      <w:rFonts w:eastAsia="宋体"/>
                      <w:color w:val="auto"/>
                      <w:sz w:val="18"/>
                      <w:szCs w:val="18"/>
                    </w:rPr>
                  </w:pPr>
                  <w:r>
                    <w:rPr>
                      <w:rFonts w:hint="eastAsia" w:eastAsia="宋体"/>
                      <w:color w:val="auto"/>
                      <w:sz w:val="18"/>
                      <w:szCs w:val="18"/>
                    </w:rPr>
                    <w:t>北</w:t>
                  </w:r>
                </w:p>
              </w:tc>
              <w:tc>
                <w:tcPr>
                  <w:tcW w:w="280" w:type="dxa"/>
                  <w:tcBorders>
                    <w:tl2br w:val="nil"/>
                    <w:tr2bl w:val="nil"/>
                  </w:tcBorders>
                  <w:shd w:val="clear" w:color="auto" w:fill="auto"/>
                  <w:vAlign w:val="center"/>
                </w:tcPr>
                <w:p w14:paraId="101A8824">
                  <w:pPr>
                    <w:pStyle w:val="124"/>
                    <w:jc w:val="both"/>
                    <w:rPr>
                      <w:rFonts w:eastAsia="宋体"/>
                      <w:color w:val="auto"/>
                      <w:sz w:val="18"/>
                      <w:szCs w:val="18"/>
                    </w:rPr>
                  </w:pPr>
                  <w:r>
                    <w:rPr>
                      <w:rFonts w:hint="eastAsia" w:eastAsia="宋体"/>
                      <w:color w:val="auto"/>
                      <w:sz w:val="18"/>
                      <w:szCs w:val="18"/>
                    </w:rPr>
                    <w:t>南</w:t>
                  </w:r>
                </w:p>
              </w:tc>
              <w:tc>
                <w:tcPr>
                  <w:tcW w:w="245" w:type="dxa"/>
                  <w:tcBorders>
                    <w:top w:val="single" w:color="000000" w:sz="4" w:space="0"/>
                    <w:bottom w:val="single" w:color="000000" w:sz="4" w:space="0"/>
                    <w:tl2br w:val="nil"/>
                    <w:tr2bl w:val="nil"/>
                  </w:tcBorders>
                  <w:shd w:val="clear" w:color="auto" w:fill="auto"/>
                  <w:vAlign w:val="center"/>
                </w:tcPr>
                <w:p w14:paraId="7F8D9936">
                  <w:pPr>
                    <w:pStyle w:val="124"/>
                    <w:jc w:val="both"/>
                    <w:rPr>
                      <w:rFonts w:eastAsia="宋体"/>
                      <w:color w:val="auto"/>
                      <w:sz w:val="18"/>
                      <w:szCs w:val="18"/>
                    </w:rPr>
                  </w:pPr>
                  <w:r>
                    <w:rPr>
                      <w:rFonts w:hint="eastAsia" w:eastAsia="宋体"/>
                      <w:color w:val="auto"/>
                      <w:sz w:val="18"/>
                      <w:szCs w:val="18"/>
                    </w:rPr>
                    <w:t>西</w:t>
                  </w:r>
                </w:p>
              </w:tc>
              <w:tc>
                <w:tcPr>
                  <w:tcW w:w="273" w:type="dxa"/>
                  <w:tcBorders>
                    <w:top w:val="single" w:color="000000" w:sz="4" w:space="0"/>
                    <w:bottom w:val="single" w:color="000000" w:sz="4" w:space="0"/>
                    <w:tl2br w:val="nil"/>
                    <w:tr2bl w:val="nil"/>
                  </w:tcBorders>
                  <w:shd w:val="clear" w:color="auto" w:fill="auto"/>
                  <w:vAlign w:val="center"/>
                </w:tcPr>
                <w:p w14:paraId="4AE5D58C">
                  <w:pPr>
                    <w:pStyle w:val="124"/>
                    <w:jc w:val="both"/>
                    <w:rPr>
                      <w:rFonts w:eastAsia="宋体"/>
                      <w:color w:val="auto"/>
                      <w:sz w:val="18"/>
                      <w:szCs w:val="18"/>
                    </w:rPr>
                  </w:pPr>
                  <w:r>
                    <w:rPr>
                      <w:rFonts w:hint="eastAsia" w:eastAsia="宋体"/>
                      <w:color w:val="auto"/>
                      <w:sz w:val="18"/>
                      <w:szCs w:val="18"/>
                    </w:rPr>
                    <w:t>东</w:t>
                  </w:r>
                </w:p>
              </w:tc>
              <w:tc>
                <w:tcPr>
                  <w:tcW w:w="285" w:type="dxa"/>
                  <w:tcBorders>
                    <w:tl2br w:val="nil"/>
                    <w:tr2bl w:val="nil"/>
                  </w:tcBorders>
                  <w:shd w:val="clear" w:color="auto" w:fill="auto"/>
                  <w:vAlign w:val="center"/>
                </w:tcPr>
                <w:p w14:paraId="7E061862">
                  <w:pPr>
                    <w:pStyle w:val="124"/>
                    <w:rPr>
                      <w:rFonts w:eastAsia="宋体"/>
                      <w:color w:val="auto"/>
                      <w:sz w:val="18"/>
                      <w:szCs w:val="18"/>
                    </w:rPr>
                  </w:pPr>
                  <w:r>
                    <w:rPr>
                      <w:rFonts w:hint="eastAsia" w:eastAsia="宋体"/>
                      <w:color w:val="auto"/>
                      <w:sz w:val="18"/>
                      <w:szCs w:val="18"/>
                    </w:rPr>
                    <w:t>北</w:t>
                  </w:r>
                </w:p>
              </w:tc>
              <w:tc>
                <w:tcPr>
                  <w:tcW w:w="271" w:type="dxa"/>
                  <w:tcBorders>
                    <w:tl2br w:val="nil"/>
                    <w:tr2bl w:val="nil"/>
                  </w:tcBorders>
                  <w:shd w:val="clear" w:color="auto" w:fill="auto"/>
                  <w:vAlign w:val="center"/>
                </w:tcPr>
                <w:p w14:paraId="1E3E0094">
                  <w:pPr>
                    <w:pStyle w:val="124"/>
                    <w:rPr>
                      <w:rFonts w:eastAsia="宋体"/>
                      <w:color w:val="auto"/>
                      <w:sz w:val="18"/>
                      <w:szCs w:val="18"/>
                    </w:rPr>
                  </w:pPr>
                  <w:r>
                    <w:rPr>
                      <w:rFonts w:hint="eastAsia" w:eastAsia="宋体"/>
                      <w:color w:val="auto"/>
                      <w:sz w:val="18"/>
                      <w:szCs w:val="18"/>
                    </w:rPr>
                    <w:t>南</w:t>
                  </w:r>
                </w:p>
              </w:tc>
              <w:tc>
                <w:tcPr>
                  <w:tcW w:w="280" w:type="dxa"/>
                  <w:tcBorders>
                    <w:tl2br w:val="nil"/>
                    <w:tr2bl w:val="nil"/>
                  </w:tcBorders>
                  <w:shd w:val="clear" w:color="auto" w:fill="auto"/>
                  <w:vAlign w:val="center"/>
                </w:tcPr>
                <w:p w14:paraId="2FDB666F">
                  <w:pPr>
                    <w:pStyle w:val="124"/>
                    <w:rPr>
                      <w:rFonts w:eastAsia="宋体"/>
                      <w:color w:val="auto"/>
                      <w:sz w:val="18"/>
                      <w:szCs w:val="18"/>
                    </w:rPr>
                  </w:pPr>
                  <w:r>
                    <w:rPr>
                      <w:rFonts w:hint="eastAsia" w:eastAsia="宋体"/>
                      <w:color w:val="auto"/>
                      <w:sz w:val="18"/>
                      <w:szCs w:val="18"/>
                    </w:rPr>
                    <w:t>西</w:t>
                  </w:r>
                </w:p>
              </w:tc>
              <w:tc>
                <w:tcPr>
                  <w:tcW w:w="282" w:type="dxa"/>
                  <w:tcBorders>
                    <w:tl2br w:val="nil"/>
                    <w:tr2bl w:val="nil"/>
                  </w:tcBorders>
                  <w:shd w:val="clear" w:color="auto" w:fill="auto"/>
                  <w:vAlign w:val="center"/>
                </w:tcPr>
                <w:p w14:paraId="42D9D58E">
                  <w:pPr>
                    <w:pStyle w:val="124"/>
                    <w:rPr>
                      <w:rFonts w:eastAsia="宋体"/>
                      <w:color w:val="auto"/>
                      <w:sz w:val="18"/>
                      <w:szCs w:val="18"/>
                    </w:rPr>
                  </w:pPr>
                  <w:r>
                    <w:rPr>
                      <w:rFonts w:hint="eastAsia" w:eastAsia="宋体"/>
                      <w:color w:val="auto"/>
                      <w:sz w:val="18"/>
                      <w:szCs w:val="18"/>
                    </w:rPr>
                    <w:t>东</w:t>
                  </w:r>
                </w:p>
              </w:tc>
              <w:tc>
                <w:tcPr>
                  <w:tcW w:w="301" w:type="dxa"/>
                  <w:vMerge w:val="continue"/>
                  <w:tcBorders>
                    <w:tl2br w:val="nil"/>
                    <w:tr2bl w:val="nil"/>
                  </w:tcBorders>
                  <w:vAlign w:val="center"/>
                </w:tcPr>
                <w:p w14:paraId="17B7E32A">
                  <w:pPr>
                    <w:pStyle w:val="50"/>
                    <w:snapToGrid w:val="0"/>
                    <w:textAlignment w:val="auto"/>
                    <w:rPr>
                      <w:rFonts w:ascii="Times New Roman" w:hAnsi="Times New Roman" w:cs="Times New Roman"/>
                      <w:color w:val="auto"/>
                      <w:kern w:val="2"/>
                      <w:sz w:val="18"/>
                      <w:szCs w:val="18"/>
                    </w:rPr>
                  </w:pPr>
                </w:p>
              </w:tc>
              <w:tc>
                <w:tcPr>
                  <w:tcW w:w="578" w:type="dxa"/>
                  <w:vMerge w:val="continue"/>
                  <w:tcBorders>
                    <w:tl2br w:val="nil"/>
                    <w:tr2bl w:val="nil"/>
                  </w:tcBorders>
                  <w:vAlign w:val="center"/>
                </w:tcPr>
                <w:p w14:paraId="37F99BF1">
                  <w:pPr>
                    <w:pStyle w:val="50"/>
                    <w:snapToGrid w:val="0"/>
                    <w:textAlignment w:val="auto"/>
                    <w:rPr>
                      <w:rFonts w:ascii="Times New Roman" w:hAnsi="Times New Roman" w:cs="Times New Roman"/>
                      <w:color w:val="auto"/>
                      <w:kern w:val="2"/>
                      <w:sz w:val="18"/>
                      <w:szCs w:val="18"/>
                    </w:rPr>
                  </w:pPr>
                </w:p>
              </w:tc>
              <w:tc>
                <w:tcPr>
                  <w:tcW w:w="490" w:type="dxa"/>
                  <w:vMerge w:val="continue"/>
                  <w:tcBorders>
                    <w:tl2br w:val="nil"/>
                    <w:tr2bl w:val="nil"/>
                  </w:tcBorders>
                  <w:vAlign w:val="center"/>
                </w:tcPr>
                <w:p w14:paraId="56718847">
                  <w:pPr>
                    <w:pStyle w:val="50"/>
                    <w:snapToGrid w:val="0"/>
                    <w:textAlignment w:val="auto"/>
                    <w:rPr>
                      <w:rFonts w:ascii="Times New Roman" w:hAnsi="Times New Roman" w:cs="Times New Roman"/>
                      <w:color w:val="auto"/>
                      <w:kern w:val="2"/>
                      <w:sz w:val="18"/>
                      <w:szCs w:val="18"/>
                    </w:rPr>
                  </w:pPr>
                </w:p>
              </w:tc>
              <w:tc>
                <w:tcPr>
                  <w:tcW w:w="493" w:type="dxa"/>
                  <w:vMerge w:val="continue"/>
                  <w:tcBorders>
                    <w:tl2br w:val="nil"/>
                    <w:tr2bl w:val="nil"/>
                  </w:tcBorders>
                  <w:vAlign w:val="center"/>
                </w:tcPr>
                <w:p w14:paraId="2136071A">
                  <w:pPr>
                    <w:pStyle w:val="50"/>
                    <w:snapToGrid w:val="0"/>
                    <w:textAlignment w:val="auto"/>
                    <w:rPr>
                      <w:rFonts w:ascii="Times New Roman" w:hAnsi="Times New Roman" w:cs="Times New Roman"/>
                      <w:color w:val="auto"/>
                      <w:kern w:val="2"/>
                      <w:sz w:val="18"/>
                      <w:szCs w:val="18"/>
                    </w:rPr>
                  </w:pPr>
                </w:p>
              </w:tc>
            </w:tr>
            <w:tr w14:paraId="2F69C7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329" w:type="dxa"/>
                  <w:tcBorders>
                    <w:tl2br w:val="nil"/>
                    <w:tr2bl w:val="nil"/>
                  </w:tcBorders>
                  <w:vAlign w:val="center"/>
                </w:tcPr>
                <w:p w14:paraId="370F5FBF">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c>
                <w:tcPr>
                  <w:tcW w:w="402" w:type="dxa"/>
                  <w:tcBorders>
                    <w:tl2br w:val="nil"/>
                    <w:tr2bl w:val="nil"/>
                  </w:tcBorders>
                  <w:vAlign w:val="center"/>
                </w:tcPr>
                <w:p w14:paraId="54D46D23">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热风炉</w:t>
                  </w:r>
                </w:p>
              </w:tc>
              <w:tc>
                <w:tcPr>
                  <w:tcW w:w="422" w:type="dxa"/>
                  <w:tcBorders>
                    <w:tl2br w:val="nil"/>
                    <w:tr2bl w:val="nil"/>
                  </w:tcBorders>
                  <w:vAlign w:val="center"/>
                </w:tcPr>
                <w:p w14:paraId="4FFAD083">
                  <w:pPr>
                    <w:pStyle w:val="50"/>
                    <w:textAlignment w:val="auto"/>
                    <w:rPr>
                      <w:rFonts w:ascii="Times New Roman" w:hAnsi="Times New Roman" w:cs="Times New Roman"/>
                      <w:color w:val="auto"/>
                      <w:kern w:val="2"/>
                      <w:sz w:val="18"/>
                      <w:szCs w:val="18"/>
                    </w:rPr>
                  </w:pPr>
                  <w:r>
                    <w:rPr>
                      <w:rFonts w:ascii="Times New Roman" w:hAnsi="Times New Roman" w:cs="Times New Roman"/>
                      <w:color w:val="auto"/>
                      <w:sz w:val="18"/>
                      <w:szCs w:val="18"/>
                    </w:rPr>
                    <w:t>热风炉</w:t>
                  </w:r>
                  <w:r>
                    <w:rPr>
                      <w:rFonts w:hint="eastAsia" w:ascii="Times New Roman" w:hAnsi="Times New Roman" w:cs="Times New Roman"/>
                      <w:color w:val="auto"/>
                      <w:sz w:val="18"/>
                      <w:szCs w:val="18"/>
                    </w:rPr>
                    <w:t>1</w:t>
                  </w:r>
                </w:p>
              </w:tc>
              <w:tc>
                <w:tcPr>
                  <w:tcW w:w="380" w:type="dxa"/>
                  <w:tcBorders>
                    <w:tl2br w:val="nil"/>
                    <w:tr2bl w:val="nil"/>
                  </w:tcBorders>
                  <w:vAlign w:val="center"/>
                </w:tcPr>
                <w:p w14:paraId="6BF05C0E">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w:t>
                  </w:r>
                </w:p>
              </w:tc>
              <w:tc>
                <w:tcPr>
                  <w:tcW w:w="486" w:type="dxa"/>
                  <w:tcBorders>
                    <w:tl2br w:val="nil"/>
                    <w:tr2bl w:val="nil"/>
                  </w:tcBorders>
                  <w:vAlign w:val="center"/>
                </w:tcPr>
                <w:p w14:paraId="5B60C292">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75</w:t>
                  </w:r>
                </w:p>
              </w:tc>
              <w:tc>
                <w:tcPr>
                  <w:tcW w:w="555" w:type="dxa"/>
                  <w:tcBorders>
                    <w:tl2br w:val="nil"/>
                    <w:tr2bl w:val="nil"/>
                  </w:tcBorders>
                  <w:vAlign w:val="center"/>
                </w:tcPr>
                <w:p w14:paraId="10D2E6C6">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基础减振、厂房隔声等</w:t>
                  </w:r>
                </w:p>
              </w:tc>
              <w:tc>
                <w:tcPr>
                  <w:tcW w:w="326" w:type="dxa"/>
                  <w:tcBorders>
                    <w:tl2br w:val="nil"/>
                    <w:tr2bl w:val="nil"/>
                  </w:tcBorders>
                  <w:vAlign w:val="center"/>
                </w:tcPr>
                <w:p w14:paraId="56C749DB">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40</w:t>
                  </w:r>
                </w:p>
              </w:tc>
              <w:tc>
                <w:tcPr>
                  <w:tcW w:w="326" w:type="dxa"/>
                  <w:tcBorders>
                    <w:tl2br w:val="nil"/>
                    <w:tr2bl w:val="nil"/>
                  </w:tcBorders>
                  <w:vAlign w:val="center"/>
                </w:tcPr>
                <w:p w14:paraId="2FFF89DD">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45</w:t>
                  </w:r>
                </w:p>
              </w:tc>
              <w:tc>
                <w:tcPr>
                  <w:tcW w:w="329" w:type="dxa"/>
                  <w:tcBorders>
                    <w:tl2br w:val="nil"/>
                    <w:tr2bl w:val="nil"/>
                  </w:tcBorders>
                  <w:vAlign w:val="center"/>
                </w:tcPr>
                <w:p w14:paraId="1BFD8718">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1</w:t>
                  </w:r>
                </w:p>
              </w:tc>
              <w:tc>
                <w:tcPr>
                  <w:tcW w:w="269" w:type="dxa"/>
                  <w:tcBorders>
                    <w:tl2br w:val="nil"/>
                    <w:tr2bl w:val="nil"/>
                  </w:tcBorders>
                  <w:shd w:val="clear" w:color="auto" w:fill="auto"/>
                  <w:vAlign w:val="center"/>
                </w:tcPr>
                <w:p w14:paraId="31B9416B">
                  <w:pPr>
                    <w:pStyle w:val="124"/>
                    <w:jc w:val="both"/>
                    <w:rPr>
                      <w:rFonts w:eastAsia="宋体"/>
                      <w:color w:val="auto"/>
                      <w:sz w:val="18"/>
                      <w:szCs w:val="18"/>
                    </w:rPr>
                  </w:pPr>
                  <w:r>
                    <w:rPr>
                      <w:rFonts w:hint="eastAsia" w:eastAsia="宋体"/>
                      <w:color w:val="auto"/>
                      <w:sz w:val="18"/>
                      <w:szCs w:val="18"/>
                    </w:rPr>
                    <w:t>5</w:t>
                  </w:r>
                </w:p>
              </w:tc>
              <w:tc>
                <w:tcPr>
                  <w:tcW w:w="280" w:type="dxa"/>
                  <w:tcBorders>
                    <w:tl2br w:val="nil"/>
                    <w:tr2bl w:val="nil"/>
                  </w:tcBorders>
                  <w:shd w:val="clear" w:color="auto" w:fill="auto"/>
                  <w:vAlign w:val="center"/>
                </w:tcPr>
                <w:p w14:paraId="46DA660C">
                  <w:pPr>
                    <w:pStyle w:val="124"/>
                    <w:jc w:val="both"/>
                    <w:rPr>
                      <w:rFonts w:eastAsia="宋体"/>
                      <w:color w:val="auto"/>
                      <w:sz w:val="18"/>
                      <w:szCs w:val="18"/>
                    </w:rPr>
                  </w:pPr>
                  <w:r>
                    <w:rPr>
                      <w:rFonts w:hint="eastAsia" w:eastAsia="宋体"/>
                      <w:color w:val="auto"/>
                      <w:sz w:val="18"/>
                      <w:szCs w:val="18"/>
                    </w:rPr>
                    <w:t>2</w:t>
                  </w:r>
                </w:p>
              </w:tc>
              <w:tc>
                <w:tcPr>
                  <w:tcW w:w="245" w:type="dxa"/>
                  <w:tcBorders>
                    <w:top w:val="single" w:color="000000" w:sz="4" w:space="0"/>
                    <w:tl2br w:val="nil"/>
                    <w:tr2bl w:val="nil"/>
                  </w:tcBorders>
                  <w:shd w:val="clear" w:color="auto" w:fill="auto"/>
                  <w:vAlign w:val="center"/>
                </w:tcPr>
                <w:p w14:paraId="7CC4F063">
                  <w:pPr>
                    <w:pStyle w:val="124"/>
                    <w:jc w:val="both"/>
                    <w:rPr>
                      <w:rFonts w:eastAsia="宋体"/>
                      <w:color w:val="auto"/>
                      <w:sz w:val="18"/>
                      <w:szCs w:val="18"/>
                    </w:rPr>
                  </w:pPr>
                  <w:r>
                    <w:rPr>
                      <w:rFonts w:hint="eastAsia" w:eastAsia="宋体"/>
                      <w:color w:val="auto"/>
                      <w:sz w:val="18"/>
                      <w:szCs w:val="18"/>
                    </w:rPr>
                    <w:t>1</w:t>
                  </w:r>
                </w:p>
              </w:tc>
              <w:tc>
                <w:tcPr>
                  <w:tcW w:w="273" w:type="dxa"/>
                  <w:tcBorders>
                    <w:top w:val="single" w:color="000000" w:sz="4" w:space="0"/>
                    <w:tl2br w:val="nil"/>
                    <w:tr2bl w:val="nil"/>
                  </w:tcBorders>
                  <w:shd w:val="clear" w:color="auto" w:fill="auto"/>
                  <w:vAlign w:val="center"/>
                </w:tcPr>
                <w:p w14:paraId="2EDBBD68">
                  <w:pPr>
                    <w:pStyle w:val="124"/>
                    <w:jc w:val="both"/>
                    <w:rPr>
                      <w:rFonts w:eastAsia="宋体"/>
                      <w:color w:val="auto"/>
                      <w:sz w:val="18"/>
                      <w:szCs w:val="18"/>
                    </w:rPr>
                  </w:pPr>
                  <w:r>
                    <w:rPr>
                      <w:rFonts w:hint="eastAsia" w:eastAsia="宋体"/>
                      <w:color w:val="auto"/>
                      <w:sz w:val="18"/>
                      <w:szCs w:val="18"/>
                    </w:rPr>
                    <w:t>5</w:t>
                  </w:r>
                </w:p>
              </w:tc>
              <w:tc>
                <w:tcPr>
                  <w:tcW w:w="285" w:type="dxa"/>
                  <w:tcBorders>
                    <w:tl2br w:val="nil"/>
                    <w:tr2bl w:val="nil"/>
                  </w:tcBorders>
                  <w:shd w:val="clear" w:color="auto" w:fill="auto"/>
                  <w:vAlign w:val="center"/>
                </w:tcPr>
                <w:p w14:paraId="3EAF112C">
                  <w:pPr>
                    <w:pStyle w:val="124"/>
                    <w:rPr>
                      <w:rFonts w:eastAsia="宋体"/>
                      <w:color w:val="auto"/>
                      <w:sz w:val="18"/>
                      <w:szCs w:val="18"/>
                    </w:rPr>
                  </w:pPr>
                  <w:r>
                    <w:rPr>
                      <w:rFonts w:hint="eastAsia" w:eastAsia="宋体"/>
                      <w:color w:val="auto"/>
                      <w:sz w:val="18"/>
                      <w:szCs w:val="18"/>
                    </w:rPr>
                    <w:t>63</w:t>
                  </w:r>
                </w:p>
              </w:tc>
              <w:tc>
                <w:tcPr>
                  <w:tcW w:w="271" w:type="dxa"/>
                  <w:tcBorders>
                    <w:tl2br w:val="nil"/>
                    <w:tr2bl w:val="nil"/>
                  </w:tcBorders>
                  <w:shd w:val="clear" w:color="auto" w:fill="auto"/>
                  <w:vAlign w:val="center"/>
                </w:tcPr>
                <w:p w14:paraId="536325FA">
                  <w:pPr>
                    <w:pStyle w:val="124"/>
                    <w:rPr>
                      <w:rFonts w:eastAsia="宋体"/>
                      <w:color w:val="auto"/>
                      <w:sz w:val="18"/>
                      <w:szCs w:val="18"/>
                    </w:rPr>
                  </w:pPr>
                  <w:r>
                    <w:rPr>
                      <w:rFonts w:hint="eastAsia" w:eastAsia="宋体"/>
                      <w:color w:val="auto"/>
                      <w:sz w:val="18"/>
                      <w:szCs w:val="18"/>
                    </w:rPr>
                    <w:t>61</w:t>
                  </w:r>
                </w:p>
              </w:tc>
              <w:tc>
                <w:tcPr>
                  <w:tcW w:w="280" w:type="dxa"/>
                  <w:tcBorders>
                    <w:tl2br w:val="nil"/>
                    <w:tr2bl w:val="nil"/>
                  </w:tcBorders>
                  <w:shd w:val="clear" w:color="auto" w:fill="auto"/>
                  <w:vAlign w:val="center"/>
                </w:tcPr>
                <w:p w14:paraId="39F2D387">
                  <w:pPr>
                    <w:pStyle w:val="124"/>
                    <w:rPr>
                      <w:rFonts w:eastAsia="宋体"/>
                      <w:color w:val="auto"/>
                      <w:sz w:val="18"/>
                      <w:szCs w:val="18"/>
                    </w:rPr>
                  </w:pPr>
                  <w:r>
                    <w:rPr>
                      <w:rFonts w:hint="eastAsia" w:eastAsia="宋体"/>
                      <w:color w:val="auto"/>
                      <w:sz w:val="18"/>
                      <w:szCs w:val="18"/>
                    </w:rPr>
                    <w:t>67</w:t>
                  </w:r>
                </w:p>
              </w:tc>
              <w:tc>
                <w:tcPr>
                  <w:tcW w:w="282" w:type="dxa"/>
                  <w:tcBorders>
                    <w:tl2br w:val="nil"/>
                    <w:tr2bl w:val="nil"/>
                  </w:tcBorders>
                  <w:shd w:val="clear" w:color="auto" w:fill="auto"/>
                  <w:vAlign w:val="center"/>
                </w:tcPr>
                <w:p w14:paraId="575E5E7D">
                  <w:pPr>
                    <w:pStyle w:val="124"/>
                    <w:rPr>
                      <w:rFonts w:eastAsia="宋体"/>
                      <w:color w:val="auto"/>
                      <w:sz w:val="18"/>
                      <w:szCs w:val="18"/>
                    </w:rPr>
                  </w:pPr>
                  <w:r>
                    <w:rPr>
                      <w:rFonts w:hint="eastAsia" w:eastAsia="宋体"/>
                      <w:color w:val="auto"/>
                      <w:sz w:val="18"/>
                      <w:szCs w:val="18"/>
                    </w:rPr>
                    <w:t>63</w:t>
                  </w:r>
                </w:p>
              </w:tc>
              <w:tc>
                <w:tcPr>
                  <w:tcW w:w="301" w:type="dxa"/>
                  <w:vMerge w:val="restart"/>
                  <w:tcBorders>
                    <w:tl2br w:val="nil"/>
                    <w:tr2bl w:val="nil"/>
                  </w:tcBorders>
                  <w:vAlign w:val="center"/>
                </w:tcPr>
                <w:p w14:paraId="35187A24">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昼夜间</w:t>
                  </w:r>
                </w:p>
              </w:tc>
              <w:tc>
                <w:tcPr>
                  <w:tcW w:w="578" w:type="dxa"/>
                  <w:tcBorders>
                    <w:tl2br w:val="nil"/>
                    <w:tr2bl w:val="nil"/>
                  </w:tcBorders>
                  <w:vAlign w:val="center"/>
                </w:tcPr>
                <w:p w14:paraId="407C3185">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20</w:t>
                  </w:r>
                </w:p>
              </w:tc>
              <w:tc>
                <w:tcPr>
                  <w:tcW w:w="490" w:type="dxa"/>
                  <w:tcBorders>
                    <w:tl2br w:val="nil"/>
                    <w:tr2bl w:val="nil"/>
                  </w:tcBorders>
                  <w:vAlign w:val="center"/>
                </w:tcPr>
                <w:p w14:paraId="2A2D87A8">
                  <w:pPr>
                    <w:widowControl/>
                    <w:jc w:val="center"/>
                    <w:textAlignment w:val="center"/>
                    <w:rPr>
                      <w:color w:val="auto"/>
                      <w:sz w:val="18"/>
                      <w:szCs w:val="18"/>
                    </w:rPr>
                  </w:pPr>
                  <w:r>
                    <w:rPr>
                      <w:rFonts w:hint="eastAsia"/>
                      <w:color w:val="auto"/>
                      <w:kern w:val="0"/>
                      <w:sz w:val="18"/>
                      <w:szCs w:val="18"/>
                      <w:lang w:bidi="ar"/>
                    </w:rPr>
                    <w:t>41</w:t>
                  </w:r>
                  <w:r>
                    <w:rPr>
                      <w:color w:val="auto"/>
                      <w:kern w:val="0"/>
                      <w:sz w:val="18"/>
                      <w:szCs w:val="18"/>
                      <w:lang w:bidi="ar"/>
                    </w:rPr>
                    <w:t xml:space="preserve"> </w:t>
                  </w:r>
                </w:p>
              </w:tc>
              <w:tc>
                <w:tcPr>
                  <w:tcW w:w="493" w:type="dxa"/>
                  <w:tcBorders>
                    <w:tl2br w:val="nil"/>
                    <w:tr2bl w:val="nil"/>
                  </w:tcBorders>
                  <w:vAlign w:val="center"/>
                </w:tcPr>
                <w:p w14:paraId="4DA551B1">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r>
            <w:tr w14:paraId="5CF16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329" w:type="dxa"/>
                  <w:tcBorders>
                    <w:tl2br w:val="nil"/>
                    <w:tr2bl w:val="nil"/>
                  </w:tcBorders>
                  <w:shd w:val="clear" w:color="auto" w:fill="auto"/>
                  <w:vAlign w:val="center"/>
                </w:tcPr>
                <w:p w14:paraId="2353C853">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2</w:t>
                  </w:r>
                </w:p>
              </w:tc>
              <w:tc>
                <w:tcPr>
                  <w:tcW w:w="402" w:type="dxa"/>
                  <w:tcBorders>
                    <w:tl2br w:val="nil"/>
                    <w:tr2bl w:val="nil"/>
                  </w:tcBorders>
                  <w:shd w:val="clear" w:color="auto" w:fill="auto"/>
                  <w:vAlign w:val="center"/>
                </w:tcPr>
                <w:p w14:paraId="4C334A42">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热风炉</w:t>
                  </w:r>
                </w:p>
              </w:tc>
              <w:tc>
                <w:tcPr>
                  <w:tcW w:w="422" w:type="dxa"/>
                  <w:tcBorders>
                    <w:tl2br w:val="nil"/>
                    <w:tr2bl w:val="nil"/>
                  </w:tcBorders>
                  <w:shd w:val="clear" w:color="auto" w:fill="auto"/>
                  <w:vAlign w:val="center"/>
                </w:tcPr>
                <w:p w14:paraId="62C2B0D1">
                  <w:pPr>
                    <w:pStyle w:val="50"/>
                    <w:textAlignment w:val="auto"/>
                    <w:rPr>
                      <w:rFonts w:ascii="Times New Roman" w:hAnsi="Times New Roman" w:cs="Times New Roman"/>
                      <w:color w:val="auto"/>
                      <w:kern w:val="2"/>
                      <w:sz w:val="18"/>
                      <w:szCs w:val="18"/>
                    </w:rPr>
                  </w:pPr>
                  <w:r>
                    <w:rPr>
                      <w:rFonts w:ascii="Times New Roman" w:hAnsi="Times New Roman" w:cs="Times New Roman"/>
                      <w:color w:val="auto"/>
                      <w:sz w:val="18"/>
                      <w:szCs w:val="18"/>
                    </w:rPr>
                    <w:t>热风炉</w:t>
                  </w:r>
                  <w:r>
                    <w:rPr>
                      <w:rFonts w:hint="eastAsia" w:ascii="Times New Roman" w:hAnsi="Times New Roman" w:cs="Times New Roman"/>
                      <w:color w:val="auto"/>
                      <w:sz w:val="18"/>
                      <w:szCs w:val="18"/>
                    </w:rPr>
                    <w:t>2</w:t>
                  </w:r>
                </w:p>
              </w:tc>
              <w:tc>
                <w:tcPr>
                  <w:tcW w:w="380" w:type="dxa"/>
                  <w:tcBorders>
                    <w:tl2br w:val="nil"/>
                    <w:tr2bl w:val="nil"/>
                  </w:tcBorders>
                  <w:shd w:val="clear" w:color="auto" w:fill="auto"/>
                  <w:vAlign w:val="center"/>
                </w:tcPr>
                <w:p w14:paraId="307ABB2B">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w:t>
                  </w:r>
                </w:p>
              </w:tc>
              <w:tc>
                <w:tcPr>
                  <w:tcW w:w="486" w:type="dxa"/>
                  <w:tcBorders>
                    <w:tl2br w:val="nil"/>
                    <w:tr2bl w:val="nil"/>
                  </w:tcBorders>
                  <w:shd w:val="clear" w:color="auto" w:fill="auto"/>
                  <w:vAlign w:val="center"/>
                </w:tcPr>
                <w:p w14:paraId="22023233">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75</w:t>
                  </w:r>
                </w:p>
              </w:tc>
              <w:tc>
                <w:tcPr>
                  <w:tcW w:w="555" w:type="dxa"/>
                  <w:tcBorders>
                    <w:tl2br w:val="nil"/>
                    <w:tr2bl w:val="nil"/>
                  </w:tcBorders>
                  <w:shd w:val="clear" w:color="auto" w:fill="auto"/>
                  <w:vAlign w:val="center"/>
                </w:tcPr>
                <w:p w14:paraId="2E3CE052">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基础减振、厂房隔声等</w:t>
                  </w:r>
                </w:p>
              </w:tc>
              <w:tc>
                <w:tcPr>
                  <w:tcW w:w="326" w:type="dxa"/>
                  <w:tcBorders>
                    <w:tl2br w:val="nil"/>
                    <w:tr2bl w:val="nil"/>
                  </w:tcBorders>
                  <w:shd w:val="clear" w:color="auto" w:fill="auto"/>
                  <w:vAlign w:val="center"/>
                </w:tcPr>
                <w:p w14:paraId="3CBA2F98">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40</w:t>
                  </w:r>
                </w:p>
              </w:tc>
              <w:tc>
                <w:tcPr>
                  <w:tcW w:w="326" w:type="dxa"/>
                  <w:tcBorders>
                    <w:tl2br w:val="nil"/>
                    <w:tr2bl w:val="nil"/>
                  </w:tcBorders>
                  <w:shd w:val="clear" w:color="auto" w:fill="auto"/>
                  <w:vAlign w:val="center"/>
                </w:tcPr>
                <w:p w14:paraId="3FCF0CF9">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45</w:t>
                  </w:r>
                </w:p>
              </w:tc>
              <w:tc>
                <w:tcPr>
                  <w:tcW w:w="329" w:type="dxa"/>
                  <w:tcBorders>
                    <w:tl2br w:val="nil"/>
                    <w:tr2bl w:val="nil"/>
                  </w:tcBorders>
                  <w:shd w:val="clear" w:color="auto" w:fill="auto"/>
                  <w:vAlign w:val="center"/>
                </w:tcPr>
                <w:p w14:paraId="137B7274">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1</w:t>
                  </w:r>
                </w:p>
              </w:tc>
              <w:tc>
                <w:tcPr>
                  <w:tcW w:w="269" w:type="dxa"/>
                  <w:tcBorders>
                    <w:tl2br w:val="nil"/>
                    <w:tr2bl w:val="nil"/>
                  </w:tcBorders>
                  <w:shd w:val="clear" w:color="auto" w:fill="auto"/>
                  <w:vAlign w:val="center"/>
                </w:tcPr>
                <w:p w14:paraId="22D0C6FC">
                  <w:pPr>
                    <w:pStyle w:val="124"/>
                    <w:jc w:val="both"/>
                    <w:rPr>
                      <w:rFonts w:eastAsia="宋体"/>
                      <w:color w:val="auto"/>
                      <w:sz w:val="18"/>
                      <w:szCs w:val="18"/>
                    </w:rPr>
                  </w:pPr>
                  <w:r>
                    <w:rPr>
                      <w:rFonts w:hint="eastAsia" w:eastAsia="宋体"/>
                      <w:color w:val="auto"/>
                      <w:sz w:val="18"/>
                      <w:szCs w:val="18"/>
                    </w:rPr>
                    <w:t>4</w:t>
                  </w:r>
                </w:p>
              </w:tc>
              <w:tc>
                <w:tcPr>
                  <w:tcW w:w="280" w:type="dxa"/>
                  <w:tcBorders>
                    <w:tl2br w:val="nil"/>
                    <w:tr2bl w:val="nil"/>
                  </w:tcBorders>
                  <w:shd w:val="clear" w:color="auto" w:fill="auto"/>
                  <w:vAlign w:val="center"/>
                </w:tcPr>
                <w:p w14:paraId="64E7EB22">
                  <w:pPr>
                    <w:pStyle w:val="124"/>
                    <w:jc w:val="both"/>
                    <w:rPr>
                      <w:rFonts w:eastAsia="宋体"/>
                      <w:color w:val="auto"/>
                      <w:sz w:val="18"/>
                      <w:szCs w:val="18"/>
                    </w:rPr>
                  </w:pPr>
                  <w:r>
                    <w:rPr>
                      <w:rFonts w:hint="eastAsia" w:eastAsia="宋体"/>
                      <w:color w:val="auto"/>
                      <w:sz w:val="18"/>
                      <w:szCs w:val="18"/>
                    </w:rPr>
                    <w:t>3</w:t>
                  </w:r>
                </w:p>
              </w:tc>
              <w:tc>
                <w:tcPr>
                  <w:tcW w:w="245" w:type="dxa"/>
                  <w:tcBorders>
                    <w:tl2br w:val="nil"/>
                    <w:tr2bl w:val="nil"/>
                  </w:tcBorders>
                  <w:shd w:val="clear" w:color="auto" w:fill="auto"/>
                  <w:vAlign w:val="center"/>
                </w:tcPr>
                <w:p w14:paraId="0E62D28A">
                  <w:pPr>
                    <w:pStyle w:val="124"/>
                    <w:jc w:val="both"/>
                    <w:rPr>
                      <w:rFonts w:eastAsia="宋体"/>
                      <w:color w:val="auto"/>
                      <w:sz w:val="18"/>
                      <w:szCs w:val="18"/>
                    </w:rPr>
                  </w:pPr>
                  <w:r>
                    <w:rPr>
                      <w:rFonts w:hint="eastAsia" w:eastAsia="宋体"/>
                      <w:color w:val="auto"/>
                      <w:sz w:val="18"/>
                      <w:szCs w:val="18"/>
                    </w:rPr>
                    <w:t>1</w:t>
                  </w:r>
                </w:p>
              </w:tc>
              <w:tc>
                <w:tcPr>
                  <w:tcW w:w="273" w:type="dxa"/>
                  <w:tcBorders>
                    <w:tl2br w:val="nil"/>
                    <w:tr2bl w:val="nil"/>
                  </w:tcBorders>
                  <w:shd w:val="clear" w:color="auto" w:fill="auto"/>
                  <w:vAlign w:val="center"/>
                </w:tcPr>
                <w:p w14:paraId="1CF21CC3">
                  <w:pPr>
                    <w:pStyle w:val="124"/>
                    <w:jc w:val="both"/>
                    <w:rPr>
                      <w:rFonts w:eastAsia="宋体"/>
                      <w:color w:val="auto"/>
                      <w:sz w:val="18"/>
                      <w:szCs w:val="18"/>
                    </w:rPr>
                  </w:pPr>
                  <w:r>
                    <w:rPr>
                      <w:rFonts w:hint="eastAsia" w:eastAsia="宋体"/>
                      <w:color w:val="auto"/>
                      <w:sz w:val="18"/>
                      <w:szCs w:val="18"/>
                    </w:rPr>
                    <w:t>5</w:t>
                  </w:r>
                </w:p>
              </w:tc>
              <w:tc>
                <w:tcPr>
                  <w:tcW w:w="285" w:type="dxa"/>
                  <w:tcBorders>
                    <w:tl2br w:val="nil"/>
                    <w:tr2bl w:val="nil"/>
                  </w:tcBorders>
                  <w:shd w:val="clear" w:color="auto" w:fill="auto"/>
                  <w:vAlign w:val="center"/>
                </w:tcPr>
                <w:p w14:paraId="65E3E1D0">
                  <w:pPr>
                    <w:pStyle w:val="124"/>
                    <w:rPr>
                      <w:rFonts w:eastAsia="宋体"/>
                      <w:color w:val="auto"/>
                      <w:sz w:val="18"/>
                      <w:szCs w:val="18"/>
                    </w:rPr>
                  </w:pPr>
                  <w:r>
                    <w:rPr>
                      <w:rFonts w:hint="eastAsia" w:eastAsia="宋体"/>
                      <w:color w:val="auto"/>
                      <w:sz w:val="18"/>
                      <w:szCs w:val="18"/>
                    </w:rPr>
                    <w:t>62</w:t>
                  </w:r>
                </w:p>
              </w:tc>
              <w:tc>
                <w:tcPr>
                  <w:tcW w:w="271" w:type="dxa"/>
                  <w:tcBorders>
                    <w:tl2br w:val="nil"/>
                    <w:tr2bl w:val="nil"/>
                  </w:tcBorders>
                  <w:shd w:val="clear" w:color="auto" w:fill="auto"/>
                  <w:vAlign w:val="center"/>
                </w:tcPr>
                <w:p w14:paraId="2345A75A">
                  <w:pPr>
                    <w:pStyle w:val="124"/>
                    <w:rPr>
                      <w:rFonts w:eastAsia="宋体"/>
                      <w:color w:val="auto"/>
                      <w:sz w:val="18"/>
                      <w:szCs w:val="18"/>
                    </w:rPr>
                  </w:pPr>
                  <w:r>
                    <w:rPr>
                      <w:rFonts w:hint="eastAsia" w:eastAsia="宋体"/>
                      <w:color w:val="auto"/>
                      <w:sz w:val="18"/>
                      <w:szCs w:val="18"/>
                    </w:rPr>
                    <w:t>65</w:t>
                  </w:r>
                </w:p>
              </w:tc>
              <w:tc>
                <w:tcPr>
                  <w:tcW w:w="280" w:type="dxa"/>
                  <w:tcBorders>
                    <w:tl2br w:val="nil"/>
                    <w:tr2bl w:val="nil"/>
                  </w:tcBorders>
                  <w:shd w:val="clear" w:color="auto" w:fill="auto"/>
                  <w:vAlign w:val="center"/>
                </w:tcPr>
                <w:p w14:paraId="690F6523">
                  <w:pPr>
                    <w:pStyle w:val="124"/>
                    <w:rPr>
                      <w:rFonts w:eastAsia="宋体"/>
                      <w:color w:val="auto"/>
                      <w:sz w:val="18"/>
                      <w:szCs w:val="18"/>
                    </w:rPr>
                  </w:pPr>
                  <w:r>
                    <w:rPr>
                      <w:rFonts w:hint="eastAsia" w:eastAsia="宋体"/>
                      <w:color w:val="auto"/>
                      <w:sz w:val="18"/>
                      <w:szCs w:val="18"/>
                    </w:rPr>
                    <w:t>64</w:t>
                  </w:r>
                </w:p>
              </w:tc>
              <w:tc>
                <w:tcPr>
                  <w:tcW w:w="282" w:type="dxa"/>
                  <w:tcBorders>
                    <w:tl2br w:val="nil"/>
                    <w:tr2bl w:val="nil"/>
                  </w:tcBorders>
                  <w:shd w:val="clear" w:color="auto" w:fill="auto"/>
                  <w:vAlign w:val="center"/>
                </w:tcPr>
                <w:p w14:paraId="14D91E3E">
                  <w:pPr>
                    <w:pStyle w:val="124"/>
                    <w:rPr>
                      <w:rFonts w:eastAsia="宋体"/>
                      <w:color w:val="auto"/>
                      <w:sz w:val="18"/>
                      <w:szCs w:val="18"/>
                    </w:rPr>
                  </w:pPr>
                  <w:r>
                    <w:rPr>
                      <w:rFonts w:hint="eastAsia" w:eastAsia="宋体"/>
                      <w:color w:val="auto"/>
                      <w:sz w:val="18"/>
                      <w:szCs w:val="18"/>
                    </w:rPr>
                    <w:t>60</w:t>
                  </w:r>
                </w:p>
              </w:tc>
              <w:tc>
                <w:tcPr>
                  <w:tcW w:w="301" w:type="dxa"/>
                  <w:vMerge w:val="continue"/>
                  <w:tcBorders>
                    <w:tl2br w:val="nil"/>
                    <w:tr2bl w:val="nil"/>
                  </w:tcBorders>
                  <w:shd w:val="clear" w:color="auto" w:fill="auto"/>
                  <w:vAlign w:val="center"/>
                </w:tcPr>
                <w:p w14:paraId="73B6175D">
                  <w:pPr>
                    <w:pStyle w:val="50"/>
                    <w:textAlignment w:val="auto"/>
                    <w:rPr>
                      <w:rFonts w:ascii="Times New Roman" w:hAnsi="Times New Roman" w:cs="Times New Roman"/>
                      <w:color w:val="auto"/>
                      <w:kern w:val="2"/>
                      <w:sz w:val="18"/>
                      <w:szCs w:val="18"/>
                    </w:rPr>
                  </w:pPr>
                </w:p>
              </w:tc>
              <w:tc>
                <w:tcPr>
                  <w:tcW w:w="578" w:type="dxa"/>
                  <w:tcBorders>
                    <w:tl2br w:val="nil"/>
                    <w:tr2bl w:val="nil"/>
                  </w:tcBorders>
                  <w:shd w:val="clear" w:color="auto" w:fill="auto"/>
                  <w:vAlign w:val="center"/>
                </w:tcPr>
                <w:p w14:paraId="7C3A4273">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20</w:t>
                  </w:r>
                </w:p>
              </w:tc>
              <w:tc>
                <w:tcPr>
                  <w:tcW w:w="490" w:type="dxa"/>
                  <w:tcBorders>
                    <w:tl2br w:val="nil"/>
                    <w:tr2bl w:val="nil"/>
                  </w:tcBorders>
                  <w:shd w:val="clear" w:color="auto" w:fill="auto"/>
                  <w:vAlign w:val="center"/>
                </w:tcPr>
                <w:p w14:paraId="537D2E8A">
                  <w:pPr>
                    <w:widowControl/>
                    <w:jc w:val="center"/>
                    <w:textAlignment w:val="center"/>
                    <w:rPr>
                      <w:color w:val="auto"/>
                      <w:sz w:val="18"/>
                      <w:szCs w:val="18"/>
                    </w:rPr>
                  </w:pPr>
                  <w:r>
                    <w:rPr>
                      <w:rFonts w:hint="eastAsia"/>
                      <w:color w:val="auto"/>
                      <w:kern w:val="0"/>
                      <w:sz w:val="18"/>
                      <w:szCs w:val="18"/>
                      <w:lang w:bidi="ar"/>
                    </w:rPr>
                    <w:t>41</w:t>
                  </w:r>
                  <w:r>
                    <w:rPr>
                      <w:color w:val="auto"/>
                      <w:kern w:val="0"/>
                      <w:sz w:val="18"/>
                      <w:szCs w:val="18"/>
                      <w:lang w:bidi="ar"/>
                    </w:rPr>
                    <w:t xml:space="preserve"> </w:t>
                  </w:r>
                </w:p>
              </w:tc>
              <w:tc>
                <w:tcPr>
                  <w:tcW w:w="493" w:type="dxa"/>
                  <w:tcBorders>
                    <w:tl2br w:val="nil"/>
                    <w:tr2bl w:val="nil"/>
                  </w:tcBorders>
                  <w:shd w:val="clear" w:color="auto" w:fill="auto"/>
                  <w:vAlign w:val="center"/>
                </w:tcPr>
                <w:p w14:paraId="3AE05A18">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r>
            <w:tr w14:paraId="5F850F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329" w:type="dxa"/>
                  <w:tcBorders>
                    <w:tl2br w:val="nil"/>
                    <w:tr2bl w:val="nil"/>
                  </w:tcBorders>
                  <w:vAlign w:val="center"/>
                </w:tcPr>
                <w:p w14:paraId="72C7FD54">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3</w:t>
                  </w:r>
                </w:p>
              </w:tc>
              <w:tc>
                <w:tcPr>
                  <w:tcW w:w="402" w:type="dxa"/>
                  <w:tcBorders>
                    <w:tl2br w:val="nil"/>
                    <w:tr2bl w:val="nil"/>
                  </w:tcBorders>
                  <w:vAlign w:val="center"/>
                </w:tcPr>
                <w:p w14:paraId="1A5A236E">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热风炉</w:t>
                  </w:r>
                </w:p>
              </w:tc>
              <w:tc>
                <w:tcPr>
                  <w:tcW w:w="422" w:type="dxa"/>
                  <w:tcBorders>
                    <w:tl2br w:val="nil"/>
                    <w:tr2bl w:val="nil"/>
                  </w:tcBorders>
                  <w:vAlign w:val="center"/>
                </w:tcPr>
                <w:p w14:paraId="5747E7A5">
                  <w:pPr>
                    <w:pStyle w:val="50"/>
                    <w:textAlignment w:val="auto"/>
                    <w:rPr>
                      <w:rFonts w:ascii="Times New Roman" w:hAnsi="Times New Roman" w:cs="Times New Roman"/>
                      <w:color w:val="auto"/>
                      <w:kern w:val="2"/>
                      <w:sz w:val="18"/>
                      <w:szCs w:val="18"/>
                    </w:rPr>
                  </w:pPr>
                  <w:r>
                    <w:rPr>
                      <w:rFonts w:ascii="Times New Roman" w:hAnsi="Times New Roman" w:cs="Times New Roman"/>
                      <w:color w:val="auto"/>
                      <w:sz w:val="18"/>
                      <w:szCs w:val="18"/>
                      <w:lang w:bidi="ar"/>
                    </w:rPr>
                    <w:t>输送</w:t>
                  </w:r>
                  <w:r>
                    <w:rPr>
                      <w:rFonts w:hint="eastAsia" w:ascii="Times New Roman" w:hAnsi="Times New Roman" w:cs="Times New Roman"/>
                      <w:color w:val="auto"/>
                      <w:sz w:val="18"/>
                      <w:szCs w:val="18"/>
                      <w:lang w:bidi="ar"/>
                    </w:rPr>
                    <w:t>带</w:t>
                  </w:r>
                </w:p>
              </w:tc>
              <w:tc>
                <w:tcPr>
                  <w:tcW w:w="380" w:type="dxa"/>
                  <w:tcBorders>
                    <w:tl2br w:val="nil"/>
                    <w:tr2bl w:val="nil"/>
                  </w:tcBorders>
                  <w:vAlign w:val="center"/>
                </w:tcPr>
                <w:p w14:paraId="079C804E">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w:t>
                  </w:r>
                </w:p>
              </w:tc>
              <w:tc>
                <w:tcPr>
                  <w:tcW w:w="486" w:type="dxa"/>
                  <w:tcBorders>
                    <w:tl2br w:val="nil"/>
                    <w:tr2bl w:val="nil"/>
                  </w:tcBorders>
                  <w:vAlign w:val="center"/>
                </w:tcPr>
                <w:p w14:paraId="488CA255">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80</w:t>
                  </w:r>
                </w:p>
              </w:tc>
              <w:tc>
                <w:tcPr>
                  <w:tcW w:w="555" w:type="dxa"/>
                  <w:tcBorders>
                    <w:tl2br w:val="nil"/>
                    <w:tr2bl w:val="nil"/>
                  </w:tcBorders>
                  <w:vAlign w:val="center"/>
                </w:tcPr>
                <w:p w14:paraId="5B9F7C8E">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基础减</w:t>
                  </w:r>
                </w:p>
                <w:p w14:paraId="50E9E8F4">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振、厂房隔声等</w:t>
                  </w:r>
                </w:p>
              </w:tc>
              <w:tc>
                <w:tcPr>
                  <w:tcW w:w="326" w:type="dxa"/>
                  <w:tcBorders>
                    <w:tl2br w:val="nil"/>
                    <w:tr2bl w:val="nil"/>
                  </w:tcBorders>
                  <w:vAlign w:val="center"/>
                </w:tcPr>
                <w:p w14:paraId="28603A5F">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38</w:t>
                  </w:r>
                </w:p>
              </w:tc>
              <w:tc>
                <w:tcPr>
                  <w:tcW w:w="326" w:type="dxa"/>
                  <w:tcBorders>
                    <w:tl2br w:val="nil"/>
                    <w:tr2bl w:val="nil"/>
                  </w:tcBorders>
                  <w:vAlign w:val="center"/>
                </w:tcPr>
                <w:p w14:paraId="5EBC527A">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48</w:t>
                  </w:r>
                </w:p>
              </w:tc>
              <w:tc>
                <w:tcPr>
                  <w:tcW w:w="329" w:type="dxa"/>
                  <w:tcBorders>
                    <w:tl2br w:val="nil"/>
                    <w:tr2bl w:val="nil"/>
                  </w:tcBorders>
                  <w:vAlign w:val="center"/>
                </w:tcPr>
                <w:p w14:paraId="6FBB1B8D">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c>
                <w:tcPr>
                  <w:tcW w:w="269" w:type="dxa"/>
                  <w:tcBorders>
                    <w:tl2br w:val="nil"/>
                    <w:tr2bl w:val="nil"/>
                  </w:tcBorders>
                  <w:shd w:val="clear" w:color="auto" w:fill="auto"/>
                  <w:vAlign w:val="center"/>
                </w:tcPr>
                <w:p w14:paraId="0E9D12B3">
                  <w:pPr>
                    <w:pStyle w:val="124"/>
                    <w:jc w:val="both"/>
                    <w:rPr>
                      <w:rFonts w:eastAsia="宋体"/>
                      <w:color w:val="auto"/>
                      <w:sz w:val="18"/>
                      <w:szCs w:val="18"/>
                    </w:rPr>
                  </w:pPr>
                  <w:r>
                    <w:rPr>
                      <w:rFonts w:hint="eastAsia" w:eastAsia="宋体"/>
                      <w:color w:val="auto"/>
                      <w:sz w:val="18"/>
                      <w:szCs w:val="18"/>
                    </w:rPr>
                    <w:t>5</w:t>
                  </w:r>
                </w:p>
              </w:tc>
              <w:tc>
                <w:tcPr>
                  <w:tcW w:w="280" w:type="dxa"/>
                  <w:tcBorders>
                    <w:tl2br w:val="nil"/>
                    <w:tr2bl w:val="nil"/>
                  </w:tcBorders>
                  <w:shd w:val="clear" w:color="auto" w:fill="auto"/>
                  <w:vAlign w:val="center"/>
                </w:tcPr>
                <w:p w14:paraId="795A3AF8">
                  <w:pPr>
                    <w:pStyle w:val="124"/>
                    <w:jc w:val="both"/>
                    <w:rPr>
                      <w:rFonts w:eastAsia="宋体"/>
                      <w:color w:val="auto"/>
                      <w:sz w:val="18"/>
                      <w:szCs w:val="18"/>
                    </w:rPr>
                  </w:pPr>
                  <w:r>
                    <w:rPr>
                      <w:rFonts w:hint="eastAsia" w:eastAsia="宋体"/>
                      <w:color w:val="auto"/>
                      <w:sz w:val="18"/>
                      <w:szCs w:val="18"/>
                    </w:rPr>
                    <w:t>3</w:t>
                  </w:r>
                </w:p>
              </w:tc>
              <w:tc>
                <w:tcPr>
                  <w:tcW w:w="245" w:type="dxa"/>
                  <w:tcBorders>
                    <w:tl2br w:val="nil"/>
                    <w:tr2bl w:val="nil"/>
                  </w:tcBorders>
                  <w:shd w:val="clear" w:color="auto" w:fill="auto"/>
                  <w:vAlign w:val="center"/>
                </w:tcPr>
                <w:p w14:paraId="066D831C">
                  <w:pPr>
                    <w:pStyle w:val="124"/>
                    <w:jc w:val="both"/>
                    <w:rPr>
                      <w:rFonts w:eastAsia="宋体"/>
                      <w:color w:val="auto"/>
                      <w:sz w:val="18"/>
                      <w:szCs w:val="18"/>
                    </w:rPr>
                  </w:pPr>
                  <w:r>
                    <w:rPr>
                      <w:rFonts w:hint="eastAsia" w:eastAsia="宋体"/>
                      <w:color w:val="auto"/>
                      <w:sz w:val="18"/>
                      <w:szCs w:val="18"/>
                    </w:rPr>
                    <w:t>2</w:t>
                  </w:r>
                </w:p>
              </w:tc>
              <w:tc>
                <w:tcPr>
                  <w:tcW w:w="273" w:type="dxa"/>
                  <w:tcBorders>
                    <w:tl2br w:val="nil"/>
                    <w:tr2bl w:val="nil"/>
                  </w:tcBorders>
                  <w:shd w:val="clear" w:color="auto" w:fill="auto"/>
                  <w:vAlign w:val="center"/>
                </w:tcPr>
                <w:p w14:paraId="390FB76B">
                  <w:pPr>
                    <w:pStyle w:val="124"/>
                    <w:jc w:val="both"/>
                    <w:rPr>
                      <w:rFonts w:eastAsia="宋体"/>
                      <w:color w:val="auto"/>
                      <w:sz w:val="18"/>
                      <w:szCs w:val="18"/>
                    </w:rPr>
                  </w:pPr>
                  <w:r>
                    <w:rPr>
                      <w:rFonts w:hint="eastAsia" w:eastAsia="宋体"/>
                      <w:color w:val="auto"/>
                      <w:sz w:val="18"/>
                      <w:szCs w:val="18"/>
                    </w:rPr>
                    <w:t>5</w:t>
                  </w:r>
                </w:p>
              </w:tc>
              <w:tc>
                <w:tcPr>
                  <w:tcW w:w="285" w:type="dxa"/>
                  <w:tcBorders>
                    <w:tl2br w:val="nil"/>
                    <w:tr2bl w:val="nil"/>
                  </w:tcBorders>
                  <w:shd w:val="clear" w:color="auto" w:fill="auto"/>
                  <w:vAlign w:val="center"/>
                </w:tcPr>
                <w:p w14:paraId="7ADC1295">
                  <w:pPr>
                    <w:pStyle w:val="124"/>
                    <w:rPr>
                      <w:rFonts w:eastAsia="宋体"/>
                      <w:color w:val="auto"/>
                      <w:sz w:val="18"/>
                      <w:szCs w:val="18"/>
                    </w:rPr>
                  </w:pPr>
                  <w:r>
                    <w:rPr>
                      <w:rFonts w:hint="eastAsia" w:eastAsia="宋体"/>
                      <w:color w:val="auto"/>
                      <w:sz w:val="18"/>
                      <w:szCs w:val="18"/>
                    </w:rPr>
                    <w:t>66</w:t>
                  </w:r>
                </w:p>
              </w:tc>
              <w:tc>
                <w:tcPr>
                  <w:tcW w:w="271" w:type="dxa"/>
                  <w:tcBorders>
                    <w:tl2br w:val="nil"/>
                    <w:tr2bl w:val="nil"/>
                  </w:tcBorders>
                  <w:shd w:val="clear" w:color="auto" w:fill="auto"/>
                  <w:vAlign w:val="center"/>
                </w:tcPr>
                <w:p w14:paraId="1790ACBA">
                  <w:pPr>
                    <w:pStyle w:val="124"/>
                    <w:rPr>
                      <w:rFonts w:eastAsia="宋体"/>
                      <w:color w:val="auto"/>
                      <w:sz w:val="18"/>
                      <w:szCs w:val="18"/>
                    </w:rPr>
                  </w:pPr>
                  <w:r>
                    <w:rPr>
                      <w:rFonts w:hint="eastAsia" w:eastAsia="宋体"/>
                      <w:color w:val="auto"/>
                      <w:sz w:val="18"/>
                      <w:szCs w:val="18"/>
                    </w:rPr>
                    <w:t>61</w:t>
                  </w:r>
                </w:p>
              </w:tc>
              <w:tc>
                <w:tcPr>
                  <w:tcW w:w="280" w:type="dxa"/>
                  <w:tcBorders>
                    <w:tl2br w:val="nil"/>
                    <w:tr2bl w:val="nil"/>
                  </w:tcBorders>
                  <w:shd w:val="clear" w:color="auto" w:fill="auto"/>
                  <w:vAlign w:val="center"/>
                </w:tcPr>
                <w:p w14:paraId="3A6C795A">
                  <w:pPr>
                    <w:pStyle w:val="124"/>
                    <w:rPr>
                      <w:rFonts w:eastAsia="宋体"/>
                      <w:color w:val="auto"/>
                      <w:sz w:val="18"/>
                      <w:szCs w:val="18"/>
                    </w:rPr>
                  </w:pPr>
                  <w:r>
                    <w:rPr>
                      <w:rFonts w:hint="eastAsia" w:eastAsia="宋体"/>
                      <w:color w:val="auto"/>
                      <w:sz w:val="18"/>
                      <w:szCs w:val="18"/>
                    </w:rPr>
                    <w:t>64</w:t>
                  </w:r>
                </w:p>
              </w:tc>
              <w:tc>
                <w:tcPr>
                  <w:tcW w:w="282" w:type="dxa"/>
                  <w:tcBorders>
                    <w:tl2br w:val="nil"/>
                    <w:tr2bl w:val="nil"/>
                  </w:tcBorders>
                  <w:shd w:val="clear" w:color="auto" w:fill="auto"/>
                  <w:vAlign w:val="center"/>
                </w:tcPr>
                <w:p w14:paraId="77836D48">
                  <w:pPr>
                    <w:pStyle w:val="124"/>
                    <w:rPr>
                      <w:rFonts w:eastAsia="宋体"/>
                      <w:color w:val="auto"/>
                      <w:sz w:val="18"/>
                      <w:szCs w:val="18"/>
                    </w:rPr>
                  </w:pPr>
                  <w:r>
                    <w:rPr>
                      <w:rFonts w:hint="eastAsia" w:eastAsia="宋体"/>
                      <w:color w:val="auto"/>
                      <w:sz w:val="18"/>
                      <w:szCs w:val="18"/>
                    </w:rPr>
                    <w:t>66</w:t>
                  </w:r>
                </w:p>
              </w:tc>
              <w:tc>
                <w:tcPr>
                  <w:tcW w:w="301" w:type="dxa"/>
                  <w:vMerge w:val="continue"/>
                  <w:tcBorders>
                    <w:tl2br w:val="nil"/>
                    <w:tr2bl w:val="nil"/>
                  </w:tcBorders>
                  <w:vAlign w:val="center"/>
                </w:tcPr>
                <w:p w14:paraId="3A3D3F90">
                  <w:pPr>
                    <w:pStyle w:val="50"/>
                    <w:textAlignment w:val="auto"/>
                    <w:rPr>
                      <w:rFonts w:ascii="Times New Roman" w:hAnsi="Times New Roman" w:cs="Times New Roman"/>
                      <w:color w:val="auto"/>
                      <w:kern w:val="2"/>
                      <w:sz w:val="18"/>
                      <w:szCs w:val="18"/>
                    </w:rPr>
                  </w:pPr>
                </w:p>
              </w:tc>
              <w:tc>
                <w:tcPr>
                  <w:tcW w:w="578" w:type="dxa"/>
                  <w:tcBorders>
                    <w:tl2br w:val="nil"/>
                    <w:tr2bl w:val="nil"/>
                  </w:tcBorders>
                  <w:vAlign w:val="center"/>
                </w:tcPr>
                <w:p w14:paraId="752DA396">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20</w:t>
                  </w:r>
                </w:p>
              </w:tc>
              <w:tc>
                <w:tcPr>
                  <w:tcW w:w="490" w:type="dxa"/>
                  <w:tcBorders>
                    <w:tl2br w:val="nil"/>
                    <w:tr2bl w:val="nil"/>
                  </w:tcBorders>
                  <w:vAlign w:val="center"/>
                </w:tcPr>
                <w:p w14:paraId="0DFA1099">
                  <w:pPr>
                    <w:widowControl/>
                    <w:jc w:val="center"/>
                    <w:textAlignment w:val="center"/>
                    <w:rPr>
                      <w:color w:val="auto"/>
                      <w:sz w:val="18"/>
                      <w:szCs w:val="18"/>
                    </w:rPr>
                  </w:pPr>
                  <w:r>
                    <w:rPr>
                      <w:rFonts w:hint="eastAsia"/>
                      <w:color w:val="auto"/>
                      <w:kern w:val="0"/>
                      <w:sz w:val="18"/>
                      <w:szCs w:val="18"/>
                      <w:lang w:bidi="ar"/>
                    </w:rPr>
                    <w:t>44</w:t>
                  </w:r>
                </w:p>
              </w:tc>
              <w:tc>
                <w:tcPr>
                  <w:tcW w:w="493" w:type="dxa"/>
                  <w:tcBorders>
                    <w:tl2br w:val="nil"/>
                    <w:tr2bl w:val="nil"/>
                  </w:tcBorders>
                  <w:vAlign w:val="center"/>
                </w:tcPr>
                <w:p w14:paraId="1504EBDB">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r>
            <w:tr w14:paraId="3C84F3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329" w:type="dxa"/>
                  <w:tcBorders>
                    <w:tl2br w:val="nil"/>
                    <w:tr2bl w:val="nil"/>
                  </w:tcBorders>
                  <w:vAlign w:val="center"/>
                </w:tcPr>
                <w:p w14:paraId="7FA86C41">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4</w:t>
                  </w:r>
                </w:p>
              </w:tc>
              <w:tc>
                <w:tcPr>
                  <w:tcW w:w="402" w:type="dxa"/>
                  <w:vMerge w:val="restart"/>
                  <w:tcBorders>
                    <w:tl2br w:val="nil"/>
                    <w:tr2bl w:val="nil"/>
                  </w:tcBorders>
                  <w:vAlign w:val="center"/>
                </w:tcPr>
                <w:p w14:paraId="603F2E4B">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潮粮仓</w:t>
                  </w:r>
                </w:p>
              </w:tc>
              <w:tc>
                <w:tcPr>
                  <w:tcW w:w="422" w:type="dxa"/>
                  <w:tcBorders>
                    <w:tl2br w:val="nil"/>
                    <w:tr2bl w:val="nil"/>
                  </w:tcBorders>
                  <w:vAlign w:val="center"/>
                </w:tcPr>
                <w:p w14:paraId="07C95BAF">
                  <w:pPr>
                    <w:jc w:val="center"/>
                    <w:rPr>
                      <w:color w:val="auto"/>
                      <w:sz w:val="18"/>
                      <w:szCs w:val="18"/>
                    </w:rPr>
                  </w:pPr>
                  <w:r>
                    <w:rPr>
                      <w:color w:val="auto"/>
                      <w:sz w:val="18"/>
                      <w:szCs w:val="18"/>
                    </w:rPr>
                    <w:t>封闭式滚筒筛</w:t>
                  </w:r>
                </w:p>
              </w:tc>
              <w:tc>
                <w:tcPr>
                  <w:tcW w:w="380" w:type="dxa"/>
                  <w:tcBorders>
                    <w:tl2br w:val="nil"/>
                    <w:tr2bl w:val="nil"/>
                  </w:tcBorders>
                  <w:vAlign w:val="center"/>
                </w:tcPr>
                <w:p w14:paraId="5D61D56B">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w:t>
                  </w:r>
                </w:p>
              </w:tc>
              <w:tc>
                <w:tcPr>
                  <w:tcW w:w="486" w:type="dxa"/>
                  <w:tcBorders>
                    <w:tl2br w:val="nil"/>
                    <w:tr2bl w:val="nil"/>
                  </w:tcBorders>
                  <w:vAlign w:val="center"/>
                </w:tcPr>
                <w:p w14:paraId="79B8C1CA">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70</w:t>
                  </w:r>
                </w:p>
              </w:tc>
              <w:tc>
                <w:tcPr>
                  <w:tcW w:w="555" w:type="dxa"/>
                  <w:vMerge w:val="restart"/>
                  <w:tcBorders>
                    <w:tl2br w:val="nil"/>
                    <w:tr2bl w:val="nil"/>
                  </w:tcBorders>
                  <w:vAlign w:val="center"/>
                </w:tcPr>
                <w:p w14:paraId="69839366">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基础减</w:t>
                  </w:r>
                </w:p>
                <w:p w14:paraId="21DBC4D3">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振、厂房隔声等</w:t>
                  </w:r>
                </w:p>
              </w:tc>
              <w:tc>
                <w:tcPr>
                  <w:tcW w:w="326" w:type="dxa"/>
                  <w:tcBorders>
                    <w:tl2br w:val="nil"/>
                    <w:tr2bl w:val="nil"/>
                  </w:tcBorders>
                  <w:vAlign w:val="center"/>
                </w:tcPr>
                <w:p w14:paraId="48898DC4">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24</w:t>
                  </w:r>
                </w:p>
              </w:tc>
              <w:tc>
                <w:tcPr>
                  <w:tcW w:w="326" w:type="dxa"/>
                  <w:tcBorders>
                    <w:tl2br w:val="nil"/>
                    <w:tr2bl w:val="nil"/>
                  </w:tcBorders>
                  <w:vAlign w:val="center"/>
                </w:tcPr>
                <w:p w14:paraId="11A9B98F">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30</w:t>
                  </w:r>
                </w:p>
              </w:tc>
              <w:tc>
                <w:tcPr>
                  <w:tcW w:w="329" w:type="dxa"/>
                  <w:tcBorders>
                    <w:tl2br w:val="nil"/>
                    <w:tr2bl w:val="nil"/>
                  </w:tcBorders>
                  <w:vAlign w:val="center"/>
                </w:tcPr>
                <w:p w14:paraId="25834A9C">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c>
                <w:tcPr>
                  <w:tcW w:w="269" w:type="dxa"/>
                  <w:tcBorders>
                    <w:tl2br w:val="nil"/>
                    <w:tr2bl w:val="nil"/>
                  </w:tcBorders>
                  <w:shd w:val="clear" w:color="auto" w:fill="auto"/>
                  <w:vAlign w:val="center"/>
                </w:tcPr>
                <w:p w14:paraId="2E31C63E">
                  <w:pPr>
                    <w:pStyle w:val="124"/>
                    <w:rPr>
                      <w:rFonts w:eastAsia="宋体"/>
                      <w:color w:val="auto"/>
                      <w:sz w:val="18"/>
                      <w:szCs w:val="18"/>
                    </w:rPr>
                  </w:pPr>
                  <w:r>
                    <w:rPr>
                      <w:rFonts w:hint="eastAsia" w:eastAsia="宋体"/>
                      <w:color w:val="auto"/>
                      <w:sz w:val="18"/>
                      <w:szCs w:val="18"/>
                    </w:rPr>
                    <w:t>5</w:t>
                  </w:r>
                </w:p>
              </w:tc>
              <w:tc>
                <w:tcPr>
                  <w:tcW w:w="280" w:type="dxa"/>
                  <w:tcBorders>
                    <w:tl2br w:val="nil"/>
                    <w:tr2bl w:val="nil"/>
                  </w:tcBorders>
                  <w:shd w:val="clear" w:color="auto" w:fill="auto"/>
                  <w:vAlign w:val="center"/>
                </w:tcPr>
                <w:p w14:paraId="07E8CD73">
                  <w:pPr>
                    <w:pStyle w:val="124"/>
                    <w:rPr>
                      <w:rFonts w:eastAsia="宋体"/>
                      <w:color w:val="auto"/>
                      <w:sz w:val="18"/>
                      <w:szCs w:val="18"/>
                    </w:rPr>
                  </w:pPr>
                  <w:r>
                    <w:rPr>
                      <w:rFonts w:hint="eastAsia" w:eastAsia="宋体"/>
                      <w:color w:val="auto"/>
                      <w:sz w:val="18"/>
                      <w:szCs w:val="18"/>
                    </w:rPr>
                    <w:t>2</w:t>
                  </w:r>
                </w:p>
              </w:tc>
              <w:tc>
                <w:tcPr>
                  <w:tcW w:w="245" w:type="dxa"/>
                  <w:tcBorders>
                    <w:tl2br w:val="nil"/>
                    <w:tr2bl w:val="nil"/>
                  </w:tcBorders>
                  <w:shd w:val="clear" w:color="auto" w:fill="auto"/>
                  <w:vAlign w:val="center"/>
                </w:tcPr>
                <w:p w14:paraId="06C20152">
                  <w:pPr>
                    <w:pStyle w:val="124"/>
                    <w:rPr>
                      <w:rFonts w:eastAsia="宋体"/>
                      <w:color w:val="auto"/>
                      <w:sz w:val="18"/>
                      <w:szCs w:val="18"/>
                    </w:rPr>
                  </w:pPr>
                  <w:r>
                    <w:rPr>
                      <w:rFonts w:hint="eastAsia" w:eastAsia="宋体"/>
                      <w:color w:val="auto"/>
                      <w:sz w:val="18"/>
                      <w:szCs w:val="18"/>
                    </w:rPr>
                    <w:t>1</w:t>
                  </w:r>
                </w:p>
              </w:tc>
              <w:tc>
                <w:tcPr>
                  <w:tcW w:w="273" w:type="dxa"/>
                  <w:tcBorders>
                    <w:tl2br w:val="nil"/>
                    <w:tr2bl w:val="nil"/>
                  </w:tcBorders>
                  <w:shd w:val="clear" w:color="auto" w:fill="auto"/>
                  <w:vAlign w:val="center"/>
                </w:tcPr>
                <w:p w14:paraId="5C9D32C9">
                  <w:pPr>
                    <w:pStyle w:val="124"/>
                    <w:rPr>
                      <w:rFonts w:eastAsia="宋体"/>
                      <w:color w:val="auto"/>
                      <w:sz w:val="18"/>
                      <w:szCs w:val="18"/>
                    </w:rPr>
                  </w:pPr>
                  <w:r>
                    <w:rPr>
                      <w:rFonts w:hint="eastAsia" w:eastAsia="宋体"/>
                      <w:color w:val="auto"/>
                      <w:sz w:val="18"/>
                      <w:szCs w:val="18"/>
                    </w:rPr>
                    <w:t>5</w:t>
                  </w:r>
                </w:p>
              </w:tc>
              <w:tc>
                <w:tcPr>
                  <w:tcW w:w="285" w:type="dxa"/>
                  <w:tcBorders>
                    <w:tl2br w:val="nil"/>
                    <w:tr2bl w:val="nil"/>
                  </w:tcBorders>
                  <w:shd w:val="clear" w:color="auto" w:fill="auto"/>
                  <w:vAlign w:val="center"/>
                </w:tcPr>
                <w:p w14:paraId="17ADEFCE">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60</w:t>
                  </w:r>
                </w:p>
              </w:tc>
              <w:tc>
                <w:tcPr>
                  <w:tcW w:w="271" w:type="dxa"/>
                  <w:tcBorders>
                    <w:tl2br w:val="nil"/>
                    <w:tr2bl w:val="nil"/>
                  </w:tcBorders>
                  <w:shd w:val="clear" w:color="auto" w:fill="auto"/>
                  <w:vAlign w:val="center"/>
                </w:tcPr>
                <w:p w14:paraId="3371EF83">
                  <w:pPr>
                    <w:pStyle w:val="124"/>
                    <w:rPr>
                      <w:rFonts w:eastAsia="宋体"/>
                      <w:color w:val="auto"/>
                      <w:sz w:val="18"/>
                      <w:szCs w:val="18"/>
                    </w:rPr>
                  </w:pPr>
                  <w:r>
                    <w:rPr>
                      <w:rFonts w:hint="eastAsia" w:eastAsia="宋体"/>
                      <w:color w:val="auto"/>
                      <w:sz w:val="18"/>
                      <w:szCs w:val="18"/>
                    </w:rPr>
                    <w:t>63</w:t>
                  </w:r>
                </w:p>
              </w:tc>
              <w:tc>
                <w:tcPr>
                  <w:tcW w:w="280" w:type="dxa"/>
                  <w:tcBorders>
                    <w:tl2br w:val="nil"/>
                    <w:tr2bl w:val="nil"/>
                  </w:tcBorders>
                  <w:shd w:val="clear" w:color="auto" w:fill="auto"/>
                  <w:vAlign w:val="center"/>
                </w:tcPr>
                <w:p w14:paraId="755E536D">
                  <w:pPr>
                    <w:pStyle w:val="124"/>
                    <w:rPr>
                      <w:rFonts w:eastAsia="宋体"/>
                      <w:color w:val="auto"/>
                      <w:sz w:val="18"/>
                      <w:szCs w:val="18"/>
                    </w:rPr>
                  </w:pPr>
                  <w:r>
                    <w:rPr>
                      <w:rFonts w:hint="eastAsia" w:eastAsia="宋体"/>
                      <w:color w:val="auto"/>
                      <w:sz w:val="18"/>
                      <w:szCs w:val="18"/>
                    </w:rPr>
                    <w:t>61</w:t>
                  </w:r>
                </w:p>
              </w:tc>
              <w:tc>
                <w:tcPr>
                  <w:tcW w:w="282" w:type="dxa"/>
                  <w:tcBorders>
                    <w:tl2br w:val="nil"/>
                    <w:tr2bl w:val="nil"/>
                  </w:tcBorders>
                  <w:shd w:val="clear" w:color="auto" w:fill="auto"/>
                  <w:vAlign w:val="center"/>
                </w:tcPr>
                <w:p w14:paraId="0EA9B516">
                  <w:pPr>
                    <w:pStyle w:val="124"/>
                    <w:rPr>
                      <w:rFonts w:eastAsia="宋体"/>
                      <w:color w:val="auto"/>
                      <w:sz w:val="18"/>
                      <w:szCs w:val="18"/>
                    </w:rPr>
                  </w:pPr>
                  <w:r>
                    <w:rPr>
                      <w:rFonts w:hint="eastAsia" w:eastAsia="宋体"/>
                      <w:color w:val="auto"/>
                      <w:sz w:val="18"/>
                      <w:szCs w:val="18"/>
                    </w:rPr>
                    <w:t>67</w:t>
                  </w:r>
                </w:p>
              </w:tc>
              <w:tc>
                <w:tcPr>
                  <w:tcW w:w="301" w:type="dxa"/>
                  <w:vMerge w:val="continue"/>
                  <w:tcBorders>
                    <w:tl2br w:val="nil"/>
                    <w:tr2bl w:val="nil"/>
                  </w:tcBorders>
                  <w:vAlign w:val="center"/>
                </w:tcPr>
                <w:p w14:paraId="5ACC25B0">
                  <w:pPr>
                    <w:pStyle w:val="50"/>
                    <w:textAlignment w:val="auto"/>
                    <w:rPr>
                      <w:rFonts w:ascii="Times New Roman" w:hAnsi="Times New Roman" w:cs="Times New Roman"/>
                      <w:color w:val="auto"/>
                      <w:kern w:val="2"/>
                      <w:sz w:val="18"/>
                      <w:szCs w:val="18"/>
                    </w:rPr>
                  </w:pPr>
                </w:p>
              </w:tc>
              <w:tc>
                <w:tcPr>
                  <w:tcW w:w="578" w:type="dxa"/>
                  <w:tcBorders>
                    <w:tl2br w:val="nil"/>
                    <w:tr2bl w:val="nil"/>
                  </w:tcBorders>
                  <w:vAlign w:val="center"/>
                </w:tcPr>
                <w:p w14:paraId="6C32C2AA">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20</w:t>
                  </w:r>
                </w:p>
              </w:tc>
              <w:tc>
                <w:tcPr>
                  <w:tcW w:w="490" w:type="dxa"/>
                  <w:tcBorders>
                    <w:tl2br w:val="nil"/>
                    <w:tr2bl w:val="nil"/>
                  </w:tcBorders>
                  <w:shd w:val="clear" w:color="auto" w:fill="auto"/>
                  <w:vAlign w:val="center"/>
                </w:tcPr>
                <w:p w14:paraId="7F6E50FE">
                  <w:pPr>
                    <w:widowControl/>
                    <w:jc w:val="center"/>
                    <w:textAlignment w:val="center"/>
                    <w:rPr>
                      <w:color w:val="auto"/>
                      <w:sz w:val="18"/>
                      <w:szCs w:val="18"/>
                    </w:rPr>
                  </w:pPr>
                  <w:r>
                    <w:rPr>
                      <w:rFonts w:hint="eastAsia"/>
                      <w:color w:val="auto"/>
                      <w:kern w:val="0"/>
                      <w:sz w:val="18"/>
                      <w:szCs w:val="18"/>
                      <w:lang w:bidi="ar"/>
                    </w:rPr>
                    <w:t>40</w:t>
                  </w:r>
                </w:p>
              </w:tc>
              <w:tc>
                <w:tcPr>
                  <w:tcW w:w="493" w:type="dxa"/>
                  <w:tcBorders>
                    <w:tl2br w:val="nil"/>
                    <w:tr2bl w:val="nil"/>
                  </w:tcBorders>
                  <w:vAlign w:val="center"/>
                </w:tcPr>
                <w:p w14:paraId="3116BDF4">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r>
            <w:tr w14:paraId="625AAF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329" w:type="dxa"/>
                  <w:tcBorders>
                    <w:tl2br w:val="nil"/>
                    <w:tr2bl w:val="nil"/>
                  </w:tcBorders>
                  <w:vAlign w:val="center"/>
                </w:tcPr>
                <w:p w14:paraId="3B779CF4">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5</w:t>
                  </w:r>
                </w:p>
              </w:tc>
              <w:tc>
                <w:tcPr>
                  <w:tcW w:w="402" w:type="dxa"/>
                  <w:vMerge w:val="continue"/>
                  <w:tcBorders>
                    <w:tl2br w:val="nil"/>
                    <w:tr2bl w:val="nil"/>
                  </w:tcBorders>
                  <w:vAlign w:val="center"/>
                </w:tcPr>
                <w:p w14:paraId="5CBFD994">
                  <w:pPr>
                    <w:pStyle w:val="50"/>
                    <w:textAlignment w:val="auto"/>
                    <w:rPr>
                      <w:rFonts w:ascii="Times New Roman" w:hAnsi="Times New Roman" w:cs="Times New Roman"/>
                      <w:color w:val="auto"/>
                      <w:kern w:val="2"/>
                      <w:sz w:val="18"/>
                      <w:szCs w:val="18"/>
                    </w:rPr>
                  </w:pPr>
                </w:p>
              </w:tc>
              <w:tc>
                <w:tcPr>
                  <w:tcW w:w="422" w:type="dxa"/>
                  <w:tcBorders>
                    <w:tl2br w:val="nil"/>
                    <w:tr2bl w:val="nil"/>
                  </w:tcBorders>
                  <w:vAlign w:val="center"/>
                </w:tcPr>
                <w:p w14:paraId="0A21CF84">
                  <w:pPr>
                    <w:jc w:val="center"/>
                    <w:rPr>
                      <w:color w:val="auto"/>
                      <w:sz w:val="18"/>
                      <w:szCs w:val="18"/>
                    </w:rPr>
                  </w:pPr>
                  <w:r>
                    <w:rPr>
                      <w:color w:val="auto"/>
                      <w:sz w:val="18"/>
                      <w:szCs w:val="18"/>
                    </w:rPr>
                    <w:t>封闭式滚筒筛</w:t>
                  </w:r>
                </w:p>
              </w:tc>
              <w:tc>
                <w:tcPr>
                  <w:tcW w:w="380" w:type="dxa"/>
                  <w:tcBorders>
                    <w:tl2br w:val="nil"/>
                    <w:tr2bl w:val="nil"/>
                  </w:tcBorders>
                  <w:vAlign w:val="center"/>
                </w:tcPr>
                <w:p w14:paraId="22144F5D">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w:t>
                  </w:r>
                </w:p>
              </w:tc>
              <w:tc>
                <w:tcPr>
                  <w:tcW w:w="486" w:type="dxa"/>
                  <w:tcBorders>
                    <w:tl2br w:val="nil"/>
                    <w:tr2bl w:val="nil"/>
                  </w:tcBorders>
                  <w:shd w:val="clear" w:color="auto" w:fill="auto"/>
                  <w:vAlign w:val="center"/>
                </w:tcPr>
                <w:p w14:paraId="61961F26">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70</w:t>
                  </w:r>
                </w:p>
              </w:tc>
              <w:tc>
                <w:tcPr>
                  <w:tcW w:w="555" w:type="dxa"/>
                  <w:vMerge w:val="continue"/>
                  <w:tcBorders>
                    <w:tl2br w:val="nil"/>
                    <w:tr2bl w:val="nil"/>
                  </w:tcBorders>
                  <w:shd w:val="clear" w:color="auto" w:fill="auto"/>
                  <w:vAlign w:val="center"/>
                </w:tcPr>
                <w:p w14:paraId="213E8FDA">
                  <w:pPr>
                    <w:pStyle w:val="50"/>
                    <w:textAlignment w:val="auto"/>
                    <w:rPr>
                      <w:rFonts w:ascii="Times New Roman" w:hAnsi="Times New Roman" w:cs="Times New Roman"/>
                      <w:color w:val="auto"/>
                      <w:kern w:val="2"/>
                      <w:sz w:val="18"/>
                      <w:szCs w:val="18"/>
                    </w:rPr>
                  </w:pPr>
                </w:p>
              </w:tc>
              <w:tc>
                <w:tcPr>
                  <w:tcW w:w="326" w:type="dxa"/>
                  <w:tcBorders>
                    <w:tl2br w:val="nil"/>
                    <w:tr2bl w:val="nil"/>
                  </w:tcBorders>
                  <w:shd w:val="clear" w:color="auto" w:fill="auto"/>
                  <w:vAlign w:val="center"/>
                </w:tcPr>
                <w:p w14:paraId="51C562A4">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24</w:t>
                  </w:r>
                </w:p>
              </w:tc>
              <w:tc>
                <w:tcPr>
                  <w:tcW w:w="326" w:type="dxa"/>
                  <w:tcBorders>
                    <w:tl2br w:val="nil"/>
                    <w:tr2bl w:val="nil"/>
                  </w:tcBorders>
                  <w:shd w:val="clear" w:color="auto" w:fill="auto"/>
                  <w:vAlign w:val="center"/>
                </w:tcPr>
                <w:p w14:paraId="49C2D2A7">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30</w:t>
                  </w:r>
                </w:p>
              </w:tc>
              <w:tc>
                <w:tcPr>
                  <w:tcW w:w="329" w:type="dxa"/>
                  <w:tcBorders>
                    <w:tl2br w:val="nil"/>
                    <w:tr2bl w:val="nil"/>
                  </w:tcBorders>
                  <w:shd w:val="clear" w:color="auto" w:fill="auto"/>
                  <w:vAlign w:val="center"/>
                </w:tcPr>
                <w:p w14:paraId="5C5ED22F">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c>
                <w:tcPr>
                  <w:tcW w:w="269" w:type="dxa"/>
                  <w:tcBorders>
                    <w:tl2br w:val="nil"/>
                    <w:tr2bl w:val="nil"/>
                  </w:tcBorders>
                  <w:shd w:val="clear" w:color="auto" w:fill="auto"/>
                  <w:vAlign w:val="center"/>
                </w:tcPr>
                <w:p w14:paraId="269ADBE5">
                  <w:pPr>
                    <w:pStyle w:val="124"/>
                    <w:rPr>
                      <w:rFonts w:eastAsia="宋体"/>
                      <w:color w:val="auto"/>
                      <w:sz w:val="18"/>
                      <w:szCs w:val="18"/>
                    </w:rPr>
                  </w:pPr>
                  <w:r>
                    <w:rPr>
                      <w:rFonts w:hint="eastAsia" w:eastAsia="宋体"/>
                      <w:color w:val="auto"/>
                      <w:sz w:val="18"/>
                      <w:szCs w:val="18"/>
                    </w:rPr>
                    <w:t>4</w:t>
                  </w:r>
                </w:p>
              </w:tc>
              <w:tc>
                <w:tcPr>
                  <w:tcW w:w="280" w:type="dxa"/>
                  <w:tcBorders>
                    <w:tl2br w:val="nil"/>
                    <w:tr2bl w:val="nil"/>
                  </w:tcBorders>
                  <w:shd w:val="clear" w:color="auto" w:fill="auto"/>
                  <w:vAlign w:val="center"/>
                </w:tcPr>
                <w:p w14:paraId="1446807B">
                  <w:pPr>
                    <w:pStyle w:val="124"/>
                    <w:rPr>
                      <w:rFonts w:eastAsia="宋体"/>
                      <w:color w:val="auto"/>
                      <w:sz w:val="18"/>
                      <w:szCs w:val="18"/>
                    </w:rPr>
                  </w:pPr>
                  <w:r>
                    <w:rPr>
                      <w:rFonts w:hint="eastAsia" w:eastAsia="宋体"/>
                      <w:color w:val="auto"/>
                      <w:sz w:val="18"/>
                      <w:szCs w:val="18"/>
                    </w:rPr>
                    <w:t>3</w:t>
                  </w:r>
                </w:p>
              </w:tc>
              <w:tc>
                <w:tcPr>
                  <w:tcW w:w="245" w:type="dxa"/>
                  <w:tcBorders>
                    <w:tl2br w:val="nil"/>
                    <w:tr2bl w:val="nil"/>
                  </w:tcBorders>
                  <w:shd w:val="clear" w:color="auto" w:fill="auto"/>
                  <w:vAlign w:val="center"/>
                </w:tcPr>
                <w:p w14:paraId="01974FE1">
                  <w:pPr>
                    <w:pStyle w:val="124"/>
                    <w:rPr>
                      <w:rFonts w:eastAsia="宋体"/>
                      <w:color w:val="auto"/>
                      <w:sz w:val="18"/>
                      <w:szCs w:val="18"/>
                    </w:rPr>
                  </w:pPr>
                  <w:r>
                    <w:rPr>
                      <w:rFonts w:hint="eastAsia" w:eastAsia="宋体"/>
                      <w:color w:val="auto"/>
                      <w:sz w:val="18"/>
                      <w:szCs w:val="18"/>
                    </w:rPr>
                    <w:t>1</w:t>
                  </w:r>
                </w:p>
              </w:tc>
              <w:tc>
                <w:tcPr>
                  <w:tcW w:w="273" w:type="dxa"/>
                  <w:tcBorders>
                    <w:tl2br w:val="nil"/>
                    <w:tr2bl w:val="nil"/>
                  </w:tcBorders>
                  <w:shd w:val="clear" w:color="auto" w:fill="auto"/>
                  <w:vAlign w:val="center"/>
                </w:tcPr>
                <w:p w14:paraId="424FED58">
                  <w:pPr>
                    <w:pStyle w:val="124"/>
                    <w:rPr>
                      <w:rFonts w:eastAsia="宋体"/>
                      <w:color w:val="auto"/>
                      <w:sz w:val="18"/>
                      <w:szCs w:val="18"/>
                    </w:rPr>
                  </w:pPr>
                  <w:r>
                    <w:rPr>
                      <w:rFonts w:hint="eastAsia" w:eastAsia="宋体"/>
                      <w:color w:val="auto"/>
                      <w:sz w:val="18"/>
                      <w:szCs w:val="18"/>
                    </w:rPr>
                    <w:t>5</w:t>
                  </w:r>
                </w:p>
              </w:tc>
              <w:tc>
                <w:tcPr>
                  <w:tcW w:w="285" w:type="dxa"/>
                  <w:tcBorders>
                    <w:tl2br w:val="nil"/>
                    <w:tr2bl w:val="nil"/>
                  </w:tcBorders>
                  <w:shd w:val="clear" w:color="auto" w:fill="auto"/>
                  <w:vAlign w:val="center"/>
                </w:tcPr>
                <w:p w14:paraId="195CDCDB">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60</w:t>
                  </w:r>
                </w:p>
              </w:tc>
              <w:tc>
                <w:tcPr>
                  <w:tcW w:w="271" w:type="dxa"/>
                  <w:tcBorders>
                    <w:tl2br w:val="nil"/>
                    <w:tr2bl w:val="nil"/>
                  </w:tcBorders>
                  <w:shd w:val="clear" w:color="auto" w:fill="auto"/>
                  <w:vAlign w:val="center"/>
                </w:tcPr>
                <w:p w14:paraId="59FD5A5C">
                  <w:pPr>
                    <w:pStyle w:val="124"/>
                    <w:rPr>
                      <w:rFonts w:eastAsia="宋体"/>
                      <w:color w:val="auto"/>
                      <w:sz w:val="18"/>
                      <w:szCs w:val="18"/>
                    </w:rPr>
                  </w:pPr>
                  <w:r>
                    <w:rPr>
                      <w:rFonts w:hint="eastAsia" w:eastAsia="宋体"/>
                      <w:color w:val="auto"/>
                      <w:sz w:val="18"/>
                      <w:szCs w:val="18"/>
                    </w:rPr>
                    <w:t>62</w:t>
                  </w:r>
                </w:p>
              </w:tc>
              <w:tc>
                <w:tcPr>
                  <w:tcW w:w="280" w:type="dxa"/>
                  <w:tcBorders>
                    <w:tl2br w:val="nil"/>
                    <w:tr2bl w:val="nil"/>
                  </w:tcBorders>
                  <w:shd w:val="clear" w:color="auto" w:fill="auto"/>
                  <w:vAlign w:val="center"/>
                </w:tcPr>
                <w:p w14:paraId="487F5741">
                  <w:pPr>
                    <w:pStyle w:val="124"/>
                    <w:rPr>
                      <w:rFonts w:eastAsia="宋体"/>
                      <w:color w:val="auto"/>
                      <w:sz w:val="18"/>
                      <w:szCs w:val="18"/>
                    </w:rPr>
                  </w:pPr>
                  <w:r>
                    <w:rPr>
                      <w:rFonts w:hint="eastAsia" w:eastAsia="宋体"/>
                      <w:color w:val="auto"/>
                      <w:sz w:val="18"/>
                      <w:szCs w:val="18"/>
                    </w:rPr>
                    <w:t>65</w:t>
                  </w:r>
                </w:p>
              </w:tc>
              <w:tc>
                <w:tcPr>
                  <w:tcW w:w="282" w:type="dxa"/>
                  <w:tcBorders>
                    <w:tl2br w:val="nil"/>
                    <w:tr2bl w:val="nil"/>
                  </w:tcBorders>
                  <w:shd w:val="clear" w:color="auto" w:fill="auto"/>
                  <w:vAlign w:val="center"/>
                </w:tcPr>
                <w:p w14:paraId="75CD5ED8">
                  <w:pPr>
                    <w:pStyle w:val="124"/>
                    <w:rPr>
                      <w:rFonts w:eastAsia="宋体"/>
                      <w:color w:val="auto"/>
                      <w:sz w:val="18"/>
                      <w:szCs w:val="18"/>
                    </w:rPr>
                  </w:pPr>
                  <w:r>
                    <w:rPr>
                      <w:rFonts w:hint="eastAsia" w:eastAsia="宋体"/>
                      <w:color w:val="auto"/>
                      <w:sz w:val="18"/>
                      <w:szCs w:val="18"/>
                    </w:rPr>
                    <w:t>64</w:t>
                  </w:r>
                </w:p>
              </w:tc>
              <w:tc>
                <w:tcPr>
                  <w:tcW w:w="301" w:type="dxa"/>
                  <w:vMerge w:val="continue"/>
                  <w:tcBorders>
                    <w:tl2br w:val="nil"/>
                    <w:tr2bl w:val="nil"/>
                  </w:tcBorders>
                  <w:shd w:val="clear" w:color="auto" w:fill="auto"/>
                  <w:vAlign w:val="center"/>
                </w:tcPr>
                <w:p w14:paraId="49771D86">
                  <w:pPr>
                    <w:pStyle w:val="50"/>
                    <w:textAlignment w:val="auto"/>
                    <w:rPr>
                      <w:rFonts w:ascii="Times New Roman" w:hAnsi="Times New Roman" w:cs="Times New Roman"/>
                      <w:color w:val="auto"/>
                      <w:kern w:val="2"/>
                      <w:sz w:val="18"/>
                      <w:szCs w:val="18"/>
                    </w:rPr>
                  </w:pPr>
                </w:p>
              </w:tc>
              <w:tc>
                <w:tcPr>
                  <w:tcW w:w="578" w:type="dxa"/>
                  <w:tcBorders>
                    <w:tl2br w:val="nil"/>
                    <w:tr2bl w:val="nil"/>
                  </w:tcBorders>
                  <w:shd w:val="clear" w:color="auto" w:fill="auto"/>
                  <w:vAlign w:val="center"/>
                </w:tcPr>
                <w:p w14:paraId="21C41309">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20</w:t>
                  </w:r>
                </w:p>
              </w:tc>
              <w:tc>
                <w:tcPr>
                  <w:tcW w:w="490" w:type="dxa"/>
                  <w:tcBorders>
                    <w:tl2br w:val="nil"/>
                    <w:tr2bl w:val="nil"/>
                  </w:tcBorders>
                  <w:shd w:val="clear" w:color="auto" w:fill="auto"/>
                  <w:vAlign w:val="center"/>
                </w:tcPr>
                <w:p w14:paraId="239152CC">
                  <w:pPr>
                    <w:widowControl/>
                    <w:jc w:val="center"/>
                    <w:textAlignment w:val="center"/>
                    <w:rPr>
                      <w:color w:val="auto"/>
                      <w:sz w:val="18"/>
                      <w:szCs w:val="18"/>
                    </w:rPr>
                  </w:pPr>
                  <w:r>
                    <w:rPr>
                      <w:rFonts w:hint="eastAsia"/>
                      <w:color w:val="auto"/>
                      <w:kern w:val="0"/>
                      <w:sz w:val="18"/>
                      <w:szCs w:val="18"/>
                      <w:lang w:bidi="ar"/>
                    </w:rPr>
                    <w:t>40</w:t>
                  </w:r>
                </w:p>
              </w:tc>
              <w:tc>
                <w:tcPr>
                  <w:tcW w:w="493" w:type="dxa"/>
                  <w:tcBorders>
                    <w:tl2br w:val="nil"/>
                    <w:tr2bl w:val="nil"/>
                  </w:tcBorders>
                  <w:shd w:val="clear" w:color="auto" w:fill="auto"/>
                  <w:vAlign w:val="center"/>
                </w:tcPr>
                <w:p w14:paraId="2201B5B7">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r>
            <w:tr w14:paraId="39850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377" w:hRule="atLeast"/>
                <w:jc w:val="center"/>
              </w:trPr>
              <w:tc>
                <w:tcPr>
                  <w:tcW w:w="329" w:type="dxa"/>
                  <w:vAlign w:val="center"/>
                </w:tcPr>
                <w:p w14:paraId="6AED78BA">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6</w:t>
                  </w:r>
                </w:p>
              </w:tc>
              <w:tc>
                <w:tcPr>
                  <w:tcW w:w="402" w:type="dxa"/>
                  <w:vAlign w:val="center"/>
                </w:tcPr>
                <w:p w14:paraId="5489D014">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风机</w:t>
                  </w:r>
                </w:p>
              </w:tc>
              <w:tc>
                <w:tcPr>
                  <w:tcW w:w="422" w:type="dxa"/>
                  <w:vAlign w:val="center"/>
                </w:tcPr>
                <w:p w14:paraId="35E0200B">
                  <w:pPr>
                    <w:jc w:val="center"/>
                    <w:rPr>
                      <w:color w:val="auto"/>
                      <w:sz w:val="18"/>
                      <w:szCs w:val="18"/>
                    </w:rPr>
                  </w:pPr>
                  <w:r>
                    <w:rPr>
                      <w:rFonts w:hint="eastAsia"/>
                      <w:color w:val="auto"/>
                      <w:sz w:val="18"/>
                      <w:szCs w:val="18"/>
                    </w:rPr>
                    <w:t>风机</w:t>
                  </w:r>
                </w:p>
              </w:tc>
              <w:tc>
                <w:tcPr>
                  <w:tcW w:w="380" w:type="dxa"/>
                  <w:vAlign w:val="center"/>
                </w:tcPr>
                <w:p w14:paraId="265C115B">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w:t>
                  </w:r>
                </w:p>
              </w:tc>
              <w:tc>
                <w:tcPr>
                  <w:tcW w:w="486" w:type="dxa"/>
                  <w:vAlign w:val="center"/>
                </w:tcPr>
                <w:p w14:paraId="3005F354">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65</w:t>
                  </w:r>
                </w:p>
              </w:tc>
              <w:tc>
                <w:tcPr>
                  <w:tcW w:w="555" w:type="dxa"/>
                  <w:vMerge w:val="continue"/>
                </w:tcPr>
                <w:p w14:paraId="2DF371F2">
                  <w:pPr>
                    <w:pStyle w:val="50"/>
                    <w:textAlignment w:val="auto"/>
                    <w:rPr>
                      <w:rFonts w:ascii="Times New Roman" w:hAnsi="Times New Roman" w:cs="Times New Roman"/>
                      <w:color w:val="auto"/>
                      <w:kern w:val="2"/>
                      <w:sz w:val="18"/>
                      <w:szCs w:val="18"/>
                    </w:rPr>
                  </w:pPr>
                </w:p>
              </w:tc>
              <w:tc>
                <w:tcPr>
                  <w:tcW w:w="326" w:type="dxa"/>
                  <w:shd w:val="clear" w:color="auto" w:fill="auto"/>
                  <w:vAlign w:val="center"/>
                </w:tcPr>
                <w:p w14:paraId="6CC3FFA3">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24</w:t>
                  </w:r>
                </w:p>
              </w:tc>
              <w:tc>
                <w:tcPr>
                  <w:tcW w:w="326" w:type="dxa"/>
                  <w:shd w:val="clear" w:color="auto" w:fill="auto"/>
                  <w:vAlign w:val="center"/>
                </w:tcPr>
                <w:p w14:paraId="6D4D55D2">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30</w:t>
                  </w:r>
                </w:p>
              </w:tc>
              <w:tc>
                <w:tcPr>
                  <w:tcW w:w="329" w:type="dxa"/>
                  <w:shd w:val="clear" w:color="auto" w:fill="auto"/>
                  <w:vAlign w:val="center"/>
                </w:tcPr>
                <w:p w14:paraId="5F305A08">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c>
                <w:tcPr>
                  <w:tcW w:w="269" w:type="dxa"/>
                  <w:shd w:val="clear" w:color="auto" w:fill="auto"/>
                  <w:vAlign w:val="center"/>
                </w:tcPr>
                <w:p w14:paraId="372F0844">
                  <w:pPr>
                    <w:pStyle w:val="124"/>
                    <w:rPr>
                      <w:rFonts w:eastAsia="宋体"/>
                      <w:color w:val="auto"/>
                      <w:sz w:val="18"/>
                      <w:szCs w:val="18"/>
                    </w:rPr>
                  </w:pPr>
                  <w:r>
                    <w:rPr>
                      <w:rFonts w:hint="eastAsia" w:eastAsia="宋体"/>
                      <w:color w:val="auto"/>
                      <w:sz w:val="18"/>
                      <w:szCs w:val="18"/>
                    </w:rPr>
                    <w:t>5</w:t>
                  </w:r>
                </w:p>
              </w:tc>
              <w:tc>
                <w:tcPr>
                  <w:tcW w:w="280" w:type="dxa"/>
                  <w:shd w:val="clear" w:color="auto" w:fill="auto"/>
                  <w:vAlign w:val="center"/>
                </w:tcPr>
                <w:p w14:paraId="35441882">
                  <w:pPr>
                    <w:pStyle w:val="124"/>
                    <w:rPr>
                      <w:rFonts w:eastAsia="宋体"/>
                      <w:color w:val="auto"/>
                      <w:sz w:val="18"/>
                      <w:szCs w:val="18"/>
                    </w:rPr>
                  </w:pPr>
                  <w:r>
                    <w:rPr>
                      <w:rFonts w:hint="eastAsia" w:eastAsia="宋体"/>
                      <w:color w:val="auto"/>
                      <w:sz w:val="18"/>
                      <w:szCs w:val="18"/>
                    </w:rPr>
                    <w:t>3</w:t>
                  </w:r>
                </w:p>
              </w:tc>
              <w:tc>
                <w:tcPr>
                  <w:tcW w:w="245" w:type="dxa"/>
                  <w:shd w:val="clear" w:color="auto" w:fill="auto"/>
                  <w:vAlign w:val="center"/>
                </w:tcPr>
                <w:p w14:paraId="225E97E1">
                  <w:pPr>
                    <w:pStyle w:val="124"/>
                    <w:rPr>
                      <w:rFonts w:eastAsia="宋体"/>
                      <w:color w:val="auto"/>
                      <w:sz w:val="18"/>
                      <w:szCs w:val="18"/>
                    </w:rPr>
                  </w:pPr>
                  <w:r>
                    <w:rPr>
                      <w:rFonts w:hint="eastAsia" w:eastAsia="宋体"/>
                      <w:color w:val="auto"/>
                      <w:sz w:val="18"/>
                      <w:szCs w:val="18"/>
                    </w:rPr>
                    <w:t>2</w:t>
                  </w:r>
                </w:p>
              </w:tc>
              <w:tc>
                <w:tcPr>
                  <w:tcW w:w="273" w:type="dxa"/>
                  <w:shd w:val="clear" w:color="auto" w:fill="auto"/>
                  <w:vAlign w:val="center"/>
                </w:tcPr>
                <w:p w14:paraId="1AD29FE6">
                  <w:pPr>
                    <w:pStyle w:val="124"/>
                    <w:rPr>
                      <w:rFonts w:eastAsia="宋体"/>
                      <w:color w:val="auto"/>
                      <w:sz w:val="18"/>
                      <w:szCs w:val="18"/>
                    </w:rPr>
                  </w:pPr>
                  <w:r>
                    <w:rPr>
                      <w:rFonts w:hint="eastAsia" w:eastAsia="宋体"/>
                      <w:color w:val="auto"/>
                      <w:sz w:val="18"/>
                      <w:szCs w:val="18"/>
                    </w:rPr>
                    <w:t>5</w:t>
                  </w:r>
                </w:p>
              </w:tc>
              <w:tc>
                <w:tcPr>
                  <w:tcW w:w="285" w:type="dxa"/>
                  <w:vAlign w:val="center"/>
                </w:tcPr>
                <w:p w14:paraId="51D8A162">
                  <w:pPr>
                    <w:pStyle w:val="50"/>
                    <w:textAlignment w:val="auto"/>
                    <w:rPr>
                      <w:rFonts w:ascii="Times New Roman" w:hAnsi="Times New Roman" w:cs="Times New Roman"/>
                      <w:color w:val="auto"/>
                      <w:kern w:val="2"/>
                      <w:sz w:val="18"/>
                      <w:szCs w:val="18"/>
                    </w:rPr>
                  </w:pPr>
                  <w:r>
                    <w:rPr>
                      <w:rFonts w:hint="eastAsia" w:ascii="Times New Roman" w:hAnsi="Times New Roman" w:cs="Times New Roman"/>
                      <w:color w:val="auto"/>
                      <w:kern w:val="2"/>
                      <w:sz w:val="18"/>
                      <w:szCs w:val="18"/>
                    </w:rPr>
                    <w:t>61</w:t>
                  </w:r>
                </w:p>
              </w:tc>
              <w:tc>
                <w:tcPr>
                  <w:tcW w:w="271" w:type="dxa"/>
                  <w:shd w:val="clear" w:color="auto" w:fill="auto"/>
                  <w:vAlign w:val="center"/>
                </w:tcPr>
                <w:p w14:paraId="6200401B">
                  <w:pPr>
                    <w:pStyle w:val="124"/>
                    <w:rPr>
                      <w:rFonts w:eastAsia="宋体"/>
                      <w:color w:val="auto"/>
                      <w:sz w:val="18"/>
                      <w:szCs w:val="18"/>
                    </w:rPr>
                  </w:pPr>
                  <w:r>
                    <w:rPr>
                      <w:rFonts w:hint="eastAsia" w:eastAsia="宋体"/>
                      <w:color w:val="auto"/>
                      <w:sz w:val="18"/>
                      <w:szCs w:val="18"/>
                    </w:rPr>
                    <w:t>60</w:t>
                  </w:r>
                </w:p>
              </w:tc>
              <w:tc>
                <w:tcPr>
                  <w:tcW w:w="280" w:type="dxa"/>
                  <w:shd w:val="clear" w:color="auto" w:fill="auto"/>
                  <w:vAlign w:val="center"/>
                </w:tcPr>
                <w:p w14:paraId="54057904">
                  <w:pPr>
                    <w:pStyle w:val="124"/>
                    <w:rPr>
                      <w:rFonts w:eastAsia="宋体"/>
                      <w:color w:val="auto"/>
                      <w:sz w:val="18"/>
                      <w:szCs w:val="18"/>
                    </w:rPr>
                  </w:pPr>
                  <w:r>
                    <w:rPr>
                      <w:rFonts w:hint="eastAsia" w:eastAsia="宋体"/>
                      <w:color w:val="auto"/>
                      <w:sz w:val="18"/>
                      <w:szCs w:val="18"/>
                    </w:rPr>
                    <w:t>61</w:t>
                  </w:r>
                </w:p>
              </w:tc>
              <w:tc>
                <w:tcPr>
                  <w:tcW w:w="282" w:type="dxa"/>
                  <w:shd w:val="clear" w:color="auto" w:fill="auto"/>
                  <w:vAlign w:val="center"/>
                </w:tcPr>
                <w:p w14:paraId="77B252C1">
                  <w:pPr>
                    <w:pStyle w:val="124"/>
                    <w:rPr>
                      <w:rFonts w:eastAsia="宋体"/>
                      <w:color w:val="auto"/>
                      <w:sz w:val="18"/>
                      <w:szCs w:val="18"/>
                    </w:rPr>
                  </w:pPr>
                  <w:r>
                    <w:rPr>
                      <w:rFonts w:hint="eastAsia" w:eastAsia="宋体"/>
                      <w:color w:val="auto"/>
                      <w:sz w:val="18"/>
                      <w:szCs w:val="18"/>
                    </w:rPr>
                    <w:t>64</w:t>
                  </w:r>
                </w:p>
              </w:tc>
              <w:tc>
                <w:tcPr>
                  <w:tcW w:w="301" w:type="dxa"/>
                  <w:vMerge w:val="continue"/>
                </w:tcPr>
                <w:p w14:paraId="31D259C2">
                  <w:pPr>
                    <w:pStyle w:val="50"/>
                    <w:textAlignment w:val="auto"/>
                    <w:rPr>
                      <w:rFonts w:ascii="Times New Roman" w:hAnsi="Times New Roman" w:cs="Times New Roman"/>
                      <w:color w:val="auto"/>
                      <w:kern w:val="2"/>
                      <w:sz w:val="18"/>
                      <w:szCs w:val="18"/>
                    </w:rPr>
                  </w:pPr>
                </w:p>
              </w:tc>
              <w:tc>
                <w:tcPr>
                  <w:tcW w:w="578" w:type="dxa"/>
                  <w:shd w:val="clear" w:color="auto" w:fill="auto"/>
                  <w:vAlign w:val="center"/>
                </w:tcPr>
                <w:p w14:paraId="0725DFFA">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20</w:t>
                  </w:r>
                </w:p>
              </w:tc>
              <w:tc>
                <w:tcPr>
                  <w:tcW w:w="490" w:type="dxa"/>
                  <w:shd w:val="clear" w:color="auto" w:fill="auto"/>
                  <w:vAlign w:val="center"/>
                </w:tcPr>
                <w:p w14:paraId="6F578C24">
                  <w:pPr>
                    <w:widowControl/>
                    <w:jc w:val="center"/>
                    <w:textAlignment w:val="center"/>
                    <w:rPr>
                      <w:color w:val="auto"/>
                      <w:sz w:val="18"/>
                      <w:szCs w:val="18"/>
                    </w:rPr>
                  </w:pPr>
                  <w:r>
                    <w:rPr>
                      <w:rFonts w:hint="eastAsia"/>
                      <w:color w:val="auto"/>
                      <w:kern w:val="0"/>
                      <w:sz w:val="18"/>
                      <w:szCs w:val="18"/>
                      <w:lang w:bidi="ar"/>
                    </w:rPr>
                    <w:t>43</w:t>
                  </w:r>
                  <w:r>
                    <w:rPr>
                      <w:color w:val="auto"/>
                      <w:kern w:val="0"/>
                      <w:sz w:val="18"/>
                      <w:szCs w:val="18"/>
                      <w:lang w:bidi="ar"/>
                    </w:rPr>
                    <w:t xml:space="preserve"> </w:t>
                  </w:r>
                </w:p>
              </w:tc>
              <w:tc>
                <w:tcPr>
                  <w:tcW w:w="493" w:type="dxa"/>
                  <w:shd w:val="clear" w:color="auto" w:fill="auto"/>
                  <w:vAlign w:val="center"/>
                </w:tcPr>
                <w:p w14:paraId="3B4F0450">
                  <w:pPr>
                    <w:pStyle w:val="50"/>
                    <w:textAlignment w:val="auto"/>
                    <w:rPr>
                      <w:rFonts w:ascii="Times New Roman" w:hAnsi="Times New Roman" w:cs="Times New Roman"/>
                      <w:color w:val="auto"/>
                      <w:kern w:val="2"/>
                      <w:sz w:val="18"/>
                      <w:szCs w:val="18"/>
                    </w:rPr>
                  </w:pPr>
                  <w:r>
                    <w:rPr>
                      <w:rFonts w:ascii="Times New Roman" w:hAnsi="Times New Roman" w:cs="Times New Roman"/>
                      <w:color w:val="auto"/>
                      <w:kern w:val="2"/>
                      <w:sz w:val="18"/>
                      <w:szCs w:val="18"/>
                    </w:rPr>
                    <w:t>1</w:t>
                  </w:r>
                </w:p>
              </w:tc>
            </w:tr>
          </w:tbl>
          <w:p w14:paraId="4BD59A4D">
            <w:pPr>
              <w:adjustRightInd w:val="0"/>
              <w:spacing w:line="360" w:lineRule="auto"/>
              <w:ind w:firstLine="420" w:firstLineChars="200"/>
              <w:rPr>
                <w:color w:val="auto"/>
              </w:rPr>
            </w:pPr>
            <w:r>
              <w:rPr>
                <w:color w:val="auto"/>
              </w:rPr>
              <w:drawing>
                <wp:inline distT="0" distB="0" distL="114300" distR="114300">
                  <wp:extent cx="4425315" cy="3068320"/>
                  <wp:effectExtent l="0" t="0" r="13335" b="17780"/>
                  <wp:docPr id="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pic:cNvPicPr>
                            <a:picLocks noChangeAspect="1"/>
                          </pic:cNvPicPr>
                        </pic:nvPicPr>
                        <pic:blipFill>
                          <a:blip r:embed="rId44"/>
                          <a:stretch>
                            <a:fillRect/>
                          </a:stretch>
                        </pic:blipFill>
                        <pic:spPr>
                          <a:xfrm>
                            <a:off x="0" y="0"/>
                            <a:ext cx="4425315" cy="3068320"/>
                          </a:xfrm>
                          <a:prstGeom prst="rect">
                            <a:avLst/>
                          </a:prstGeom>
                          <a:noFill/>
                          <a:ln>
                            <a:noFill/>
                          </a:ln>
                        </pic:spPr>
                      </pic:pic>
                    </a:graphicData>
                  </a:graphic>
                </wp:inline>
              </w:drawing>
            </w:r>
          </w:p>
          <w:p w14:paraId="4E2BF071">
            <w:pPr>
              <w:adjustRightInd w:val="0"/>
              <w:spacing w:line="360" w:lineRule="auto"/>
              <w:jc w:val="center"/>
              <w:rPr>
                <w:color w:val="auto"/>
              </w:rPr>
            </w:pPr>
            <w:r>
              <w:rPr>
                <w:rFonts w:hint="eastAsia"/>
                <w:b/>
                <w:bCs/>
                <w:color w:val="auto"/>
                <w:sz w:val="24"/>
              </w:rPr>
              <w:t>图4-1噪声预测图</w:t>
            </w:r>
          </w:p>
          <w:p w14:paraId="36B41290">
            <w:pPr>
              <w:adjustRightInd w:val="0"/>
              <w:spacing w:line="360" w:lineRule="auto"/>
              <w:ind w:firstLine="480" w:firstLineChars="200"/>
              <w:rPr>
                <w:color w:val="auto"/>
                <w:sz w:val="24"/>
              </w:rPr>
            </w:pPr>
            <w:r>
              <w:rPr>
                <w:color w:val="auto"/>
                <w:sz w:val="24"/>
              </w:rPr>
              <w:t>（二）噪声影响预测</w:t>
            </w:r>
          </w:p>
          <w:p w14:paraId="03BE657C">
            <w:pPr>
              <w:pStyle w:val="107"/>
              <w:adjustRightInd/>
              <w:snapToGrid/>
              <w:ind w:firstLine="480"/>
              <w:rPr>
                <w:color w:val="auto"/>
                <w:sz w:val="24"/>
              </w:rPr>
            </w:pPr>
            <w:r>
              <w:rPr>
                <w:color w:val="auto"/>
                <w:sz w:val="24"/>
              </w:rPr>
              <w:t>预测模式采用《环境影响评价技术导则-声环境》（HJ2.4-2021）中推荐的预测模式。</w:t>
            </w:r>
          </w:p>
          <w:p w14:paraId="4FBCBC96">
            <w:pPr>
              <w:pStyle w:val="69"/>
              <w:rPr>
                <w:color w:val="auto"/>
              </w:rPr>
            </w:pPr>
            <w:r>
              <w:rPr>
                <w:color w:val="auto"/>
              </w:rPr>
              <w:t>（1）室内设备噪声影响预测采用室内声场扩散衰减模式，具体如下：</w:t>
            </w:r>
          </w:p>
          <w:p w14:paraId="0B874003">
            <w:pPr>
              <w:pStyle w:val="69"/>
              <w:rPr>
                <w:color w:val="auto"/>
                <w:vertAlign w:val="subscript"/>
              </w:rPr>
            </w:pPr>
            <w:r>
              <w:rPr>
                <w:color w:val="auto"/>
              </w:rPr>
              <mc:AlternateContent>
                <mc:Choice Requires="wps">
                  <w:drawing>
                    <wp:anchor distT="0" distB="0" distL="114300" distR="114300" simplePos="0" relativeHeight="251663360" behindDoc="0" locked="0" layoutInCell="1" allowOverlap="1">
                      <wp:simplePos x="0" y="0"/>
                      <wp:positionH relativeFrom="column">
                        <wp:posOffset>3769360</wp:posOffset>
                      </wp:positionH>
                      <wp:positionV relativeFrom="paragraph">
                        <wp:posOffset>177800</wp:posOffset>
                      </wp:positionV>
                      <wp:extent cx="443865" cy="207010"/>
                      <wp:effectExtent l="0" t="0" r="0" b="0"/>
                      <wp:wrapNone/>
                      <wp:docPr id="1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443865" cy="207010"/>
                              </a:xfrm>
                              <a:prstGeom prst="rect">
                                <a:avLst/>
                              </a:prstGeom>
                              <a:noFill/>
                              <a:ln>
                                <a:noFill/>
                              </a:ln>
                              <a:effectLst/>
                            </wps:spPr>
                            <wps:txbx>
                              <w:txbxContent>
                                <w:p w14:paraId="683CE573">
                                  <w:r>
                                    <w:rPr>
                                      <w:rFonts w:hint="eastAsia"/>
                                    </w:rPr>
                                    <w:t>－</w:t>
                                  </w:r>
                                  <w:r>
                                    <w:rPr>
                                      <w:rFonts w:hint="eastAsia"/>
                                      <w:i/>
                                    </w:rPr>
                                    <w:t>L</w:t>
                                  </w:r>
                                  <w:r>
                                    <w:rPr>
                                      <w:rFonts w:hint="eastAsia"/>
                                      <w:i/>
                                      <w:vertAlign w:val="subscript"/>
                                    </w:rPr>
                                    <w:t>TL</w:t>
                                  </w:r>
                                </w:p>
                              </w:txbxContent>
                            </wps:txbx>
                            <wps:bodyPr rot="0" vert="horz" wrap="square" lIns="0" tIns="0" rIns="0" bIns="0" anchor="t" anchorCtr="0" upright="1">
                              <a:noAutofit/>
                            </wps:bodyPr>
                          </wps:wsp>
                        </a:graphicData>
                      </a:graphic>
                    </wp:anchor>
                  </w:drawing>
                </mc:Choice>
                <mc:Fallback>
                  <w:pict>
                    <v:shape id="文本框 9" o:spid="_x0000_s1026" o:spt="202" type="#_x0000_t202" style="position:absolute;left:0pt;margin-left:296.8pt;margin-top:14pt;height:16.3pt;width:34.95pt;z-index:251663360;mso-width-relative:page;mso-height-relative:page;" filled="f" stroked="f" coordsize="21600,21600" o:gfxdata="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GB0NHYAAAACQEAAA8AAAAAAAAA&#10;AQAgAAAAIgAAAGRycy9kb3ducmV2LnhtbFBLAQIUABQAAAAIAIdO4kByZdbIEQIAABMEAAAOAAAA&#10;AAAAAAEAIAAAACcBAABkcnMvZTJvRG9jLnhtbFBLBQYAAAAABgAGAFkBAACqBQAAAAA=&#10;">
                      <v:fill on="f" focussize="0,0"/>
                      <v:stroke on="f"/>
                      <v:imagedata o:title=""/>
                      <o:lock v:ext="edit" aspectratio="f"/>
                      <v:textbox inset="0mm,0mm,0mm,0mm">
                        <w:txbxContent>
                          <w:p w14:paraId="683CE573">
                            <w:r>
                              <w:rPr>
                                <w:rFonts w:hint="eastAsia"/>
                              </w:rPr>
                              <w:t>－</w:t>
                            </w:r>
                            <w:r>
                              <w:rPr>
                                <w:rFonts w:hint="eastAsia"/>
                                <w:i/>
                              </w:rPr>
                              <w:t>L</w:t>
                            </w:r>
                            <w:r>
                              <w:rPr>
                                <w:rFonts w:hint="eastAsia"/>
                                <w:i/>
                                <w:vertAlign w:val="subscript"/>
                              </w:rPr>
                              <w:t>TL</w:t>
                            </w:r>
                          </w:p>
                        </w:txbxContent>
                      </v:textbox>
                    </v:shape>
                  </w:pict>
                </mc:Fallback>
              </mc:AlternateContent>
            </w:r>
            <w:r>
              <w:rPr>
                <w:color w:val="auto"/>
              </w:rPr>
              <w:drawing>
                <wp:anchor distT="0" distB="0" distL="114300" distR="114300" simplePos="0" relativeHeight="251662336" behindDoc="0" locked="0" layoutInCell="1" allowOverlap="1">
                  <wp:simplePos x="0" y="0"/>
                  <wp:positionH relativeFrom="column">
                    <wp:posOffset>1333500</wp:posOffset>
                  </wp:positionH>
                  <wp:positionV relativeFrom="paragraph">
                    <wp:posOffset>227330</wp:posOffset>
                  </wp:positionV>
                  <wp:extent cx="2409825" cy="428625"/>
                  <wp:effectExtent l="0" t="0" r="0" b="3175"/>
                  <wp:wrapSquare wrapText="bothSides"/>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45"/>
                          <a:stretch>
                            <a:fillRect/>
                          </a:stretch>
                        </pic:blipFill>
                        <pic:spPr>
                          <a:xfrm>
                            <a:off x="0" y="0"/>
                            <a:ext cx="2409825" cy="428625"/>
                          </a:xfrm>
                          <a:prstGeom prst="rect">
                            <a:avLst/>
                          </a:prstGeom>
                          <a:noFill/>
                          <a:ln>
                            <a:noFill/>
                          </a:ln>
                        </pic:spPr>
                      </pic:pic>
                    </a:graphicData>
                  </a:graphic>
                </wp:anchor>
              </w:drawing>
            </w:r>
          </w:p>
          <w:p w14:paraId="7F81DF87">
            <w:pPr>
              <w:pStyle w:val="69"/>
              <w:rPr>
                <w:color w:val="auto"/>
              </w:rPr>
            </w:pPr>
          </w:p>
          <w:p w14:paraId="3CB54DD7">
            <w:pPr>
              <w:pStyle w:val="69"/>
              <w:rPr>
                <w:color w:val="auto"/>
              </w:rPr>
            </w:pPr>
          </w:p>
          <w:p w14:paraId="796CCADA">
            <w:pPr>
              <w:pStyle w:val="69"/>
              <w:rPr>
                <w:color w:val="auto"/>
              </w:rPr>
            </w:pPr>
            <w:r>
              <w:rPr>
                <w:color w:val="auto"/>
              </w:rPr>
              <w:t>式中：L</w:t>
            </w:r>
            <w:r>
              <w:rPr>
                <w:color w:val="auto"/>
                <w:vertAlign w:val="subscript"/>
              </w:rPr>
              <w:t>P</w:t>
            </w:r>
            <w:r>
              <w:rPr>
                <w:color w:val="auto"/>
              </w:rPr>
              <w:t>——预测点的噪声级（dB）；</w:t>
            </w:r>
          </w:p>
          <w:p w14:paraId="43E0EBB3">
            <w:pPr>
              <w:pStyle w:val="69"/>
              <w:ind w:firstLine="1260" w:firstLineChars="525"/>
              <w:rPr>
                <w:color w:val="auto"/>
              </w:rPr>
            </w:pPr>
            <w:r>
              <w:rPr>
                <w:color w:val="auto"/>
              </w:rPr>
              <w:t>Lw——声源声功率级（dB）；</w:t>
            </w:r>
          </w:p>
          <w:p w14:paraId="37A7E467">
            <w:pPr>
              <w:pStyle w:val="69"/>
              <w:ind w:firstLine="1260" w:firstLineChars="525"/>
              <w:rPr>
                <w:color w:val="auto"/>
              </w:rPr>
            </w:pPr>
            <w:r>
              <w:rPr>
                <w:color w:val="auto"/>
              </w:rPr>
              <w:t>Q——室内空间指向因子，（完全自由空间Q=1，半自由空间Q=2，1/4自由空间Q=4，1/8自由空间Q=8）</w:t>
            </w:r>
          </w:p>
          <w:p w14:paraId="53AA9C8F">
            <w:pPr>
              <w:pStyle w:val="69"/>
              <w:ind w:firstLine="1260" w:firstLineChars="525"/>
              <w:rPr>
                <w:color w:val="auto"/>
              </w:rPr>
            </w:pPr>
            <w:r>
              <w:rPr>
                <w:color w:val="auto"/>
              </w:rPr>
              <w:t>R——预测点离声源距离（m）；</w:t>
            </w:r>
          </w:p>
          <w:p w14:paraId="4F777914">
            <w:pPr>
              <w:pStyle w:val="69"/>
              <w:ind w:firstLine="1260" w:firstLineChars="525"/>
              <w:rPr>
                <w:color w:val="auto"/>
              </w:rPr>
            </w:pPr>
            <w:r>
              <w:rPr>
                <w:color w:val="auto"/>
              </w:rPr>
              <w:t>R——室内房间常数（由房间材料决定）；</w:t>
            </w:r>
          </w:p>
          <w:p w14:paraId="0FB877E9">
            <w:pPr>
              <w:pStyle w:val="69"/>
              <w:ind w:firstLine="1260" w:firstLineChars="525"/>
              <w:rPr>
                <w:color w:val="auto"/>
              </w:rPr>
            </w:pPr>
            <w:r>
              <w:rPr>
                <w:color w:val="auto"/>
              </w:rPr>
              <w:t>C——空气中的声速（m/s）；</w:t>
            </w:r>
          </w:p>
          <w:p w14:paraId="3FB4B934">
            <w:pPr>
              <w:pStyle w:val="69"/>
              <w:ind w:firstLine="1260" w:firstLineChars="525"/>
              <w:rPr>
                <w:color w:val="auto"/>
              </w:rPr>
            </w:pPr>
            <w:r>
              <w:rPr>
                <w:color w:val="auto"/>
              </w:rPr>
              <w:t>L</w:t>
            </w:r>
            <w:r>
              <w:rPr>
                <w:color w:val="auto"/>
                <w:vertAlign w:val="subscript"/>
              </w:rPr>
              <w:t>TL</w:t>
            </w:r>
            <w:r>
              <w:rPr>
                <w:color w:val="auto"/>
              </w:rPr>
              <w:t>——隔墙的传声损失（dB）。</w:t>
            </w:r>
          </w:p>
          <w:p w14:paraId="5514FA9F">
            <w:pPr>
              <w:pStyle w:val="69"/>
              <w:rPr>
                <w:color w:val="auto"/>
              </w:rPr>
            </w:pPr>
            <w:r>
              <w:rPr>
                <w:color w:val="auto"/>
              </w:rPr>
              <w:t>（2）室外设备噪声影响预测采用室外声场扩散衰减模式，具体如下：</w:t>
            </w:r>
          </w:p>
          <w:p w14:paraId="71165F06">
            <w:pPr>
              <w:pStyle w:val="69"/>
              <w:ind w:firstLine="0" w:firstLineChars="0"/>
              <w:jc w:val="center"/>
              <w:rPr>
                <w:color w:val="auto"/>
              </w:rPr>
            </w:pPr>
            <w:r>
              <w:rPr>
                <w:color w:val="auto"/>
                <w:position w:val="-12"/>
              </w:rPr>
              <w:object>
                <v:shape id="_x0000_i1039" o:spt="75" type="#_x0000_t75" style="height:22.5pt;width:113.25pt;" o:ole="t" filled="f" o:preferrelative="t" stroked="f" coordsize="21600,21600">
                  <v:path/>
                  <v:fill on="f" focussize="0,0"/>
                  <v:stroke on="f" joinstyle="miter"/>
                  <v:imagedata r:id="rId47" o:title=""/>
                  <o:lock v:ext="edit" aspectratio="t"/>
                  <w10:wrap type="none"/>
                  <w10:anchorlock/>
                </v:shape>
                <o:OLEObject Type="Embed" ProgID="Equation.3" ShapeID="_x0000_i1039" DrawAspect="Content" ObjectID="_1468075739" r:id="rId46">
                  <o:LockedField>false</o:LockedField>
                </o:OLEObject>
              </w:object>
            </w:r>
          </w:p>
          <w:p w14:paraId="0B1A3E27">
            <w:pPr>
              <w:pStyle w:val="69"/>
              <w:ind w:firstLine="0" w:firstLineChars="0"/>
              <w:jc w:val="center"/>
              <w:rPr>
                <w:color w:val="auto"/>
              </w:rPr>
            </w:pPr>
            <w:r>
              <w:rPr>
                <w:color w:val="auto"/>
                <w:position w:val="-14"/>
              </w:rPr>
              <w:object>
                <v:shape id="_x0000_i1040" o:spt="75" type="#_x0000_t75" style="height:26.25pt;width:218.25pt;" o:ole="t" filled="f" o:preferrelative="t" stroked="f" coordsize="21600,21600">
                  <v:path/>
                  <v:fill on="f" focussize="0,0"/>
                  <v:stroke on="f" joinstyle="miter"/>
                  <v:imagedata r:id="rId49" o:title=""/>
                  <o:lock v:ext="edit" aspectratio="t"/>
                  <w10:wrap type="none"/>
                  <w10:anchorlock/>
                </v:shape>
                <o:OLEObject Type="Embed" ProgID="Equation.3" ShapeID="_x0000_i1040" DrawAspect="Content" ObjectID="_1468075740" r:id="rId48">
                  <o:LockedField>false</o:LockedField>
                </o:OLEObject>
              </w:object>
            </w:r>
          </w:p>
          <w:p w14:paraId="71CA716C">
            <w:pPr>
              <w:pStyle w:val="69"/>
              <w:rPr>
                <w:color w:val="auto"/>
              </w:rPr>
            </w:pPr>
            <w:r>
              <w:rPr>
                <w:color w:val="auto"/>
              </w:rPr>
              <w:t>式中：L</w:t>
            </w:r>
            <w:r>
              <w:rPr>
                <w:color w:val="auto"/>
                <w:vertAlign w:val="subscript"/>
              </w:rPr>
              <w:t>A</w:t>
            </w:r>
            <w:r>
              <w:rPr>
                <w:color w:val="auto"/>
              </w:rPr>
              <w:t>（r）——预测点的噪声值，dB；</w:t>
            </w:r>
          </w:p>
          <w:p w14:paraId="4E574090">
            <w:pPr>
              <w:pStyle w:val="69"/>
              <w:ind w:firstLine="1200" w:firstLineChars="500"/>
              <w:rPr>
                <w:color w:val="auto"/>
              </w:rPr>
            </w:pPr>
            <w:r>
              <w:rPr>
                <w:color w:val="auto"/>
              </w:rPr>
              <w:t>L</w:t>
            </w:r>
            <w:r>
              <w:rPr>
                <w:color w:val="auto"/>
                <w:vertAlign w:val="subscript"/>
              </w:rPr>
              <w:t>A</w:t>
            </w:r>
            <w:r>
              <w:rPr>
                <w:color w:val="auto"/>
              </w:rPr>
              <w:t>（r</w:t>
            </w:r>
            <w:r>
              <w:rPr>
                <w:color w:val="auto"/>
                <w:vertAlign w:val="subscript"/>
              </w:rPr>
              <w:t>0</w:t>
            </w:r>
            <w:r>
              <w:rPr>
                <w:color w:val="auto"/>
              </w:rPr>
              <w:t>）——参照点的噪声值，dB；</w:t>
            </w:r>
          </w:p>
          <w:p w14:paraId="6842C9D5">
            <w:pPr>
              <w:pStyle w:val="69"/>
              <w:ind w:firstLine="1200" w:firstLineChars="500"/>
              <w:rPr>
                <w:color w:val="auto"/>
              </w:rPr>
            </w:pPr>
            <w:r>
              <w:rPr>
                <w:color w:val="auto"/>
              </w:rPr>
              <w:t>r、r</w:t>
            </w:r>
            <w:r>
              <w:rPr>
                <w:color w:val="auto"/>
                <w:vertAlign w:val="subscript"/>
              </w:rPr>
              <w:t>0</w:t>
            </w:r>
            <w:r>
              <w:rPr>
                <w:color w:val="auto"/>
              </w:rPr>
              <w:t>——预测点、参照点到噪声源处的距离，m；</w:t>
            </w:r>
          </w:p>
          <w:p w14:paraId="2801E450">
            <w:pPr>
              <w:pStyle w:val="69"/>
              <w:ind w:firstLine="1200" w:firstLineChars="500"/>
              <w:rPr>
                <w:color w:val="auto"/>
              </w:rPr>
            </w:pPr>
            <w:r>
              <w:rPr>
                <w:color w:val="auto"/>
              </w:rPr>
              <w:t>A——户外传播引起的衰减值，dB；</w:t>
            </w:r>
          </w:p>
          <w:p w14:paraId="7F294F2A">
            <w:pPr>
              <w:pStyle w:val="69"/>
              <w:ind w:firstLine="1200" w:firstLineChars="500"/>
              <w:rPr>
                <w:color w:val="auto"/>
              </w:rPr>
            </w:pPr>
            <w:r>
              <w:rPr>
                <w:color w:val="auto"/>
              </w:rPr>
              <w:t>A</w:t>
            </w:r>
            <w:r>
              <w:rPr>
                <w:color w:val="auto"/>
                <w:vertAlign w:val="subscript"/>
              </w:rPr>
              <w:t>div</w:t>
            </w:r>
            <w:r>
              <w:rPr>
                <w:color w:val="auto"/>
              </w:rPr>
              <w:t>——几何发散衰减，A</w:t>
            </w:r>
            <w:r>
              <w:rPr>
                <w:color w:val="auto"/>
                <w:vertAlign w:val="subscript"/>
              </w:rPr>
              <w:t>div</w:t>
            </w:r>
            <w:r>
              <w:rPr>
                <w:color w:val="auto"/>
              </w:rPr>
              <w:t>=20lg（r/r</w:t>
            </w:r>
            <w:r>
              <w:rPr>
                <w:color w:val="auto"/>
                <w:vertAlign w:val="subscript"/>
              </w:rPr>
              <w:t>0</w:t>
            </w:r>
            <w:r>
              <w:rPr>
                <w:color w:val="auto"/>
              </w:rPr>
              <w:t>），dB；</w:t>
            </w:r>
          </w:p>
          <w:p w14:paraId="1FADE2AA">
            <w:pPr>
              <w:pStyle w:val="69"/>
              <w:ind w:firstLine="1200" w:firstLineChars="500"/>
              <w:rPr>
                <w:color w:val="auto"/>
              </w:rPr>
            </w:pPr>
            <w:r>
              <w:rPr>
                <w:color w:val="auto"/>
              </w:rPr>
              <w:t>A</w:t>
            </w:r>
            <w:r>
              <w:rPr>
                <w:color w:val="auto"/>
                <w:vertAlign w:val="subscript"/>
              </w:rPr>
              <w:t>atm</w:t>
            </w:r>
            <w:r>
              <w:rPr>
                <w:color w:val="auto"/>
              </w:rPr>
              <w:t>——空气吸收引起的衰减，A</w:t>
            </w:r>
            <w:r>
              <w:rPr>
                <w:color w:val="auto"/>
                <w:vertAlign w:val="subscript"/>
              </w:rPr>
              <w:t>atm</w:t>
            </w:r>
            <w:r>
              <w:rPr>
                <w:color w:val="auto"/>
              </w:rPr>
              <w:t>=a（r-r</w:t>
            </w:r>
            <w:r>
              <w:rPr>
                <w:color w:val="auto"/>
                <w:vertAlign w:val="subscript"/>
              </w:rPr>
              <w:t>0</w:t>
            </w:r>
            <w:r>
              <w:rPr>
                <w:color w:val="auto"/>
              </w:rPr>
              <w:t>）/1000，dB；</w:t>
            </w:r>
          </w:p>
          <w:p w14:paraId="6A98FA85">
            <w:pPr>
              <w:pStyle w:val="69"/>
              <w:ind w:firstLine="1200" w:firstLineChars="500"/>
              <w:rPr>
                <w:color w:val="auto"/>
              </w:rPr>
            </w:pPr>
            <w:r>
              <w:rPr>
                <w:color w:val="auto"/>
              </w:rPr>
              <w:t>A</w:t>
            </w:r>
            <w:r>
              <w:rPr>
                <w:color w:val="auto"/>
                <w:vertAlign w:val="subscript"/>
              </w:rPr>
              <w:t>bar</w:t>
            </w:r>
            <w:r>
              <w:rPr>
                <w:color w:val="auto"/>
              </w:rPr>
              <w:t>——屏障引起的衰减，dB；</w:t>
            </w:r>
          </w:p>
          <w:p w14:paraId="380057C0">
            <w:pPr>
              <w:pStyle w:val="69"/>
              <w:ind w:firstLine="1200" w:firstLineChars="500"/>
              <w:rPr>
                <w:color w:val="auto"/>
              </w:rPr>
            </w:pPr>
            <w:r>
              <w:rPr>
                <w:color w:val="auto"/>
              </w:rPr>
              <w:t>A</w:t>
            </w:r>
            <w:r>
              <w:rPr>
                <w:color w:val="auto"/>
                <w:vertAlign w:val="subscript"/>
              </w:rPr>
              <w:t>g——</w:t>
            </w:r>
            <w:r>
              <w:rPr>
                <w:color w:val="auto"/>
              </w:rPr>
              <w:t>地面效应衰减，dB（计算了屏障衰减后，不再考虑地面效应衰减）；</w:t>
            </w:r>
          </w:p>
          <w:p w14:paraId="42498D9B">
            <w:pPr>
              <w:pStyle w:val="69"/>
              <w:ind w:firstLine="1200" w:firstLineChars="500"/>
              <w:rPr>
                <w:color w:val="auto"/>
              </w:rPr>
            </w:pPr>
            <w:r>
              <w:rPr>
                <w:color w:val="auto"/>
              </w:rPr>
              <w:t>A</w:t>
            </w:r>
            <w:r>
              <w:rPr>
                <w:color w:val="auto"/>
                <w:vertAlign w:val="subscript"/>
              </w:rPr>
              <w:t>misc</w:t>
            </w:r>
            <w:r>
              <w:rPr>
                <w:color w:val="auto"/>
              </w:rPr>
              <w:t>——其他多方面原因引起的衰减，dB（0.025dB/m）。</w:t>
            </w:r>
          </w:p>
          <w:p w14:paraId="74193D6D">
            <w:pPr>
              <w:pStyle w:val="69"/>
              <w:rPr>
                <w:color w:val="auto"/>
              </w:rPr>
            </w:pPr>
            <w:r>
              <w:rPr>
                <w:color w:val="auto"/>
              </w:rPr>
              <w:t>（3）噪声叠加公式：</w:t>
            </w:r>
          </w:p>
          <w:p w14:paraId="03334720">
            <w:pPr>
              <w:pStyle w:val="69"/>
              <w:ind w:firstLine="0" w:firstLineChars="0"/>
              <w:jc w:val="center"/>
              <w:rPr>
                <w:color w:val="auto"/>
              </w:rPr>
            </w:pPr>
            <w:r>
              <w:rPr>
                <w:color w:val="auto"/>
                <w:position w:val="-30"/>
              </w:rPr>
              <w:object>
                <v:shape id="_x0000_i1041" o:spt="75" type="#_x0000_t75" style="height:45pt;width:143.25pt;" o:ole="t" filled="f" o:preferrelative="t" stroked="f" coordsize="21600,21600">
                  <v:path/>
                  <v:fill on="f" focussize="0,0"/>
                  <v:stroke on="f" joinstyle="miter"/>
                  <v:imagedata r:id="rId51" o:title=""/>
                  <o:lock v:ext="edit" aspectratio="t"/>
                  <w10:wrap type="none"/>
                  <w10:anchorlock/>
                </v:shape>
                <o:OLEObject Type="Embed" ProgID="Equation.3" ShapeID="_x0000_i1041" DrawAspect="Content" ObjectID="_1468075741" r:id="rId50">
                  <o:LockedField>false</o:LockedField>
                </o:OLEObject>
              </w:object>
            </w:r>
          </w:p>
          <w:p w14:paraId="32F5DE1E">
            <w:pPr>
              <w:pStyle w:val="69"/>
              <w:ind w:firstLine="1200" w:firstLineChars="500"/>
              <w:rPr>
                <w:color w:val="auto"/>
              </w:rPr>
            </w:pPr>
            <w:r>
              <w:rPr>
                <w:color w:val="auto"/>
              </w:rPr>
              <w:t>式中：</w:t>
            </w:r>
            <w:r>
              <w:rPr>
                <w:color w:val="auto"/>
                <w:position w:val="-14"/>
              </w:rPr>
              <w:object>
                <v:shape id="_x0000_i1042" o:spt="75" type="#_x0000_t75" style="height:19.5pt;width:19.5pt;" o:ole="t" filled="f" o:preferrelative="t" stroked="f" coordsize="21600,21600">
                  <v:path/>
                  <v:fill on="f" focussize="0,0"/>
                  <v:stroke on="f" joinstyle="miter"/>
                  <v:imagedata r:id="rId53" o:title=""/>
                  <o:lock v:ext="edit" aspectratio="t"/>
                  <w10:wrap type="none"/>
                  <w10:anchorlock/>
                </v:shape>
                <o:OLEObject Type="Embed" ProgID="Equation.3" ShapeID="_x0000_i1042" DrawAspect="Content" ObjectID="_1468075742" r:id="rId52">
                  <o:LockedField>false</o:LockedField>
                </o:OLEObject>
              </w:object>
            </w:r>
            <w:r>
              <w:rPr>
                <w:color w:val="auto"/>
              </w:rPr>
              <w:t>——预测点处的等效声级，dB（A）；</w:t>
            </w:r>
          </w:p>
          <w:p w14:paraId="4F4AC575">
            <w:pPr>
              <w:pStyle w:val="69"/>
              <w:ind w:firstLine="1980" w:firstLineChars="825"/>
              <w:rPr>
                <w:color w:val="auto"/>
              </w:rPr>
            </w:pPr>
            <w:r>
              <w:rPr>
                <w:color w:val="auto"/>
                <w:position w:val="-14"/>
              </w:rPr>
              <w:object>
                <v:shape id="_x0000_i1043" o:spt="75" type="#_x0000_t75" style="height:19.5pt;width:19.5pt;" o:ole="t" filled="f" o:preferrelative="t" stroked="f" coordsize="21600,21600">
                  <v:path/>
                  <v:fill on="f" focussize="0,0"/>
                  <v:stroke on="f" joinstyle="miter"/>
                  <v:imagedata r:id="rId55" o:title=""/>
                  <o:lock v:ext="edit" aspectratio="t"/>
                  <w10:wrap type="none"/>
                  <w10:anchorlock/>
                </v:shape>
                <o:OLEObject Type="Embed" ProgID="Equation.3" ShapeID="_x0000_i1043" DrawAspect="Content" ObjectID="_1468075743" r:id="rId54">
                  <o:LockedField>false</o:LockedField>
                </o:OLEObject>
              </w:object>
            </w:r>
            <w:r>
              <w:rPr>
                <w:color w:val="auto"/>
              </w:rPr>
              <w:t>——第</w:t>
            </w:r>
            <w:r>
              <w:rPr>
                <w:color w:val="auto"/>
                <w:position w:val="-6"/>
              </w:rPr>
              <w:object>
                <v:shape id="_x0000_i1044" o:spt="75" type="#_x0000_t75" style="height:12.75pt;width:5.25pt;" o:ole="t" filled="f" o:preferrelative="t" stroked="f" coordsize="21600,21600">
                  <v:path/>
                  <v:fill on="f" focussize="0,0"/>
                  <v:stroke on="f" joinstyle="miter"/>
                  <v:imagedata r:id="rId57" o:title=""/>
                  <o:lock v:ext="edit" aspectratio="t"/>
                  <w10:wrap type="none"/>
                  <w10:anchorlock/>
                </v:shape>
                <o:OLEObject Type="Embed" ProgID="Equation.3" ShapeID="_x0000_i1044" DrawAspect="Content" ObjectID="_1468075744" r:id="rId56">
                  <o:LockedField>false</o:LockedField>
                </o:OLEObject>
              </w:object>
            </w:r>
            <w:r>
              <w:rPr>
                <w:color w:val="auto"/>
              </w:rPr>
              <w:t>个点声源对预测点的等效声级，dB（A）。</w:t>
            </w:r>
          </w:p>
          <w:p w14:paraId="2D57724D">
            <w:pPr>
              <w:pStyle w:val="69"/>
              <w:rPr>
                <w:bCs/>
                <w:color w:val="auto"/>
              </w:rPr>
            </w:pPr>
            <w:r>
              <w:rPr>
                <w:color w:val="auto"/>
              </w:rPr>
              <w:t>（4）预测结果</w:t>
            </w:r>
          </w:p>
          <w:p w14:paraId="4AEA8121">
            <w:pPr>
              <w:adjustRightInd w:val="0"/>
              <w:spacing w:line="360" w:lineRule="auto"/>
              <w:ind w:firstLine="480" w:firstLineChars="200"/>
              <w:rPr>
                <w:color w:val="auto"/>
                <w:sz w:val="24"/>
              </w:rPr>
            </w:pPr>
            <w:r>
              <w:rPr>
                <w:bCs/>
                <w:color w:val="auto"/>
                <w:sz w:val="24"/>
              </w:rPr>
              <w:t>本项目采用了噪声治理措施，</w:t>
            </w:r>
            <w:r>
              <w:rPr>
                <w:color w:val="auto"/>
                <w:sz w:val="24"/>
              </w:rPr>
              <w:t>根据项目的机械设备声级、所在位置，利用噪声预测模式和方法，对厂界噪声进行预测计算，得到项目建成后各预测点的昼间和夜间噪声级，噪声影响预测结果见下表。</w:t>
            </w:r>
          </w:p>
          <w:p w14:paraId="42E3354A">
            <w:pPr>
              <w:pStyle w:val="88"/>
              <w:spacing w:line="360" w:lineRule="auto"/>
              <w:rPr>
                <w:color w:val="auto"/>
                <w:szCs w:val="21"/>
              </w:rPr>
            </w:pPr>
            <w:r>
              <w:rPr>
                <w:color w:val="auto"/>
                <w:szCs w:val="21"/>
              </w:rPr>
              <w:t>表4-</w:t>
            </w:r>
            <w:r>
              <w:rPr>
                <w:rFonts w:hint="eastAsia"/>
                <w:color w:val="auto"/>
                <w:szCs w:val="21"/>
                <w:lang w:val="en-US" w:eastAsia="zh-CN"/>
              </w:rPr>
              <w:t>9</w:t>
            </w:r>
            <w:r>
              <w:rPr>
                <w:color w:val="auto"/>
                <w:szCs w:val="21"/>
              </w:rPr>
              <w:t>噪声预测结果   单位：dB(A)</w:t>
            </w:r>
          </w:p>
          <w:tbl>
            <w:tblPr>
              <w:tblStyle w:val="35"/>
              <w:tblW w:w="7639" w:type="dxa"/>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670"/>
              <w:gridCol w:w="1492"/>
              <w:gridCol w:w="1492"/>
              <w:gridCol w:w="1492"/>
              <w:gridCol w:w="1493"/>
            </w:tblGrid>
            <w:tr w14:paraId="2597D77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670" w:type="dxa"/>
                  <w:vMerge w:val="restart"/>
                  <w:tcBorders>
                    <w:tl2br w:val="nil"/>
                    <w:tr2bl w:val="nil"/>
                  </w:tcBorders>
                  <w:vAlign w:val="center"/>
                </w:tcPr>
                <w:p w14:paraId="62C31CC1">
                  <w:pPr>
                    <w:jc w:val="center"/>
                    <w:rPr>
                      <w:color w:val="auto"/>
                      <w:szCs w:val="21"/>
                    </w:rPr>
                  </w:pPr>
                  <w:r>
                    <w:rPr>
                      <w:color w:val="auto"/>
                      <w:szCs w:val="21"/>
                    </w:rPr>
                    <w:t>项目</w:t>
                  </w:r>
                </w:p>
              </w:tc>
              <w:tc>
                <w:tcPr>
                  <w:tcW w:w="2984" w:type="dxa"/>
                  <w:gridSpan w:val="2"/>
                  <w:tcBorders>
                    <w:left w:val="single" w:color="auto" w:sz="4" w:space="0"/>
                    <w:tl2br w:val="nil"/>
                    <w:tr2bl w:val="nil"/>
                  </w:tcBorders>
                  <w:vAlign w:val="center"/>
                </w:tcPr>
                <w:p w14:paraId="71F808BE">
                  <w:pPr>
                    <w:widowControl/>
                    <w:adjustRightInd w:val="0"/>
                    <w:snapToGrid w:val="0"/>
                    <w:jc w:val="center"/>
                    <w:rPr>
                      <w:color w:val="auto"/>
                      <w:szCs w:val="21"/>
                    </w:rPr>
                  </w:pPr>
                  <w:r>
                    <w:rPr>
                      <w:color w:val="auto"/>
                      <w:szCs w:val="21"/>
                    </w:rPr>
                    <w:t>贡献值</w:t>
                  </w:r>
                </w:p>
              </w:tc>
              <w:tc>
                <w:tcPr>
                  <w:tcW w:w="2985" w:type="dxa"/>
                  <w:gridSpan w:val="2"/>
                  <w:tcBorders>
                    <w:tl2br w:val="nil"/>
                    <w:tr2bl w:val="nil"/>
                  </w:tcBorders>
                  <w:vAlign w:val="center"/>
                </w:tcPr>
                <w:p w14:paraId="1F4C6A34">
                  <w:pPr>
                    <w:jc w:val="center"/>
                    <w:rPr>
                      <w:color w:val="auto"/>
                      <w:szCs w:val="21"/>
                    </w:rPr>
                  </w:pPr>
                  <w:r>
                    <w:rPr>
                      <w:color w:val="auto"/>
                      <w:szCs w:val="21"/>
                    </w:rPr>
                    <w:t>超标和达标情况</w:t>
                  </w:r>
                </w:p>
              </w:tc>
            </w:tr>
            <w:tr w14:paraId="501FAD1E">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7" w:hRule="atLeast"/>
                <w:jc w:val="center"/>
              </w:trPr>
              <w:tc>
                <w:tcPr>
                  <w:tcW w:w="1670" w:type="dxa"/>
                  <w:vMerge w:val="continue"/>
                  <w:tcBorders>
                    <w:tl2br w:val="nil"/>
                    <w:tr2bl w:val="nil"/>
                  </w:tcBorders>
                  <w:vAlign w:val="center"/>
                </w:tcPr>
                <w:p w14:paraId="45B821D5">
                  <w:pPr>
                    <w:jc w:val="center"/>
                    <w:rPr>
                      <w:color w:val="auto"/>
                      <w:szCs w:val="21"/>
                    </w:rPr>
                  </w:pPr>
                </w:p>
              </w:tc>
              <w:tc>
                <w:tcPr>
                  <w:tcW w:w="1492" w:type="dxa"/>
                  <w:tcBorders>
                    <w:left w:val="single" w:color="auto" w:sz="4" w:space="0"/>
                    <w:tl2br w:val="nil"/>
                    <w:tr2bl w:val="nil"/>
                  </w:tcBorders>
                  <w:vAlign w:val="center"/>
                </w:tcPr>
                <w:p w14:paraId="52872FB2">
                  <w:pPr>
                    <w:widowControl/>
                    <w:adjustRightInd w:val="0"/>
                    <w:snapToGrid w:val="0"/>
                    <w:jc w:val="center"/>
                    <w:rPr>
                      <w:color w:val="auto"/>
                      <w:szCs w:val="21"/>
                    </w:rPr>
                  </w:pPr>
                  <w:r>
                    <w:rPr>
                      <w:color w:val="auto"/>
                      <w:szCs w:val="21"/>
                    </w:rPr>
                    <w:t>昼间</w:t>
                  </w:r>
                </w:p>
              </w:tc>
              <w:tc>
                <w:tcPr>
                  <w:tcW w:w="1492" w:type="dxa"/>
                  <w:tcBorders>
                    <w:tl2br w:val="nil"/>
                    <w:tr2bl w:val="nil"/>
                  </w:tcBorders>
                  <w:vAlign w:val="center"/>
                </w:tcPr>
                <w:p w14:paraId="27C15154">
                  <w:pPr>
                    <w:widowControl/>
                    <w:adjustRightInd w:val="0"/>
                    <w:snapToGrid w:val="0"/>
                    <w:jc w:val="center"/>
                    <w:rPr>
                      <w:color w:val="auto"/>
                      <w:szCs w:val="21"/>
                    </w:rPr>
                  </w:pPr>
                  <w:r>
                    <w:rPr>
                      <w:color w:val="auto"/>
                      <w:szCs w:val="21"/>
                    </w:rPr>
                    <w:t>夜间</w:t>
                  </w:r>
                </w:p>
              </w:tc>
              <w:tc>
                <w:tcPr>
                  <w:tcW w:w="1492" w:type="dxa"/>
                  <w:tcBorders>
                    <w:tl2br w:val="nil"/>
                    <w:tr2bl w:val="nil"/>
                  </w:tcBorders>
                  <w:vAlign w:val="center"/>
                </w:tcPr>
                <w:p w14:paraId="54E0C0F4">
                  <w:pPr>
                    <w:jc w:val="center"/>
                    <w:rPr>
                      <w:color w:val="auto"/>
                      <w:szCs w:val="21"/>
                    </w:rPr>
                  </w:pPr>
                  <w:r>
                    <w:rPr>
                      <w:color w:val="auto"/>
                      <w:szCs w:val="21"/>
                    </w:rPr>
                    <w:t>昼间</w:t>
                  </w:r>
                </w:p>
              </w:tc>
              <w:tc>
                <w:tcPr>
                  <w:tcW w:w="1493" w:type="dxa"/>
                  <w:tcBorders>
                    <w:tl2br w:val="nil"/>
                    <w:tr2bl w:val="nil"/>
                  </w:tcBorders>
                  <w:vAlign w:val="center"/>
                </w:tcPr>
                <w:p w14:paraId="67E8DC78">
                  <w:pPr>
                    <w:jc w:val="center"/>
                    <w:rPr>
                      <w:color w:val="auto"/>
                      <w:szCs w:val="21"/>
                    </w:rPr>
                  </w:pPr>
                  <w:r>
                    <w:rPr>
                      <w:color w:val="auto"/>
                      <w:szCs w:val="21"/>
                    </w:rPr>
                    <w:t>夜间</w:t>
                  </w:r>
                </w:p>
              </w:tc>
            </w:tr>
            <w:tr w14:paraId="3EDF83B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7" w:hRule="atLeast"/>
                <w:jc w:val="center"/>
              </w:trPr>
              <w:tc>
                <w:tcPr>
                  <w:tcW w:w="1670" w:type="dxa"/>
                  <w:tcBorders>
                    <w:tl2br w:val="nil"/>
                    <w:tr2bl w:val="nil"/>
                  </w:tcBorders>
                  <w:vAlign w:val="center"/>
                </w:tcPr>
                <w:p w14:paraId="418739C9">
                  <w:pPr>
                    <w:jc w:val="center"/>
                    <w:rPr>
                      <w:color w:val="auto"/>
                      <w:szCs w:val="21"/>
                    </w:rPr>
                  </w:pPr>
                  <w:r>
                    <w:rPr>
                      <w:color w:val="auto"/>
                      <w:szCs w:val="21"/>
                    </w:rPr>
                    <w:t>厂界东侧</w:t>
                  </w:r>
                </w:p>
              </w:tc>
              <w:tc>
                <w:tcPr>
                  <w:tcW w:w="1492" w:type="dxa"/>
                  <w:tcBorders>
                    <w:left w:val="single" w:color="auto" w:sz="4" w:space="0"/>
                    <w:tl2br w:val="nil"/>
                    <w:tr2bl w:val="nil"/>
                  </w:tcBorders>
                  <w:vAlign w:val="center"/>
                </w:tcPr>
                <w:p w14:paraId="6DBD5BCE">
                  <w:pPr>
                    <w:widowControl/>
                    <w:adjustRightInd w:val="0"/>
                    <w:snapToGrid w:val="0"/>
                    <w:jc w:val="center"/>
                    <w:rPr>
                      <w:color w:val="auto"/>
                      <w:szCs w:val="21"/>
                    </w:rPr>
                  </w:pPr>
                  <w:r>
                    <w:rPr>
                      <w:color w:val="auto"/>
                      <w:szCs w:val="21"/>
                    </w:rPr>
                    <w:t>40</w:t>
                  </w:r>
                </w:p>
              </w:tc>
              <w:tc>
                <w:tcPr>
                  <w:tcW w:w="1492" w:type="dxa"/>
                  <w:tcBorders>
                    <w:tl2br w:val="nil"/>
                    <w:tr2bl w:val="nil"/>
                  </w:tcBorders>
                  <w:vAlign w:val="center"/>
                </w:tcPr>
                <w:p w14:paraId="39A13F4A">
                  <w:pPr>
                    <w:widowControl/>
                    <w:adjustRightInd w:val="0"/>
                    <w:snapToGrid w:val="0"/>
                    <w:jc w:val="center"/>
                    <w:rPr>
                      <w:color w:val="auto"/>
                      <w:szCs w:val="21"/>
                    </w:rPr>
                  </w:pPr>
                  <w:r>
                    <w:rPr>
                      <w:color w:val="auto"/>
                      <w:szCs w:val="21"/>
                    </w:rPr>
                    <w:t>40</w:t>
                  </w:r>
                </w:p>
              </w:tc>
              <w:tc>
                <w:tcPr>
                  <w:tcW w:w="1492" w:type="dxa"/>
                  <w:tcBorders>
                    <w:tl2br w:val="nil"/>
                    <w:tr2bl w:val="nil"/>
                  </w:tcBorders>
                  <w:vAlign w:val="center"/>
                </w:tcPr>
                <w:p w14:paraId="6A50FD9A">
                  <w:pPr>
                    <w:jc w:val="center"/>
                    <w:rPr>
                      <w:color w:val="auto"/>
                      <w:szCs w:val="21"/>
                    </w:rPr>
                  </w:pPr>
                  <w:r>
                    <w:rPr>
                      <w:color w:val="auto"/>
                      <w:szCs w:val="21"/>
                    </w:rPr>
                    <w:t>达标</w:t>
                  </w:r>
                </w:p>
              </w:tc>
              <w:tc>
                <w:tcPr>
                  <w:tcW w:w="1493" w:type="dxa"/>
                  <w:tcBorders>
                    <w:tl2br w:val="nil"/>
                    <w:tr2bl w:val="nil"/>
                  </w:tcBorders>
                  <w:vAlign w:val="center"/>
                </w:tcPr>
                <w:p w14:paraId="46589F89">
                  <w:pPr>
                    <w:jc w:val="center"/>
                    <w:rPr>
                      <w:color w:val="auto"/>
                      <w:szCs w:val="21"/>
                    </w:rPr>
                  </w:pPr>
                  <w:r>
                    <w:rPr>
                      <w:color w:val="auto"/>
                      <w:szCs w:val="21"/>
                    </w:rPr>
                    <w:t>达标</w:t>
                  </w:r>
                </w:p>
              </w:tc>
            </w:tr>
            <w:tr w14:paraId="501F1F0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7" w:hRule="atLeast"/>
                <w:jc w:val="center"/>
              </w:trPr>
              <w:tc>
                <w:tcPr>
                  <w:tcW w:w="1670" w:type="dxa"/>
                  <w:tcBorders>
                    <w:tl2br w:val="nil"/>
                    <w:tr2bl w:val="nil"/>
                  </w:tcBorders>
                  <w:vAlign w:val="center"/>
                </w:tcPr>
                <w:p w14:paraId="733F29F0">
                  <w:pPr>
                    <w:jc w:val="center"/>
                    <w:rPr>
                      <w:color w:val="auto"/>
                      <w:szCs w:val="21"/>
                    </w:rPr>
                  </w:pPr>
                  <w:r>
                    <w:rPr>
                      <w:color w:val="auto"/>
                      <w:szCs w:val="21"/>
                    </w:rPr>
                    <w:t>厂界北侧</w:t>
                  </w:r>
                </w:p>
              </w:tc>
              <w:tc>
                <w:tcPr>
                  <w:tcW w:w="1492" w:type="dxa"/>
                  <w:tcBorders>
                    <w:left w:val="single" w:color="auto" w:sz="4" w:space="0"/>
                    <w:tl2br w:val="nil"/>
                    <w:tr2bl w:val="nil"/>
                  </w:tcBorders>
                  <w:vAlign w:val="center"/>
                </w:tcPr>
                <w:p w14:paraId="3368639A">
                  <w:pPr>
                    <w:widowControl/>
                    <w:adjustRightInd w:val="0"/>
                    <w:snapToGrid w:val="0"/>
                    <w:jc w:val="center"/>
                    <w:rPr>
                      <w:color w:val="auto"/>
                    </w:rPr>
                  </w:pPr>
                  <w:r>
                    <w:rPr>
                      <w:color w:val="auto"/>
                    </w:rPr>
                    <w:t>43</w:t>
                  </w:r>
                </w:p>
              </w:tc>
              <w:tc>
                <w:tcPr>
                  <w:tcW w:w="1492" w:type="dxa"/>
                  <w:tcBorders>
                    <w:tl2br w:val="nil"/>
                    <w:tr2bl w:val="nil"/>
                  </w:tcBorders>
                  <w:vAlign w:val="center"/>
                </w:tcPr>
                <w:p w14:paraId="1E807816">
                  <w:pPr>
                    <w:widowControl/>
                    <w:adjustRightInd w:val="0"/>
                    <w:snapToGrid w:val="0"/>
                    <w:jc w:val="center"/>
                    <w:rPr>
                      <w:color w:val="auto"/>
                      <w:szCs w:val="21"/>
                    </w:rPr>
                  </w:pPr>
                  <w:r>
                    <w:rPr>
                      <w:color w:val="auto"/>
                    </w:rPr>
                    <w:t>43</w:t>
                  </w:r>
                </w:p>
              </w:tc>
              <w:tc>
                <w:tcPr>
                  <w:tcW w:w="1492" w:type="dxa"/>
                  <w:tcBorders>
                    <w:tl2br w:val="nil"/>
                    <w:tr2bl w:val="nil"/>
                  </w:tcBorders>
                  <w:vAlign w:val="center"/>
                </w:tcPr>
                <w:p w14:paraId="3D26455D">
                  <w:pPr>
                    <w:jc w:val="center"/>
                    <w:rPr>
                      <w:color w:val="auto"/>
                      <w:szCs w:val="21"/>
                    </w:rPr>
                  </w:pPr>
                  <w:r>
                    <w:rPr>
                      <w:color w:val="auto"/>
                      <w:szCs w:val="21"/>
                    </w:rPr>
                    <w:t>达标</w:t>
                  </w:r>
                </w:p>
              </w:tc>
              <w:tc>
                <w:tcPr>
                  <w:tcW w:w="1493" w:type="dxa"/>
                  <w:tcBorders>
                    <w:tl2br w:val="nil"/>
                    <w:tr2bl w:val="nil"/>
                  </w:tcBorders>
                  <w:vAlign w:val="center"/>
                </w:tcPr>
                <w:p w14:paraId="3238D54F">
                  <w:pPr>
                    <w:jc w:val="center"/>
                    <w:rPr>
                      <w:color w:val="auto"/>
                      <w:szCs w:val="21"/>
                    </w:rPr>
                  </w:pPr>
                  <w:r>
                    <w:rPr>
                      <w:color w:val="auto"/>
                      <w:szCs w:val="21"/>
                    </w:rPr>
                    <w:t>达标</w:t>
                  </w:r>
                </w:p>
              </w:tc>
            </w:tr>
            <w:tr w14:paraId="79DC9EA1">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7" w:hRule="atLeast"/>
                <w:jc w:val="center"/>
              </w:trPr>
              <w:tc>
                <w:tcPr>
                  <w:tcW w:w="1670" w:type="dxa"/>
                  <w:tcBorders>
                    <w:tl2br w:val="nil"/>
                    <w:tr2bl w:val="nil"/>
                  </w:tcBorders>
                  <w:vAlign w:val="center"/>
                </w:tcPr>
                <w:p w14:paraId="54AC2D1A">
                  <w:pPr>
                    <w:jc w:val="center"/>
                    <w:rPr>
                      <w:color w:val="auto"/>
                      <w:szCs w:val="21"/>
                    </w:rPr>
                  </w:pPr>
                  <w:r>
                    <w:rPr>
                      <w:color w:val="auto"/>
                      <w:szCs w:val="21"/>
                    </w:rPr>
                    <w:t>厂界西侧</w:t>
                  </w:r>
                </w:p>
              </w:tc>
              <w:tc>
                <w:tcPr>
                  <w:tcW w:w="1492" w:type="dxa"/>
                  <w:tcBorders>
                    <w:left w:val="single" w:color="auto" w:sz="4" w:space="0"/>
                    <w:tl2br w:val="nil"/>
                    <w:tr2bl w:val="nil"/>
                  </w:tcBorders>
                  <w:vAlign w:val="center"/>
                </w:tcPr>
                <w:p w14:paraId="57ACA3B5">
                  <w:pPr>
                    <w:widowControl/>
                    <w:adjustRightInd w:val="0"/>
                    <w:snapToGrid w:val="0"/>
                    <w:jc w:val="center"/>
                    <w:rPr>
                      <w:color w:val="auto"/>
                      <w:szCs w:val="21"/>
                    </w:rPr>
                  </w:pPr>
                  <w:r>
                    <w:rPr>
                      <w:color w:val="auto"/>
                      <w:szCs w:val="21"/>
                    </w:rPr>
                    <w:t>4</w:t>
                  </w:r>
                  <w:r>
                    <w:rPr>
                      <w:rFonts w:hint="eastAsia"/>
                      <w:color w:val="auto"/>
                      <w:szCs w:val="21"/>
                    </w:rPr>
                    <w:t>0</w:t>
                  </w:r>
                </w:p>
              </w:tc>
              <w:tc>
                <w:tcPr>
                  <w:tcW w:w="1492" w:type="dxa"/>
                  <w:tcBorders>
                    <w:tl2br w:val="nil"/>
                    <w:tr2bl w:val="nil"/>
                  </w:tcBorders>
                  <w:vAlign w:val="center"/>
                </w:tcPr>
                <w:p w14:paraId="11346378">
                  <w:pPr>
                    <w:widowControl/>
                    <w:adjustRightInd w:val="0"/>
                    <w:snapToGrid w:val="0"/>
                    <w:jc w:val="center"/>
                    <w:rPr>
                      <w:color w:val="auto"/>
                      <w:szCs w:val="21"/>
                    </w:rPr>
                  </w:pPr>
                  <w:r>
                    <w:rPr>
                      <w:color w:val="auto"/>
                      <w:szCs w:val="21"/>
                    </w:rPr>
                    <w:t>4</w:t>
                  </w:r>
                  <w:r>
                    <w:rPr>
                      <w:rFonts w:hint="eastAsia"/>
                      <w:color w:val="auto"/>
                      <w:szCs w:val="21"/>
                    </w:rPr>
                    <w:t>0</w:t>
                  </w:r>
                </w:p>
              </w:tc>
              <w:tc>
                <w:tcPr>
                  <w:tcW w:w="1492" w:type="dxa"/>
                  <w:tcBorders>
                    <w:tl2br w:val="nil"/>
                    <w:tr2bl w:val="nil"/>
                  </w:tcBorders>
                  <w:vAlign w:val="center"/>
                </w:tcPr>
                <w:p w14:paraId="33481085">
                  <w:pPr>
                    <w:jc w:val="center"/>
                    <w:rPr>
                      <w:color w:val="auto"/>
                      <w:szCs w:val="21"/>
                    </w:rPr>
                  </w:pPr>
                  <w:r>
                    <w:rPr>
                      <w:color w:val="auto"/>
                      <w:szCs w:val="21"/>
                    </w:rPr>
                    <w:t>达标</w:t>
                  </w:r>
                </w:p>
              </w:tc>
              <w:tc>
                <w:tcPr>
                  <w:tcW w:w="1493" w:type="dxa"/>
                  <w:tcBorders>
                    <w:tl2br w:val="nil"/>
                    <w:tr2bl w:val="nil"/>
                  </w:tcBorders>
                  <w:vAlign w:val="center"/>
                </w:tcPr>
                <w:p w14:paraId="65EFA784">
                  <w:pPr>
                    <w:jc w:val="center"/>
                    <w:rPr>
                      <w:color w:val="auto"/>
                      <w:szCs w:val="21"/>
                    </w:rPr>
                  </w:pPr>
                  <w:r>
                    <w:rPr>
                      <w:color w:val="auto"/>
                      <w:szCs w:val="21"/>
                    </w:rPr>
                    <w:t>达标</w:t>
                  </w:r>
                </w:p>
              </w:tc>
            </w:tr>
            <w:tr w14:paraId="6C5C100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1670" w:type="dxa"/>
                  <w:tcBorders>
                    <w:tl2br w:val="nil"/>
                    <w:tr2bl w:val="nil"/>
                  </w:tcBorders>
                  <w:vAlign w:val="center"/>
                </w:tcPr>
                <w:p w14:paraId="5D31B9DC">
                  <w:pPr>
                    <w:jc w:val="center"/>
                    <w:rPr>
                      <w:color w:val="auto"/>
                      <w:szCs w:val="21"/>
                    </w:rPr>
                  </w:pPr>
                  <w:r>
                    <w:rPr>
                      <w:color w:val="auto"/>
                      <w:szCs w:val="21"/>
                    </w:rPr>
                    <w:t>厂界南侧</w:t>
                  </w:r>
                </w:p>
              </w:tc>
              <w:tc>
                <w:tcPr>
                  <w:tcW w:w="1492" w:type="dxa"/>
                  <w:tcBorders>
                    <w:left w:val="single" w:color="auto" w:sz="4" w:space="0"/>
                    <w:tl2br w:val="nil"/>
                    <w:tr2bl w:val="nil"/>
                  </w:tcBorders>
                  <w:vAlign w:val="center"/>
                </w:tcPr>
                <w:p w14:paraId="2BE67065">
                  <w:pPr>
                    <w:widowControl/>
                    <w:adjustRightInd w:val="0"/>
                    <w:snapToGrid w:val="0"/>
                    <w:jc w:val="center"/>
                    <w:rPr>
                      <w:color w:val="auto"/>
                      <w:szCs w:val="21"/>
                    </w:rPr>
                  </w:pPr>
                  <w:r>
                    <w:rPr>
                      <w:color w:val="auto"/>
                      <w:szCs w:val="21"/>
                    </w:rPr>
                    <w:t>4</w:t>
                  </w:r>
                  <w:r>
                    <w:rPr>
                      <w:rFonts w:hint="eastAsia"/>
                      <w:color w:val="auto"/>
                      <w:szCs w:val="21"/>
                    </w:rPr>
                    <w:t>1</w:t>
                  </w:r>
                </w:p>
              </w:tc>
              <w:tc>
                <w:tcPr>
                  <w:tcW w:w="1492" w:type="dxa"/>
                  <w:tcBorders>
                    <w:tl2br w:val="nil"/>
                    <w:tr2bl w:val="nil"/>
                  </w:tcBorders>
                  <w:vAlign w:val="center"/>
                </w:tcPr>
                <w:p w14:paraId="4795BDE4">
                  <w:pPr>
                    <w:widowControl/>
                    <w:adjustRightInd w:val="0"/>
                    <w:snapToGrid w:val="0"/>
                    <w:jc w:val="center"/>
                    <w:rPr>
                      <w:color w:val="auto"/>
                      <w:szCs w:val="21"/>
                    </w:rPr>
                  </w:pPr>
                  <w:r>
                    <w:rPr>
                      <w:color w:val="auto"/>
                      <w:szCs w:val="21"/>
                    </w:rPr>
                    <w:t>4</w:t>
                  </w:r>
                  <w:r>
                    <w:rPr>
                      <w:rFonts w:hint="eastAsia"/>
                      <w:color w:val="auto"/>
                      <w:szCs w:val="21"/>
                    </w:rPr>
                    <w:t>1</w:t>
                  </w:r>
                </w:p>
              </w:tc>
              <w:tc>
                <w:tcPr>
                  <w:tcW w:w="1492" w:type="dxa"/>
                  <w:tcBorders>
                    <w:tl2br w:val="nil"/>
                    <w:tr2bl w:val="nil"/>
                  </w:tcBorders>
                  <w:vAlign w:val="center"/>
                </w:tcPr>
                <w:p w14:paraId="20CBA845">
                  <w:pPr>
                    <w:widowControl/>
                    <w:adjustRightInd w:val="0"/>
                    <w:snapToGrid w:val="0"/>
                    <w:jc w:val="center"/>
                    <w:rPr>
                      <w:color w:val="auto"/>
                      <w:szCs w:val="21"/>
                    </w:rPr>
                  </w:pPr>
                  <w:r>
                    <w:rPr>
                      <w:color w:val="auto"/>
                      <w:szCs w:val="21"/>
                    </w:rPr>
                    <w:t>达标</w:t>
                  </w:r>
                </w:p>
              </w:tc>
              <w:tc>
                <w:tcPr>
                  <w:tcW w:w="1493" w:type="dxa"/>
                  <w:tcBorders>
                    <w:tl2br w:val="nil"/>
                    <w:tr2bl w:val="nil"/>
                  </w:tcBorders>
                  <w:vAlign w:val="center"/>
                </w:tcPr>
                <w:p w14:paraId="4FAE52D2">
                  <w:pPr>
                    <w:jc w:val="center"/>
                    <w:rPr>
                      <w:color w:val="auto"/>
                      <w:szCs w:val="21"/>
                    </w:rPr>
                  </w:pPr>
                  <w:r>
                    <w:rPr>
                      <w:color w:val="auto"/>
                      <w:szCs w:val="21"/>
                    </w:rPr>
                    <w:t>达标</w:t>
                  </w:r>
                </w:p>
              </w:tc>
            </w:tr>
          </w:tbl>
          <w:p w14:paraId="0EC98F35">
            <w:pPr>
              <w:pStyle w:val="88"/>
              <w:spacing w:line="360" w:lineRule="auto"/>
              <w:rPr>
                <w:color w:val="auto"/>
                <w:szCs w:val="21"/>
              </w:rPr>
            </w:pPr>
          </w:p>
          <w:p w14:paraId="6D069E36">
            <w:pPr>
              <w:spacing w:line="360" w:lineRule="auto"/>
              <w:ind w:firstLine="480" w:firstLineChars="200"/>
              <w:rPr>
                <w:color w:val="auto"/>
                <w:sz w:val="24"/>
              </w:rPr>
            </w:pPr>
            <w:r>
              <w:rPr>
                <w:color w:val="auto"/>
                <w:sz w:val="24"/>
              </w:rPr>
              <w:t>（三）监测计划</w:t>
            </w:r>
          </w:p>
          <w:p w14:paraId="5EB2D2A9">
            <w:pPr>
              <w:spacing w:line="360" w:lineRule="auto"/>
              <w:ind w:firstLine="480" w:firstLineChars="200"/>
              <w:rPr>
                <w:color w:val="auto"/>
                <w:sz w:val="24"/>
              </w:rPr>
            </w:pPr>
            <w:r>
              <w:rPr>
                <w:color w:val="auto"/>
                <w:sz w:val="24"/>
              </w:rPr>
              <w:t>依据《排污单位自行监测技术指南总则》(HJ819-2017)确定本项目监测计划，具体见下表。</w:t>
            </w:r>
          </w:p>
          <w:p w14:paraId="4103102C">
            <w:pPr>
              <w:keepNext/>
              <w:widowControl/>
              <w:spacing w:line="360" w:lineRule="auto"/>
              <w:ind w:left="482" w:firstLine="200"/>
              <w:jc w:val="center"/>
              <w:rPr>
                <w:b/>
                <w:color w:val="auto"/>
                <w:szCs w:val="21"/>
              </w:rPr>
            </w:pPr>
            <w:r>
              <w:rPr>
                <w:b/>
                <w:color w:val="auto"/>
                <w:szCs w:val="21"/>
              </w:rPr>
              <w:t>表4-</w:t>
            </w:r>
            <w:r>
              <w:rPr>
                <w:rFonts w:hint="eastAsia"/>
                <w:b/>
                <w:color w:val="auto"/>
                <w:szCs w:val="21"/>
                <w:lang w:val="en-US" w:eastAsia="zh-CN"/>
              </w:rPr>
              <w:t>10</w:t>
            </w:r>
            <w:r>
              <w:rPr>
                <w:b/>
                <w:color w:val="auto"/>
                <w:szCs w:val="21"/>
              </w:rPr>
              <w:t>本项目污染源监测计划</w:t>
            </w:r>
          </w:p>
          <w:tbl>
            <w:tblPr>
              <w:tblStyle w:val="35"/>
              <w:tblW w:w="789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531"/>
              <w:gridCol w:w="1015"/>
              <w:gridCol w:w="1756"/>
              <w:gridCol w:w="1047"/>
              <w:gridCol w:w="2545"/>
            </w:tblGrid>
            <w:tr w14:paraId="2B0506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90" w:hRule="atLeast"/>
                <w:jc w:val="center"/>
              </w:trPr>
              <w:tc>
                <w:tcPr>
                  <w:tcW w:w="1531" w:type="dxa"/>
                  <w:tcBorders>
                    <w:tl2br w:val="nil"/>
                    <w:tr2bl w:val="nil"/>
                  </w:tcBorders>
                  <w:vAlign w:val="center"/>
                </w:tcPr>
                <w:p w14:paraId="40757F35">
                  <w:pPr>
                    <w:jc w:val="center"/>
                    <w:rPr>
                      <w:color w:val="auto"/>
                      <w:szCs w:val="21"/>
                    </w:rPr>
                  </w:pPr>
                  <w:r>
                    <w:rPr>
                      <w:color w:val="auto"/>
                      <w:szCs w:val="21"/>
                    </w:rPr>
                    <w:t>监测项目</w:t>
                  </w:r>
                </w:p>
              </w:tc>
              <w:tc>
                <w:tcPr>
                  <w:tcW w:w="1015" w:type="dxa"/>
                  <w:tcBorders>
                    <w:tl2br w:val="nil"/>
                    <w:tr2bl w:val="nil"/>
                  </w:tcBorders>
                  <w:vAlign w:val="center"/>
                </w:tcPr>
                <w:p w14:paraId="7F4843D6">
                  <w:pPr>
                    <w:jc w:val="center"/>
                    <w:rPr>
                      <w:color w:val="auto"/>
                      <w:szCs w:val="21"/>
                    </w:rPr>
                  </w:pPr>
                  <w:r>
                    <w:rPr>
                      <w:color w:val="auto"/>
                      <w:szCs w:val="21"/>
                    </w:rPr>
                    <w:t>监测因子</w:t>
                  </w:r>
                </w:p>
              </w:tc>
              <w:tc>
                <w:tcPr>
                  <w:tcW w:w="1756" w:type="dxa"/>
                  <w:tcBorders>
                    <w:tl2br w:val="nil"/>
                    <w:tr2bl w:val="nil"/>
                  </w:tcBorders>
                  <w:vAlign w:val="center"/>
                </w:tcPr>
                <w:p w14:paraId="1F8615C3">
                  <w:pPr>
                    <w:jc w:val="center"/>
                    <w:rPr>
                      <w:color w:val="auto"/>
                      <w:szCs w:val="21"/>
                    </w:rPr>
                  </w:pPr>
                  <w:r>
                    <w:rPr>
                      <w:color w:val="auto"/>
                      <w:szCs w:val="21"/>
                    </w:rPr>
                    <w:t>监测点位置</w:t>
                  </w:r>
                </w:p>
              </w:tc>
              <w:tc>
                <w:tcPr>
                  <w:tcW w:w="1047" w:type="dxa"/>
                  <w:tcBorders>
                    <w:tl2br w:val="nil"/>
                    <w:tr2bl w:val="nil"/>
                  </w:tcBorders>
                  <w:vAlign w:val="center"/>
                </w:tcPr>
                <w:p w14:paraId="09B662B2">
                  <w:pPr>
                    <w:jc w:val="center"/>
                    <w:rPr>
                      <w:color w:val="auto"/>
                      <w:szCs w:val="21"/>
                    </w:rPr>
                  </w:pPr>
                  <w:r>
                    <w:rPr>
                      <w:color w:val="auto"/>
                      <w:szCs w:val="21"/>
                    </w:rPr>
                    <w:t>最低监测频率</w:t>
                  </w:r>
                </w:p>
              </w:tc>
              <w:tc>
                <w:tcPr>
                  <w:tcW w:w="2545" w:type="dxa"/>
                  <w:tcBorders>
                    <w:tl2br w:val="nil"/>
                    <w:tr2bl w:val="nil"/>
                  </w:tcBorders>
                  <w:vAlign w:val="center"/>
                </w:tcPr>
                <w:p w14:paraId="6CF00F9A">
                  <w:pPr>
                    <w:jc w:val="center"/>
                    <w:rPr>
                      <w:color w:val="auto"/>
                      <w:szCs w:val="21"/>
                    </w:rPr>
                  </w:pPr>
                  <w:r>
                    <w:rPr>
                      <w:color w:val="auto"/>
                      <w:szCs w:val="21"/>
                    </w:rPr>
                    <w:t>执行标准</w:t>
                  </w:r>
                </w:p>
              </w:tc>
            </w:tr>
            <w:tr w14:paraId="3C307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531" w:type="dxa"/>
                  <w:tcBorders>
                    <w:tl2br w:val="nil"/>
                    <w:tr2bl w:val="nil"/>
                  </w:tcBorders>
                  <w:vAlign w:val="center"/>
                </w:tcPr>
                <w:p w14:paraId="4A66ECB4">
                  <w:pPr>
                    <w:jc w:val="center"/>
                    <w:rPr>
                      <w:color w:val="auto"/>
                      <w:szCs w:val="21"/>
                    </w:rPr>
                  </w:pPr>
                  <w:r>
                    <w:rPr>
                      <w:color w:val="auto"/>
                      <w:szCs w:val="21"/>
                    </w:rPr>
                    <w:t>厂界噪声</w:t>
                  </w:r>
                </w:p>
              </w:tc>
              <w:tc>
                <w:tcPr>
                  <w:tcW w:w="1015" w:type="dxa"/>
                  <w:tcBorders>
                    <w:tl2br w:val="nil"/>
                    <w:tr2bl w:val="nil"/>
                  </w:tcBorders>
                  <w:vAlign w:val="center"/>
                </w:tcPr>
                <w:p w14:paraId="286F0475">
                  <w:pPr>
                    <w:jc w:val="center"/>
                    <w:rPr>
                      <w:color w:val="auto"/>
                      <w:szCs w:val="21"/>
                    </w:rPr>
                  </w:pPr>
                  <w:r>
                    <w:rPr>
                      <w:color w:val="auto"/>
                      <w:szCs w:val="21"/>
                    </w:rPr>
                    <w:t>等效连续A声级</w:t>
                  </w:r>
                </w:p>
              </w:tc>
              <w:tc>
                <w:tcPr>
                  <w:tcW w:w="1756" w:type="dxa"/>
                  <w:tcBorders>
                    <w:tl2br w:val="nil"/>
                    <w:tr2bl w:val="nil"/>
                  </w:tcBorders>
                  <w:vAlign w:val="center"/>
                </w:tcPr>
                <w:p w14:paraId="4C111704">
                  <w:pPr>
                    <w:jc w:val="center"/>
                    <w:rPr>
                      <w:color w:val="auto"/>
                      <w:szCs w:val="21"/>
                    </w:rPr>
                  </w:pPr>
                  <w:r>
                    <w:rPr>
                      <w:color w:val="auto"/>
                      <w:szCs w:val="21"/>
                    </w:rPr>
                    <w:t>厂界</w:t>
                  </w:r>
                </w:p>
              </w:tc>
              <w:tc>
                <w:tcPr>
                  <w:tcW w:w="1047" w:type="dxa"/>
                  <w:tcBorders>
                    <w:tl2br w:val="nil"/>
                    <w:tr2bl w:val="nil"/>
                  </w:tcBorders>
                  <w:vAlign w:val="center"/>
                </w:tcPr>
                <w:p w14:paraId="35C47F05">
                  <w:pPr>
                    <w:jc w:val="center"/>
                    <w:rPr>
                      <w:color w:val="auto"/>
                      <w:szCs w:val="21"/>
                    </w:rPr>
                  </w:pPr>
                  <w:r>
                    <w:rPr>
                      <w:color w:val="auto"/>
                      <w:szCs w:val="21"/>
                    </w:rPr>
                    <w:t>1次/季度</w:t>
                  </w:r>
                </w:p>
              </w:tc>
              <w:tc>
                <w:tcPr>
                  <w:tcW w:w="2545" w:type="dxa"/>
                  <w:tcBorders>
                    <w:tl2br w:val="nil"/>
                    <w:tr2bl w:val="nil"/>
                  </w:tcBorders>
                  <w:vAlign w:val="center"/>
                </w:tcPr>
                <w:p w14:paraId="738CD7E2">
                  <w:pPr>
                    <w:jc w:val="center"/>
                    <w:rPr>
                      <w:color w:val="auto"/>
                      <w:szCs w:val="21"/>
                    </w:rPr>
                  </w:pPr>
                  <w:r>
                    <w:rPr>
                      <w:rFonts w:hint="eastAsia"/>
                      <w:color w:val="auto"/>
                      <w:szCs w:val="21"/>
                    </w:rPr>
                    <w:t>《工业企业厂界环境噪声排放标准》（GB12348-2008）2类标准</w:t>
                  </w:r>
                </w:p>
              </w:tc>
            </w:tr>
          </w:tbl>
          <w:p w14:paraId="741C7658">
            <w:pPr>
              <w:spacing w:line="360" w:lineRule="auto"/>
              <w:ind w:firstLine="480" w:firstLineChars="200"/>
              <w:rPr>
                <w:color w:val="auto"/>
                <w:sz w:val="24"/>
              </w:rPr>
            </w:pPr>
            <w:r>
              <w:rPr>
                <w:color w:val="auto"/>
                <w:sz w:val="24"/>
              </w:rPr>
              <w:t>（四）</w:t>
            </w:r>
            <w:r>
              <w:rPr>
                <w:color w:val="auto"/>
                <w:sz w:val="24"/>
                <w:lang w:bidi="ar"/>
              </w:rPr>
              <w:t>污染防治措施及环境影响分析</w:t>
            </w:r>
          </w:p>
          <w:p w14:paraId="191F5181">
            <w:pPr>
              <w:spacing w:line="360" w:lineRule="auto"/>
              <w:ind w:firstLine="480" w:firstLineChars="200"/>
              <w:rPr>
                <w:color w:val="auto"/>
                <w:sz w:val="24"/>
              </w:rPr>
            </w:pPr>
            <w:r>
              <w:rPr>
                <w:color w:val="auto"/>
                <w:sz w:val="24"/>
              </w:rPr>
              <w:t>针对本项目噪声源的特点，本次评价提出以下措施：</w:t>
            </w:r>
          </w:p>
          <w:p w14:paraId="284BF1A8">
            <w:pPr>
              <w:spacing w:line="360" w:lineRule="auto"/>
              <w:ind w:firstLine="480" w:firstLineChars="200"/>
              <w:rPr>
                <w:color w:val="auto"/>
                <w:sz w:val="24"/>
              </w:rPr>
            </w:pPr>
            <w:r>
              <w:rPr>
                <w:color w:val="auto"/>
                <w:sz w:val="24"/>
              </w:rPr>
              <w:t>（1）选用低噪声设备：在满足项目生产工艺的前提下选择低噪声设备，从源头上降低噪声。</w:t>
            </w:r>
          </w:p>
          <w:p w14:paraId="0DEBFC5D">
            <w:pPr>
              <w:spacing w:line="360" w:lineRule="auto"/>
              <w:ind w:firstLine="480" w:firstLineChars="200"/>
              <w:rPr>
                <w:color w:val="auto"/>
                <w:sz w:val="24"/>
              </w:rPr>
            </w:pPr>
            <w:r>
              <w:rPr>
                <w:color w:val="auto"/>
                <w:sz w:val="24"/>
              </w:rPr>
              <w:t>（2）合理布局：在满足生产的前提下综合考虑，设备布置时考虑声源方向性和车间噪声强弱等因素，进行合理布局，进一步降低厂界噪声，将高噪声设备安置在建筑物中部及远离厂界的位置，充分利用厂内建筑物的隔声作用，减轻各类声源对周围环境的影响。</w:t>
            </w:r>
          </w:p>
          <w:p w14:paraId="6E33C942">
            <w:pPr>
              <w:spacing w:line="360" w:lineRule="auto"/>
              <w:ind w:firstLine="480" w:firstLineChars="200"/>
              <w:rPr>
                <w:color w:val="auto"/>
                <w:sz w:val="24"/>
              </w:rPr>
            </w:pPr>
            <w:r>
              <w:rPr>
                <w:color w:val="auto"/>
                <w:sz w:val="24"/>
              </w:rPr>
              <w:t>（3）加强设备的维护，确保设备处于良好的运转状态，杜绝因设备不正常运转时产生的高噪声现象。</w:t>
            </w:r>
          </w:p>
          <w:p w14:paraId="18953418">
            <w:pPr>
              <w:spacing w:line="360" w:lineRule="auto"/>
              <w:ind w:firstLine="480" w:firstLineChars="200"/>
              <w:rPr>
                <w:color w:val="auto"/>
                <w:sz w:val="24"/>
              </w:rPr>
            </w:pPr>
            <w:r>
              <w:rPr>
                <w:color w:val="auto"/>
                <w:sz w:val="24"/>
              </w:rPr>
              <w:t>（4）对烘干塔、风机等高噪声设备加装减振基础，安装减振垫，风机设置减振底座，加装隔声罩，并在风机进、出风口装设消音器。</w:t>
            </w:r>
          </w:p>
          <w:p w14:paraId="7EDE94FB">
            <w:pPr>
              <w:spacing w:line="360" w:lineRule="auto"/>
              <w:ind w:firstLine="480" w:firstLineChars="200"/>
              <w:rPr>
                <w:color w:val="auto"/>
                <w:sz w:val="24"/>
              </w:rPr>
            </w:pPr>
            <w:r>
              <w:rPr>
                <w:color w:val="auto"/>
                <w:sz w:val="24"/>
              </w:rPr>
              <w:t>（5）维护路面，使路面状况良好，低速运行，禁止鸣笛，文明驾驶。</w:t>
            </w:r>
          </w:p>
          <w:p w14:paraId="6579D37E">
            <w:pPr>
              <w:pStyle w:val="57"/>
              <w:spacing w:line="360" w:lineRule="auto"/>
              <w:ind w:firstLine="480"/>
              <w:rPr>
                <w:color w:val="auto"/>
              </w:rPr>
            </w:pPr>
            <w:r>
              <w:rPr>
                <w:color w:val="auto"/>
              </w:rPr>
              <w:t>通过采取</w:t>
            </w:r>
            <w:r>
              <w:rPr>
                <w:color w:val="auto"/>
                <w:szCs w:val="21"/>
              </w:rPr>
              <w:t>以上措施</w:t>
            </w:r>
            <w:r>
              <w:rPr>
                <w:color w:val="auto"/>
              </w:rPr>
              <w:t>，可使厂界满足</w:t>
            </w:r>
            <w:r>
              <w:rPr>
                <w:rFonts w:hint="eastAsia"/>
                <w:color w:val="auto"/>
              </w:rPr>
              <w:t>《工业企业厂界环境噪声排放标准》（GB12348-2008）中2类</w:t>
            </w:r>
            <w:r>
              <w:rPr>
                <w:color w:val="auto"/>
              </w:rPr>
              <w:t>标准限值要求</w:t>
            </w:r>
            <w:r>
              <w:rPr>
                <w:rFonts w:hint="eastAsia"/>
                <w:color w:val="auto"/>
              </w:rPr>
              <w:t>，</w:t>
            </w:r>
            <w:r>
              <w:rPr>
                <w:color w:val="auto"/>
              </w:rPr>
              <w:t>从噪声影响角度，本项目建设是可行的。</w:t>
            </w:r>
          </w:p>
          <w:p w14:paraId="2A8E8FB1">
            <w:pPr>
              <w:pStyle w:val="57"/>
              <w:spacing w:line="360" w:lineRule="auto"/>
              <w:ind w:firstLine="482"/>
              <w:rPr>
                <w:b/>
                <w:bCs/>
                <w:color w:val="auto"/>
                <w:szCs w:val="24"/>
              </w:rPr>
            </w:pPr>
            <w:r>
              <w:rPr>
                <w:b/>
                <w:bCs/>
                <w:color w:val="auto"/>
                <w:szCs w:val="24"/>
              </w:rPr>
              <w:t>4、固体废物</w:t>
            </w:r>
          </w:p>
          <w:p w14:paraId="67E514A5">
            <w:pPr>
              <w:spacing w:line="360" w:lineRule="auto"/>
              <w:ind w:firstLine="480" w:firstLineChars="200"/>
              <w:rPr>
                <w:color w:val="auto"/>
                <w:sz w:val="24"/>
              </w:rPr>
            </w:pPr>
            <w:r>
              <w:rPr>
                <w:color w:val="auto"/>
                <w:sz w:val="24"/>
              </w:rPr>
              <w:t>（一）主要污染物及源强</w:t>
            </w:r>
          </w:p>
          <w:p w14:paraId="36751122">
            <w:pPr>
              <w:spacing w:line="360" w:lineRule="auto"/>
              <w:ind w:firstLine="480" w:firstLineChars="200"/>
              <w:rPr>
                <w:color w:val="auto"/>
                <w:sz w:val="24"/>
              </w:rPr>
            </w:pPr>
            <w:r>
              <w:rPr>
                <w:color w:val="auto"/>
                <w:sz w:val="24"/>
              </w:rPr>
              <w:t>本项目固体废物主要为一般工业固体废物。筛分工序中产生的杂质（土石颗粒），除尘系统收尘和</w:t>
            </w:r>
            <w:r>
              <w:rPr>
                <w:rFonts w:hint="eastAsia"/>
                <w:color w:val="auto"/>
                <w:sz w:val="24"/>
              </w:rPr>
              <w:t>热风炉炉渣</w:t>
            </w:r>
            <w:r>
              <w:rPr>
                <w:color w:val="auto"/>
                <w:sz w:val="24"/>
              </w:rPr>
              <w:t>，废布袋。</w:t>
            </w:r>
          </w:p>
          <w:p w14:paraId="1666B2D4">
            <w:pPr>
              <w:spacing w:line="360" w:lineRule="auto"/>
              <w:ind w:firstLine="480" w:firstLineChars="200"/>
              <w:rPr>
                <w:color w:val="auto"/>
                <w:sz w:val="24"/>
              </w:rPr>
            </w:pPr>
            <w:r>
              <w:rPr>
                <w:color w:val="auto"/>
                <w:sz w:val="24"/>
              </w:rPr>
              <w:t>（1）</w:t>
            </w:r>
            <w:r>
              <w:rPr>
                <w:rFonts w:hint="eastAsia"/>
                <w:color w:val="auto"/>
                <w:sz w:val="24"/>
              </w:rPr>
              <w:t>筛分</w:t>
            </w:r>
            <w:r>
              <w:rPr>
                <w:color w:val="auto"/>
                <w:sz w:val="24"/>
              </w:rPr>
              <w:t>杂质</w:t>
            </w:r>
          </w:p>
          <w:p w14:paraId="100E6EF7">
            <w:pPr>
              <w:pStyle w:val="28"/>
              <w:ind w:firstLine="480"/>
              <w:rPr>
                <w:color w:val="auto"/>
                <w:sz w:val="24"/>
                <w:szCs w:val="24"/>
              </w:rPr>
            </w:pPr>
            <w:r>
              <w:rPr>
                <w:color w:val="auto"/>
                <w:sz w:val="24"/>
                <w:szCs w:val="24"/>
              </w:rPr>
              <w:t>类比现有工程，原粮杂质产生量约为原料烘干量的0.1%，本项目</w:t>
            </w:r>
            <w:r>
              <w:rPr>
                <w:color w:val="auto"/>
                <w:sz w:val="24"/>
              </w:rPr>
              <w:t>年烘干粮食</w:t>
            </w:r>
            <w:r>
              <w:rPr>
                <w:rFonts w:hint="eastAsia"/>
                <w:color w:val="auto"/>
                <w:sz w:val="24"/>
              </w:rPr>
              <w:t>20000</w:t>
            </w:r>
            <w:r>
              <w:rPr>
                <w:color w:val="auto"/>
                <w:sz w:val="24"/>
              </w:rPr>
              <w:t>t，则</w:t>
            </w:r>
            <w:r>
              <w:rPr>
                <w:color w:val="auto"/>
                <w:sz w:val="24"/>
                <w:szCs w:val="24"/>
              </w:rPr>
              <w:t>原粮筛分除杂工序中产生的杂质量约为</w:t>
            </w:r>
            <w:r>
              <w:rPr>
                <w:rFonts w:hint="eastAsia"/>
                <w:color w:val="auto"/>
                <w:sz w:val="24"/>
                <w:szCs w:val="24"/>
              </w:rPr>
              <w:t>20</w:t>
            </w:r>
            <w:r>
              <w:rPr>
                <w:color w:val="auto"/>
                <w:sz w:val="24"/>
                <w:szCs w:val="24"/>
              </w:rPr>
              <w:t>t/a，对照</w:t>
            </w:r>
            <w:r>
              <w:rPr>
                <w:rFonts w:hint="eastAsia"/>
                <w:color w:val="auto"/>
                <w:kern w:val="0"/>
                <w:sz w:val="24"/>
                <w:szCs w:val="24"/>
                <w:lang w:bidi="ar"/>
              </w:rPr>
              <w:t>《固体废物分类与代码名录》</w:t>
            </w:r>
            <w:r>
              <w:rPr>
                <w:color w:val="auto"/>
                <w:kern w:val="0"/>
                <w:sz w:val="24"/>
                <w:szCs w:val="24"/>
                <w:lang w:bidi="ar"/>
              </w:rPr>
              <w:t>（</w:t>
            </w:r>
            <w:r>
              <w:rPr>
                <w:rFonts w:hint="eastAsia"/>
                <w:color w:val="auto"/>
                <w:kern w:val="0"/>
                <w:sz w:val="24"/>
                <w:szCs w:val="24"/>
                <w:lang w:bidi="ar"/>
              </w:rPr>
              <w:t>公告2024年第4号</w:t>
            </w:r>
            <w:r>
              <w:rPr>
                <w:color w:val="auto"/>
                <w:kern w:val="0"/>
                <w:sz w:val="24"/>
                <w:szCs w:val="24"/>
                <w:lang w:bidi="ar"/>
              </w:rPr>
              <w:t>）</w:t>
            </w:r>
            <w:r>
              <w:rPr>
                <w:color w:val="auto"/>
                <w:sz w:val="24"/>
                <w:szCs w:val="24"/>
              </w:rPr>
              <w:t>，原粮杂质分类代码为“900-099-S</w:t>
            </w:r>
            <w:r>
              <w:rPr>
                <w:rFonts w:hint="eastAsia"/>
                <w:color w:val="auto"/>
                <w:sz w:val="24"/>
                <w:szCs w:val="24"/>
              </w:rPr>
              <w:t>59</w:t>
            </w:r>
            <w:r>
              <w:rPr>
                <w:color w:val="auto"/>
                <w:sz w:val="24"/>
                <w:szCs w:val="24"/>
              </w:rPr>
              <w:t>”，用编织袋装袋，</w:t>
            </w:r>
            <w:r>
              <w:rPr>
                <w:rFonts w:hint="eastAsia"/>
                <w:color w:val="auto"/>
                <w:sz w:val="24"/>
                <w:szCs w:val="24"/>
                <w:lang w:val="en-US" w:eastAsia="zh-CN"/>
              </w:rPr>
              <w:t>外售至砖厂</w:t>
            </w:r>
            <w:r>
              <w:rPr>
                <w:color w:val="auto"/>
                <w:sz w:val="24"/>
                <w:szCs w:val="24"/>
              </w:rPr>
              <w:t>。</w:t>
            </w:r>
          </w:p>
          <w:p w14:paraId="052E17CF">
            <w:pPr>
              <w:numPr>
                <w:ilvl w:val="0"/>
                <w:numId w:val="5"/>
              </w:numPr>
              <w:spacing w:line="360" w:lineRule="auto"/>
              <w:ind w:firstLine="480" w:firstLineChars="200"/>
              <w:rPr>
                <w:color w:val="auto"/>
                <w:sz w:val="24"/>
              </w:rPr>
            </w:pPr>
            <w:r>
              <w:rPr>
                <w:rFonts w:hint="eastAsia"/>
                <w:color w:val="auto"/>
                <w:sz w:val="24"/>
              </w:rPr>
              <w:t>筛分收尘</w:t>
            </w:r>
          </w:p>
          <w:p w14:paraId="2BDACF82">
            <w:pPr>
              <w:spacing w:line="360" w:lineRule="auto"/>
              <w:ind w:firstLine="480" w:firstLineChars="200"/>
              <w:rPr>
                <w:color w:val="auto"/>
                <w:sz w:val="24"/>
              </w:rPr>
            </w:pPr>
            <w:r>
              <w:rPr>
                <w:rFonts w:hint="eastAsia"/>
                <w:color w:val="auto"/>
                <w:sz w:val="24"/>
              </w:rPr>
              <w:t>本项目筛分粉尘产生量为</w:t>
            </w:r>
            <w:r>
              <w:rPr>
                <w:rFonts w:hint="eastAsia"/>
                <w:color w:val="auto"/>
                <w:sz w:val="24"/>
                <w:lang w:eastAsia="zh-CN"/>
              </w:rPr>
              <w:t>2.75</w:t>
            </w:r>
            <w:r>
              <w:rPr>
                <w:rFonts w:hint="eastAsia"/>
                <w:color w:val="auto"/>
                <w:sz w:val="24"/>
              </w:rPr>
              <w:t>t/a，筛分粉尘排放量为0.</w:t>
            </w:r>
            <w:r>
              <w:rPr>
                <w:rFonts w:hint="eastAsia"/>
                <w:color w:val="auto"/>
                <w:sz w:val="24"/>
                <w:lang w:val="en-US" w:eastAsia="zh-CN"/>
              </w:rPr>
              <w:t>027</w:t>
            </w:r>
            <w:r>
              <w:rPr>
                <w:rFonts w:hint="eastAsia"/>
                <w:color w:val="auto"/>
                <w:sz w:val="24"/>
              </w:rPr>
              <w:t>t/a，则筛分收尘量为</w:t>
            </w:r>
            <w:r>
              <w:rPr>
                <w:rFonts w:hint="eastAsia"/>
                <w:color w:val="auto"/>
                <w:sz w:val="24"/>
                <w:lang w:val="en-US" w:eastAsia="zh-CN"/>
              </w:rPr>
              <w:t>2.723‬</w:t>
            </w:r>
            <w:r>
              <w:rPr>
                <w:rFonts w:hint="eastAsia"/>
                <w:color w:val="auto"/>
                <w:sz w:val="24"/>
              </w:rPr>
              <w:t>t/a，</w:t>
            </w:r>
            <w:r>
              <w:rPr>
                <w:color w:val="auto"/>
                <w:sz w:val="24"/>
              </w:rPr>
              <w:t>对照</w:t>
            </w:r>
            <w:r>
              <w:rPr>
                <w:rFonts w:hint="eastAsia"/>
                <w:color w:val="auto"/>
                <w:kern w:val="0"/>
                <w:sz w:val="24"/>
                <w:lang w:bidi="ar"/>
              </w:rPr>
              <w:t>《固体废物分类与代码名录》</w:t>
            </w:r>
            <w:r>
              <w:rPr>
                <w:color w:val="auto"/>
                <w:kern w:val="0"/>
                <w:sz w:val="24"/>
                <w:lang w:bidi="ar"/>
              </w:rPr>
              <w:t>（</w:t>
            </w:r>
            <w:r>
              <w:rPr>
                <w:rFonts w:hint="eastAsia"/>
                <w:color w:val="auto"/>
                <w:kern w:val="0"/>
                <w:sz w:val="24"/>
                <w:lang w:bidi="ar"/>
              </w:rPr>
              <w:t>公告2024年第4号</w:t>
            </w:r>
            <w:r>
              <w:rPr>
                <w:color w:val="auto"/>
                <w:kern w:val="0"/>
                <w:sz w:val="24"/>
                <w:lang w:bidi="ar"/>
              </w:rPr>
              <w:t>）</w:t>
            </w:r>
            <w:r>
              <w:rPr>
                <w:color w:val="auto"/>
                <w:sz w:val="24"/>
              </w:rPr>
              <w:t>，分类代码为“900-099-S</w:t>
            </w:r>
            <w:r>
              <w:rPr>
                <w:rFonts w:hint="eastAsia"/>
                <w:color w:val="auto"/>
                <w:sz w:val="24"/>
              </w:rPr>
              <w:t>59</w:t>
            </w:r>
            <w:r>
              <w:rPr>
                <w:color w:val="auto"/>
                <w:sz w:val="24"/>
              </w:rPr>
              <w:t>”，用编织袋装袋，</w:t>
            </w:r>
            <w:r>
              <w:rPr>
                <w:rFonts w:hint="eastAsia"/>
                <w:color w:val="auto"/>
                <w:sz w:val="24"/>
              </w:rPr>
              <w:t>外售至肥料厂。</w:t>
            </w:r>
          </w:p>
          <w:p w14:paraId="05DA5E9A">
            <w:pPr>
              <w:spacing w:line="360" w:lineRule="auto"/>
              <w:ind w:firstLine="480" w:firstLineChars="200"/>
              <w:rPr>
                <w:color w:val="auto"/>
                <w:sz w:val="24"/>
              </w:rPr>
            </w:pPr>
            <w:r>
              <w:rPr>
                <w:rFonts w:hint="eastAsia"/>
                <w:color w:val="auto"/>
                <w:sz w:val="24"/>
              </w:rPr>
              <w:t>（3）</w:t>
            </w:r>
            <w:r>
              <w:rPr>
                <w:color w:val="auto"/>
                <w:sz w:val="24"/>
              </w:rPr>
              <w:t>炉渣</w:t>
            </w:r>
          </w:p>
          <w:p w14:paraId="33F7B048">
            <w:pPr>
              <w:adjustRightInd w:val="0"/>
              <w:spacing w:line="360" w:lineRule="auto"/>
              <w:ind w:firstLine="480" w:firstLineChars="200"/>
              <w:rPr>
                <w:color w:val="auto"/>
                <w:sz w:val="24"/>
              </w:rPr>
            </w:pPr>
            <w:r>
              <w:rPr>
                <w:color w:val="auto"/>
                <w:sz w:val="24"/>
              </w:rPr>
              <w:t>本项目生物质燃料使用量共计</w:t>
            </w:r>
            <w:r>
              <w:rPr>
                <w:rFonts w:hint="eastAsia"/>
                <w:color w:val="auto"/>
                <w:sz w:val="24"/>
                <w:lang w:eastAsia="zh-CN"/>
              </w:rPr>
              <w:t>2181</w:t>
            </w:r>
            <w:r>
              <w:rPr>
                <w:color w:val="auto"/>
                <w:sz w:val="24"/>
              </w:rPr>
              <w:t>t，根据《污染源源强核算技术指南 准则》（HJ884-2018）及《污染源源强核算技术指南 锅炉》（HJ 991-2018），本项目生物质蒸汽锅炉炉渣污染物采取物料衡算法计算。</w:t>
            </w:r>
          </w:p>
          <w:p w14:paraId="4496F4B3">
            <w:pPr>
              <w:adjustRightInd w:val="0"/>
              <w:snapToGrid w:val="0"/>
              <w:spacing w:line="360" w:lineRule="auto"/>
              <w:ind w:firstLine="480" w:firstLineChars="200"/>
              <w:rPr>
                <w:color w:val="auto"/>
                <w:sz w:val="24"/>
              </w:rPr>
            </w:pPr>
            <w:r>
              <w:rPr>
                <w:color w:val="auto"/>
                <w:sz w:val="24"/>
              </w:rPr>
              <w:drawing>
                <wp:anchor distT="0" distB="0" distL="114300" distR="114300" simplePos="0" relativeHeight="251661312" behindDoc="0" locked="0" layoutInCell="1" allowOverlap="1">
                  <wp:simplePos x="0" y="0"/>
                  <wp:positionH relativeFrom="column">
                    <wp:posOffset>739775</wp:posOffset>
                  </wp:positionH>
                  <wp:positionV relativeFrom="paragraph">
                    <wp:posOffset>73660</wp:posOffset>
                  </wp:positionV>
                  <wp:extent cx="2506345" cy="619125"/>
                  <wp:effectExtent l="0" t="0" r="8255" b="3175"/>
                  <wp:wrapNone/>
                  <wp:docPr id="84"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0"/>
                          <pic:cNvPicPr>
                            <a:picLocks noChangeAspect="1"/>
                          </pic:cNvPicPr>
                        </pic:nvPicPr>
                        <pic:blipFill>
                          <a:blip r:embed="rId58"/>
                          <a:stretch>
                            <a:fillRect/>
                          </a:stretch>
                        </pic:blipFill>
                        <pic:spPr>
                          <a:xfrm>
                            <a:off x="0" y="0"/>
                            <a:ext cx="2506345" cy="619125"/>
                          </a:xfrm>
                          <a:prstGeom prst="rect">
                            <a:avLst/>
                          </a:prstGeom>
                          <a:noFill/>
                          <a:ln>
                            <a:noFill/>
                          </a:ln>
                        </pic:spPr>
                      </pic:pic>
                    </a:graphicData>
                  </a:graphic>
                </wp:anchor>
              </w:drawing>
            </w:r>
          </w:p>
          <w:p w14:paraId="0428826E">
            <w:pPr>
              <w:adjustRightInd w:val="0"/>
              <w:snapToGrid w:val="0"/>
              <w:spacing w:line="360" w:lineRule="auto"/>
              <w:ind w:firstLine="480" w:firstLineChars="200"/>
              <w:rPr>
                <w:color w:val="auto"/>
                <w:sz w:val="24"/>
              </w:rPr>
            </w:pPr>
          </w:p>
          <w:p w14:paraId="72E9BF73">
            <w:pPr>
              <w:adjustRightInd w:val="0"/>
              <w:spacing w:line="360" w:lineRule="auto"/>
              <w:ind w:firstLine="480" w:firstLineChars="200"/>
              <w:rPr>
                <w:color w:val="auto"/>
                <w:sz w:val="24"/>
              </w:rPr>
            </w:pPr>
          </w:p>
          <w:p w14:paraId="13ABBA72">
            <w:pPr>
              <w:adjustRightInd w:val="0"/>
              <w:spacing w:line="360" w:lineRule="auto"/>
              <w:ind w:firstLine="480" w:firstLineChars="200"/>
              <w:rPr>
                <w:color w:val="auto"/>
                <w:sz w:val="24"/>
              </w:rPr>
            </w:pPr>
            <w:r>
              <w:rPr>
                <w:color w:val="auto"/>
                <w:sz w:val="24"/>
              </w:rPr>
              <w:t>式中：</w:t>
            </w:r>
            <w:r>
              <w:rPr>
                <w:i/>
                <w:iCs/>
                <w:color w:val="auto"/>
                <w:sz w:val="24"/>
              </w:rPr>
              <w:t>E</w:t>
            </w:r>
            <w:r>
              <w:rPr>
                <w:i/>
                <w:iCs/>
                <w:color w:val="auto"/>
                <w:sz w:val="24"/>
                <w:vertAlign w:val="subscript"/>
              </w:rPr>
              <w:t>hs</w:t>
            </w:r>
            <w:r>
              <w:rPr>
                <w:color w:val="auto"/>
                <w:sz w:val="24"/>
              </w:rPr>
              <w:t>——核算时段内灰渣产生量，t；</w:t>
            </w:r>
          </w:p>
          <w:p w14:paraId="6281B3AF">
            <w:pPr>
              <w:adjustRightInd w:val="0"/>
              <w:spacing w:line="360" w:lineRule="auto"/>
              <w:ind w:firstLine="480" w:firstLineChars="200"/>
              <w:rPr>
                <w:color w:val="auto"/>
                <w:sz w:val="24"/>
              </w:rPr>
            </w:pPr>
            <w:r>
              <w:rPr>
                <w:i/>
                <w:iCs/>
                <w:color w:val="auto"/>
                <w:sz w:val="24"/>
              </w:rPr>
              <w:t>R</w:t>
            </w:r>
            <w:r>
              <w:rPr>
                <w:color w:val="auto"/>
                <w:sz w:val="24"/>
              </w:rPr>
              <w:t>——核算时段内锅炉燃料耗量，t</w:t>
            </w:r>
            <w:r>
              <w:rPr>
                <w:rStyle w:val="72"/>
                <w:color w:val="auto"/>
              </w:rPr>
              <w:t>，</w:t>
            </w:r>
            <w:r>
              <w:rPr>
                <w:rStyle w:val="72"/>
                <w:rFonts w:hint="eastAsia"/>
                <w:color w:val="auto"/>
                <w:lang w:eastAsia="zh-CN"/>
              </w:rPr>
              <w:t>2181</w:t>
            </w:r>
            <w:r>
              <w:rPr>
                <w:rStyle w:val="72"/>
                <w:color w:val="auto"/>
              </w:rPr>
              <w:t>；</w:t>
            </w:r>
          </w:p>
          <w:p w14:paraId="2BFF687E">
            <w:pPr>
              <w:adjustRightInd w:val="0"/>
              <w:spacing w:line="360" w:lineRule="auto"/>
              <w:ind w:firstLine="480" w:firstLineChars="200"/>
              <w:rPr>
                <w:color w:val="auto"/>
                <w:sz w:val="24"/>
              </w:rPr>
            </w:pPr>
            <w:r>
              <w:rPr>
                <w:i/>
                <w:iCs/>
                <w:color w:val="auto"/>
                <w:sz w:val="24"/>
              </w:rPr>
              <w:t>A</w:t>
            </w:r>
            <w:r>
              <w:rPr>
                <w:i/>
                <w:iCs/>
                <w:color w:val="auto"/>
                <w:sz w:val="24"/>
                <w:vertAlign w:val="subscript"/>
              </w:rPr>
              <w:t>ar</w:t>
            </w:r>
            <w:r>
              <w:rPr>
                <w:color w:val="auto"/>
                <w:sz w:val="24"/>
              </w:rPr>
              <w:t>——收到基灰分的质量分数，%，本项目</w:t>
            </w:r>
            <w:r>
              <w:rPr>
                <w:i/>
                <w:color w:val="auto"/>
                <w:sz w:val="24"/>
              </w:rPr>
              <w:t>A</w:t>
            </w:r>
            <w:r>
              <w:rPr>
                <w:i/>
                <w:color w:val="auto"/>
                <w:sz w:val="24"/>
                <w:vertAlign w:val="subscript"/>
              </w:rPr>
              <w:t>ar</w:t>
            </w:r>
            <w:r>
              <w:rPr>
                <w:iCs/>
                <w:color w:val="auto"/>
                <w:sz w:val="24"/>
              </w:rPr>
              <w:t>取值</w:t>
            </w:r>
            <w:r>
              <w:rPr>
                <w:rFonts w:hint="eastAsia"/>
                <w:iCs/>
                <w:color w:val="auto"/>
                <w:sz w:val="24"/>
              </w:rPr>
              <w:t>8.83</w:t>
            </w:r>
            <w:r>
              <w:rPr>
                <w:color w:val="auto"/>
                <w:sz w:val="24"/>
              </w:rPr>
              <w:t>；</w:t>
            </w:r>
          </w:p>
          <w:p w14:paraId="56F071C7">
            <w:pPr>
              <w:adjustRightInd w:val="0"/>
              <w:spacing w:line="360" w:lineRule="auto"/>
              <w:ind w:firstLine="480" w:firstLineChars="200"/>
              <w:rPr>
                <w:color w:val="auto"/>
                <w:sz w:val="24"/>
              </w:rPr>
            </w:pPr>
            <w:r>
              <w:rPr>
                <w:i/>
                <w:iCs/>
                <w:color w:val="auto"/>
                <w:sz w:val="24"/>
              </w:rPr>
              <w:t>q</w:t>
            </w:r>
            <w:r>
              <w:rPr>
                <w:i/>
                <w:iCs/>
                <w:color w:val="auto"/>
                <w:sz w:val="24"/>
                <w:vertAlign w:val="subscript"/>
              </w:rPr>
              <w:t>4</w:t>
            </w:r>
            <w:r>
              <w:rPr>
                <w:color w:val="auto"/>
                <w:sz w:val="24"/>
              </w:rPr>
              <w:t>——锅炉机械不完全燃烧热损失，%，本项目取15；</w:t>
            </w:r>
          </w:p>
          <w:p w14:paraId="34C87611">
            <w:pPr>
              <w:pStyle w:val="57"/>
              <w:spacing w:line="360" w:lineRule="auto"/>
              <w:ind w:firstLine="480"/>
              <w:rPr>
                <w:color w:val="auto"/>
                <w:kern w:val="2"/>
                <w:szCs w:val="24"/>
              </w:rPr>
            </w:pPr>
            <w:r>
              <w:rPr>
                <w:i/>
                <w:iCs/>
                <w:color w:val="auto"/>
              </w:rPr>
              <w:t>Q</w:t>
            </w:r>
            <w:r>
              <w:rPr>
                <w:i/>
                <w:iCs/>
                <w:color w:val="auto"/>
                <w:vertAlign w:val="subscript"/>
              </w:rPr>
              <w:t>net，ar</w:t>
            </w:r>
            <w:r>
              <w:rPr>
                <w:color w:val="auto"/>
              </w:rPr>
              <w:t>——收到基低位发热量，kJ/kg，根据附件4，取</w:t>
            </w:r>
            <w:r>
              <w:rPr>
                <w:rFonts w:hint="eastAsia"/>
                <w:color w:val="auto"/>
              </w:rPr>
              <w:t>14083</w:t>
            </w:r>
            <w:r>
              <w:rPr>
                <w:color w:val="auto"/>
              </w:rPr>
              <w:t>。</w:t>
            </w:r>
          </w:p>
          <w:p w14:paraId="22721E39">
            <w:pPr>
              <w:pStyle w:val="57"/>
              <w:spacing w:line="360" w:lineRule="auto"/>
              <w:ind w:firstLine="480"/>
              <w:rPr>
                <w:color w:val="auto"/>
                <w:kern w:val="2"/>
                <w:szCs w:val="24"/>
              </w:rPr>
            </w:pPr>
            <w:r>
              <w:rPr>
                <w:color w:val="auto"/>
                <w:kern w:val="2"/>
                <w:szCs w:val="24"/>
              </w:rPr>
              <w:t>计算得到灰渣量为</w:t>
            </w:r>
            <w:r>
              <w:rPr>
                <w:rFonts w:hint="eastAsia"/>
                <w:color w:val="auto"/>
                <w:kern w:val="2"/>
                <w:szCs w:val="24"/>
                <w:lang w:eastAsia="zh-CN"/>
              </w:rPr>
              <w:t>328.61</w:t>
            </w:r>
            <w:r>
              <w:rPr>
                <w:color w:val="auto"/>
                <w:kern w:val="2"/>
                <w:szCs w:val="24"/>
              </w:rPr>
              <w:t>t/a，</w:t>
            </w:r>
            <w:r>
              <w:rPr>
                <w:color w:val="auto"/>
                <w:szCs w:val="22"/>
              </w:rPr>
              <w:t>其中飞灰量（即热风炉烟气中颗粒物产生量）为</w:t>
            </w:r>
            <w:r>
              <w:rPr>
                <w:rFonts w:hint="eastAsia"/>
                <w:color w:val="auto"/>
                <w:szCs w:val="22"/>
                <w:lang w:eastAsia="zh-CN"/>
              </w:rPr>
              <w:t>106.68</w:t>
            </w:r>
            <w:r>
              <w:rPr>
                <w:color w:val="auto"/>
                <w:szCs w:val="22"/>
              </w:rPr>
              <w:t>t/a，则热风炉</w:t>
            </w:r>
            <w:r>
              <w:rPr>
                <w:rFonts w:hint="eastAsia"/>
                <w:color w:val="auto"/>
                <w:szCs w:val="22"/>
              </w:rPr>
              <w:t>炉渣</w:t>
            </w:r>
            <w:r>
              <w:rPr>
                <w:color w:val="auto"/>
                <w:szCs w:val="22"/>
              </w:rPr>
              <w:t>产生量为</w:t>
            </w:r>
            <w:r>
              <w:rPr>
                <w:rFonts w:hint="eastAsia"/>
                <w:color w:val="auto"/>
                <w:szCs w:val="22"/>
                <w:lang w:eastAsia="zh-CN"/>
              </w:rPr>
              <w:t>221.93</w:t>
            </w:r>
            <w:r>
              <w:rPr>
                <w:color w:val="auto"/>
                <w:szCs w:val="22"/>
              </w:rPr>
              <w:t>t/a。</w:t>
            </w:r>
            <w:r>
              <w:rPr>
                <w:rFonts w:hint="eastAsia"/>
                <w:color w:val="auto"/>
                <w:szCs w:val="22"/>
              </w:rPr>
              <w:t>根据</w:t>
            </w:r>
            <w:r>
              <w:rPr>
                <w:color w:val="auto"/>
                <w:kern w:val="2"/>
                <w:szCs w:val="24"/>
              </w:rPr>
              <w:t>分类代码为“900-099-S03”，热风炉除尘系统收尘和热风炉</w:t>
            </w:r>
            <w:r>
              <w:rPr>
                <w:rFonts w:hint="eastAsia"/>
                <w:color w:val="auto"/>
                <w:kern w:val="2"/>
                <w:szCs w:val="24"/>
              </w:rPr>
              <w:t>炉</w:t>
            </w:r>
            <w:r>
              <w:rPr>
                <w:color w:val="auto"/>
                <w:kern w:val="2"/>
                <w:szCs w:val="24"/>
              </w:rPr>
              <w:t>渣其成分属于草木灰，草木灰是由植物燃烧后的残余物形成的，</w:t>
            </w:r>
            <w:r>
              <w:rPr>
                <w:rFonts w:hint="eastAsia"/>
                <w:color w:val="auto"/>
                <w:kern w:val="2"/>
                <w:szCs w:val="24"/>
              </w:rPr>
              <w:t>可以用于制作肥料，</w:t>
            </w:r>
            <w:r>
              <w:rPr>
                <w:color w:val="auto"/>
                <w:kern w:val="2"/>
                <w:szCs w:val="24"/>
              </w:rPr>
              <w:t>热风炉除尘系统收尘和</w:t>
            </w:r>
            <w:r>
              <w:rPr>
                <w:rFonts w:hint="eastAsia"/>
                <w:color w:val="auto"/>
                <w:kern w:val="2"/>
                <w:szCs w:val="24"/>
              </w:rPr>
              <w:t>热风炉炉渣</w:t>
            </w:r>
            <w:r>
              <w:rPr>
                <w:color w:val="auto"/>
                <w:kern w:val="2"/>
                <w:szCs w:val="24"/>
              </w:rPr>
              <w:t>统一收集暂存于</w:t>
            </w:r>
            <w:r>
              <w:rPr>
                <w:rFonts w:hint="eastAsia"/>
                <w:color w:val="auto"/>
                <w:kern w:val="2"/>
                <w:szCs w:val="24"/>
              </w:rPr>
              <w:t>灰渣间</w:t>
            </w:r>
            <w:r>
              <w:rPr>
                <w:color w:val="auto"/>
                <w:kern w:val="2"/>
                <w:szCs w:val="24"/>
              </w:rPr>
              <w:t>中，</w:t>
            </w:r>
            <w:r>
              <w:rPr>
                <w:color w:val="auto"/>
                <w:szCs w:val="24"/>
              </w:rPr>
              <w:t>用编织袋装袋，外售</w:t>
            </w:r>
            <w:r>
              <w:rPr>
                <w:rFonts w:hint="eastAsia"/>
                <w:color w:val="auto"/>
                <w:szCs w:val="24"/>
              </w:rPr>
              <w:t>至肥料厂</w:t>
            </w:r>
            <w:r>
              <w:rPr>
                <w:color w:val="auto"/>
                <w:szCs w:val="24"/>
              </w:rPr>
              <w:t>。</w:t>
            </w:r>
          </w:p>
          <w:p w14:paraId="351F2035">
            <w:pPr>
              <w:pStyle w:val="57"/>
              <w:spacing w:line="360" w:lineRule="auto"/>
              <w:ind w:firstLine="480"/>
              <w:rPr>
                <w:color w:val="auto"/>
                <w:kern w:val="2"/>
                <w:szCs w:val="24"/>
              </w:rPr>
            </w:pPr>
            <w:r>
              <w:rPr>
                <w:color w:val="auto"/>
              </w:rPr>
              <w:t>（</w:t>
            </w:r>
            <w:r>
              <w:rPr>
                <w:rFonts w:hint="eastAsia"/>
                <w:color w:val="auto"/>
              </w:rPr>
              <w:t>4</w:t>
            </w:r>
            <w:r>
              <w:rPr>
                <w:color w:val="auto"/>
              </w:rPr>
              <w:t>）除尘系统收尘</w:t>
            </w:r>
          </w:p>
          <w:p w14:paraId="6B4FF9B5">
            <w:pPr>
              <w:pStyle w:val="57"/>
              <w:spacing w:line="360" w:lineRule="auto"/>
              <w:ind w:firstLine="480"/>
              <w:rPr>
                <w:color w:val="auto"/>
                <w:kern w:val="2"/>
                <w:szCs w:val="24"/>
              </w:rPr>
            </w:pPr>
            <w:r>
              <w:rPr>
                <w:color w:val="auto"/>
                <w:kern w:val="2"/>
                <w:szCs w:val="24"/>
              </w:rPr>
              <w:t>热风炉除尘系统</w:t>
            </w:r>
            <w:r>
              <w:rPr>
                <w:rFonts w:hint="eastAsia"/>
                <w:color w:val="auto"/>
                <w:kern w:val="2"/>
                <w:szCs w:val="24"/>
                <w:lang w:val="en-US" w:eastAsia="zh-CN"/>
              </w:rPr>
              <w:t>产生</w:t>
            </w:r>
            <w:r>
              <w:rPr>
                <w:color w:val="auto"/>
                <w:kern w:val="2"/>
                <w:szCs w:val="24"/>
              </w:rPr>
              <w:t>量为</w:t>
            </w:r>
            <w:r>
              <w:rPr>
                <w:rFonts w:hint="eastAsia"/>
                <w:color w:val="auto"/>
                <w:kern w:val="2"/>
                <w:szCs w:val="24"/>
                <w:lang w:eastAsia="zh-CN"/>
              </w:rPr>
              <w:t>106.68</w:t>
            </w:r>
            <w:r>
              <w:rPr>
                <w:color w:val="auto"/>
                <w:kern w:val="2"/>
                <w:szCs w:val="24"/>
              </w:rPr>
              <w:t>t/a</w:t>
            </w:r>
            <w:r>
              <w:rPr>
                <w:rFonts w:hint="eastAsia"/>
                <w:color w:val="auto"/>
                <w:lang w:eastAsia="zh-CN"/>
              </w:rPr>
              <w:t>，</w:t>
            </w:r>
            <w:r>
              <w:rPr>
                <w:rFonts w:hint="eastAsia"/>
                <w:color w:val="auto"/>
                <w:lang w:val="en-US" w:eastAsia="zh-CN"/>
              </w:rPr>
              <w:t>排放量为0.32t/a，因此热风炉收尘量为106.36t/a</w:t>
            </w:r>
            <w:r>
              <w:rPr>
                <w:color w:val="auto"/>
                <w:kern w:val="2"/>
                <w:szCs w:val="24"/>
              </w:rPr>
              <w:t>。对照</w:t>
            </w:r>
            <w:r>
              <w:rPr>
                <w:rFonts w:hint="eastAsia"/>
                <w:color w:val="auto"/>
                <w:kern w:val="2"/>
                <w:szCs w:val="24"/>
              </w:rPr>
              <w:t>《固体废物分类与代码名录》</w:t>
            </w:r>
            <w:r>
              <w:rPr>
                <w:color w:val="auto"/>
                <w:kern w:val="2"/>
                <w:szCs w:val="24"/>
              </w:rPr>
              <w:t>（</w:t>
            </w:r>
            <w:r>
              <w:rPr>
                <w:rFonts w:hint="eastAsia"/>
                <w:color w:val="auto"/>
                <w:kern w:val="2"/>
                <w:szCs w:val="24"/>
              </w:rPr>
              <w:t>公告2024年第4号</w:t>
            </w:r>
            <w:r>
              <w:rPr>
                <w:color w:val="auto"/>
                <w:kern w:val="2"/>
                <w:szCs w:val="24"/>
              </w:rPr>
              <w:t>），</w:t>
            </w:r>
            <w:r>
              <w:rPr>
                <w:color w:val="auto"/>
                <w:szCs w:val="24"/>
              </w:rPr>
              <w:t>除尘系统收尘</w:t>
            </w:r>
            <w:r>
              <w:rPr>
                <w:color w:val="auto"/>
                <w:kern w:val="2"/>
                <w:szCs w:val="24"/>
              </w:rPr>
              <w:t>分类代码为“900-099-S03”</w:t>
            </w:r>
            <w:r>
              <w:rPr>
                <w:rFonts w:hint="eastAsia"/>
                <w:color w:val="auto"/>
                <w:kern w:val="2"/>
                <w:szCs w:val="24"/>
              </w:rPr>
              <w:t>，</w:t>
            </w:r>
            <w:r>
              <w:rPr>
                <w:color w:val="auto"/>
                <w:szCs w:val="24"/>
              </w:rPr>
              <w:t>集中收集后用编织袋装袋</w:t>
            </w:r>
            <w:r>
              <w:rPr>
                <w:color w:val="auto"/>
                <w:szCs w:val="21"/>
              </w:rPr>
              <w:t>，暂存</w:t>
            </w:r>
            <w:r>
              <w:rPr>
                <w:rFonts w:hint="eastAsia"/>
                <w:color w:val="auto"/>
                <w:szCs w:val="21"/>
              </w:rPr>
              <w:t>于灰渣间</w:t>
            </w:r>
            <w:r>
              <w:rPr>
                <w:color w:val="auto"/>
                <w:szCs w:val="21"/>
              </w:rPr>
              <w:t>，</w:t>
            </w:r>
            <w:r>
              <w:rPr>
                <w:color w:val="auto"/>
                <w:szCs w:val="24"/>
              </w:rPr>
              <w:t>用编织袋装袋，外售</w:t>
            </w:r>
            <w:r>
              <w:rPr>
                <w:rFonts w:hint="eastAsia"/>
                <w:color w:val="auto"/>
                <w:szCs w:val="24"/>
              </w:rPr>
              <w:t>至肥料厂。</w:t>
            </w:r>
          </w:p>
          <w:p w14:paraId="08D4E7E2">
            <w:pPr>
              <w:pStyle w:val="57"/>
              <w:spacing w:line="360" w:lineRule="auto"/>
              <w:ind w:firstLine="480"/>
              <w:rPr>
                <w:color w:val="auto"/>
                <w:kern w:val="2"/>
                <w:szCs w:val="24"/>
              </w:rPr>
            </w:pPr>
            <w:r>
              <w:rPr>
                <w:color w:val="auto"/>
                <w:kern w:val="2"/>
                <w:szCs w:val="24"/>
              </w:rPr>
              <w:t>（</w:t>
            </w:r>
            <w:r>
              <w:rPr>
                <w:rFonts w:hint="eastAsia"/>
                <w:color w:val="auto"/>
                <w:kern w:val="2"/>
                <w:szCs w:val="24"/>
              </w:rPr>
              <w:t>5</w:t>
            </w:r>
            <w:r>
              <w:rPr>
                <w:color w:val="auto"/>
                <w:kern w:val="2"/>
                <w:szCs w:val="24"/>
              </w:rPr>
              <w:t>）烘干塔</w:t>
            </w:r>
            <w:r>
              <w:rPr>
                <w:rFonts w:hint="eastAsia"/>
                <w:color w:val="auto"/>
                <w:kern w:val="2"/>
                <w:szCs w:val="24"/>
              </w:rPr>
              <w:t>收</w:t>
            </w:r>
            <w:r>
              <w:rPr>
                <w:color w:val="auto"/>
                <w:kern w:val="2"/>
                <w:szCs w:val="24"/>
              </w:rPr>
              <w:t>尘</w:t>
            </w:r>
          </w:p>
          <w:p w14:paraId="210033AA">
            <w:pPr>
              <w:pStyle w:val="57"/>
              <w:spacing w:line="360" w:lineRule="auto"/>
              <w:ind w:firstLine="480"/>
              <w:rPr>
                <w:color w:val="auto"/>
                <w:kern w:val="2"/>
                <w:szCs w:val="24"/>
              </w:rPr>
            </w:pPr>
            <w:r>
              <w:rPr>
                <w:color w:val="auto"/>
                <w:kern w:val="2"/>
                <w:szCs w:val="24"/>
              </w:rPr>
              <w:t>烘干塔收尘量为</w:t>
            </w:r>
            <w:r>
              <w:rPr>
                <w:rFonts w:hint="eastAsia"/>
                <w:color w:val="auto"/>
                <w:kern w:val="2"/>
                <w:szCs w:val="24"/>
                <w:lang w:val="en-US" w:eastAsia="zh-CN"/>
              </w:rPr>
              <w:t>1.65</w:t>
            </w:r>
            <w:r>
              <w:rPr>
                <w:color w:val="auto"/>
                <w:kern w:val="2"/>
                <w:szCs w:val="24"/>
              </w:rPr>
              <w:t>t/a，对照</w:t>
            </w:r>
            <w:r>
              <w:rPr>
                <w:rFonts w:hint="eastAsia"/>
                <w:color w:val="auto"/>
                <w:kern w:val="2"/>
                <w:szCs w:val="24"/>
              </w:rPr>
              <w:t>《固体废物分类与代码名录》</w:t>
            </w:r>
            <w:r>
              <w:rPr>
                <w:color w:val="auto"/>
                <w:kern w:val="2"/>
                <w:szCs w:val="24"/>
              </w:rPr>
              <w:t>（</w:t>
            </w:r>
            <w:r>
              <w:rPr>
                <w:rFonts w:hint="eastAsia"/>
                <w:color w:val="auto"/>
                <w:kern w:val="2"/>
                <w:szCs w:val="24"/>
              </w:rPr>
              <w:t>公告2024年第4号</w:t>
            </w:r>
            <w:r>
              <w:rPr>
                <w:color w:val="auto"/>
                <w:kern w:val="2"/>
                <w:szCs w:val="24"/>
              </w:rPr>
              <w:t>），</w:t>
            </w:r>
            <w:r>
              <w:rPr>
                <w:color w:val="auto"/>
                <w:szCs w:val="24"/>
              </w:rPr>
              <w:t>除尘系统收尘</w:t>
            </w:r>
            <w:r>
              <w:rPr>
                <w:color w:val="auto"/>
                <w:kern w:val="2"/>
                <w:szCs w:val="24"/>
              </w:rPr>
              <w:t>分类代码为“900-099-S</w:t>
            </w:r>
            <w:r>
              <w:rPr>
                <w:rFonts w:hint="eastAsia"/>
                <w:color w:val="auto"/>
                <w:kern w:val="2"/>
                <w:szCs w:val="24"/>
              </w:rPr>
              <w:t>59</w:t>
            </w:r>
            <w:r>
              <w:rPr>
                <w:color w:val="auto"/>
                <w:kern w:val="2"/>
                <w:szCs w:val="24"/>
              </w:rPr>
              <w:t>”</w:t>
            </w:r>
            <w:r>
              <w:rPr>
                <w:color w:val="auto"/>
                <w:szCs w:val="24"/>
              </w:rPr>
              <w:t>集中收集后用编织袋装袋</w:t>
            </w:r>
            <w:r>
              <w:rPr>
                <w:color w:val="auto"/>
                <w:szCs w:val="21"/>
              </w:rPr>
              <w:t>，暂存</w:t>
            </w:r>
            <w:r>
              <w:rPr>
                <w:rFonts w:hint="eastAsia"/>
                <w:color w:val="auto"/>
                <w:szCs w:val="21"/>
              </w:rPr>
              <w:t>于灰渣间</w:t>
            </w:r>
            <w:r>
              <w:rPr>
                <w:color w:val="auto"/>
                <w:szCs w:val="21"/>
              </w:rPr>
              <w:t>，</w:t>
            </w:r>
            <w:r>
              <w:rPr>
                <w:rFonts w:hint="eastAsia"/>
                <w:color w:val="auto"/>
                <w:szCs w:val="21"/>
              </w:rPr>
              <w:t>外售至肥料厂</w:t>
            </w:r>
            <w:r>
              <w:rPr>
                <w:color w:val="auto"/>
                <w:kern w:val="2"/>
                <w:szCs w:val="24"/>
              </w:rPr>
              <w:t>。</w:t>
            </w:r>
          </w:p>
          <w:p w14:paraId="233B9753">
            <w:pPr>
              <w:pStyle w:val="57"/>
              <w:spacing w:line="360" w:lineRule="auto"/>
              <w:ind w:firstLine="480"/>
              <w:rPr>
                <w:color w:val="auto"/>
                <w:szCs w:val="24"/>
              </w:rPr>
            </w:pPr>
            <w:r>
              <w:rPr>
                <w:color w:val="auto"/>
                <w:szCs w:val="24"/>
              </w:rPr>
              <w:t>（</w:t>
            </w:r>
            <w:r>
              <w:rPr>
                <w:rFonts w:hint="eastAsia"/>
                <w:color w:val="auto"/>
                <w:szCs w:val="24"/>
              </w:rPr>
              <w:t>6</w:t>
            </w:r>
            <w:r>
              <w:rPr>
                <w:color w:val="auto"/>
                <w:szCs w:val="24"/>
              </w:rPr>
              <w:t>）废布袋</w:t>
            </w:r>
          </w:p>
          <w:p w14:paraId="23CC5AFA">
            <w:pPr>
              <w:pStyle w:val="57"/>
              <w:spacing w:line="360" w:lineRule="auto"/>
              <w:ind w:firstLine="480"/>
              <w:rPr>
                <w:color w:val="auto"/>
                <w:kern w:val="2"/>
                <w:szCs w:val="24"/>
              </w:rPr>
            </w:pPr>
            <w:r>
              <w:rPr>
                <w:color w:val="auto"/>
                <w:kern w:val="2"/>
                <w:szCs w:val="24"/>
              </w:rPr>
              <w:t>本项目玉米烘干所用的布袋需要定期更换，类比现有工程，每年更换一次，一次产生量约为</w:t>
            </w:r>
            <w:r>
              <w:rPr>
                <w:rFonts w:hint="eastAsia"/>
                <w:color w:val="auto"/>
                <w:kern w:val="2"/>
                <w:szCs w:val="24"/>
              </w:rPr>
              <w:t>0.2</w:t>
            </w:r>
            <w:r>
              <w:rPr>
                <w:color w:val="auto"/>
                <w:kern w:val="2"/>
                <w:szCs w:val="24"/>
              </w:rPr>
              <w:t>t/a，</w:t>
            </w:r>
            <w:r>
              <w:rPr>
                <w:color w:val="auto"/>
                <w:szCs w:val="24"/>
              </w:rPr>
              <w:t>对照</w:t>
            </w:r>
            <w:r>
              <w:rPr>
                <w:rFonts w:hint="eastAsia"/>
                <w:color w:val="auto"/>
                <w:szCs w:val="24"/>
                <w:lang w:bidi="ar"/>
              </w:rPr>
              <w:t>《固体废物分类与代码名录》</w:t>
            </w:r>
            <w:r>
              <w:rPr>
                <w:color w:val="auto"/>
                <w:szCs w:val="24"/>
                <w:lang w:bidi="ar"/>
              </w:rPr>
              <w:t>（</w:t>
            </w:r>
            <w:r>
              <w:rPr>
                <w:rFonts w:hint="eastAsia"/>
                <w:color w:val="auto"/>
                <w:szCs w:val="24"/>
                <w:lang w:bidi="ar"/>
              </w:rPr>
              <w:t>公告2024年第4号</w:t>
            </w:r>
            <w:r>
              <w:rPr>
                <w:color w:val="auto"/>
                <w:szCs w:val="24"/>
                <w:lang w:bidi="ar"/>
              </w:rPr>
              <w:t>）</w:t>
            </w:r>
            <w:r>
              <w:rPr>
                <w:color w:val="auto"/>
                <w:szCs w:val="24"/>
              </w:rPr>
              <w:t>，</w:t>
            </w:r>
            <w:r>
              <w:rPr>
                <w:color w:val="auto"/>
                <w:kern w:val="2"/>
                <w:szCs w:val="24"/>
              </w:rPr>
              <w:t>废布袋分类代码为“900-099-S59”，</w:t>
            </w:r>
            <w:r>
              <w:rPr>
                <w:color w:val="auto"/>
                <w:szCs w:val="24"/>
              </w:rPr>
              <w:t>废布袋厂家更换后回收</w:t>
            </w:r>
            <w:r>
              <w:rPr>
                <w:color w:val="auto"/>
                <w:kern w:val="2"/>
                <w:szCs w:val="24"/>
              </w:rPr>
              <w:t>，</w:t>
            </w:r>
            <w:r>
              <w:rPr>
                <w:bCs/>
                <w:color w:val="auto"/>
                <w:szCs w:val="24"/>
              </w:rPr>
              <w:t>不在厂内暂存</w:t>
            </w:r>
            <w:r>
              <w:rPr>
                <w:color w:val="auto"/>
                <w:kern w:val="2"/>
                <w:szCs w:val="24"/>
              </w:rPr>
              <w:t>。</w:t>
            </w:r>
          </w:p>
          <w:p w14:paraId="449C3F7C">
            <w:pPr>
              <w:pStyle w:val="57"/>
              <w:spacing w:line="360" w:lineRule="auto"/>
              <w:ind w:firstLine="480"/>
              <w:rPr>
                <w:color w:val="auto"/>
                <w:kern w:val="2"/>
                <w:szCs w:val="24"/>
              </w:rPr>
            </w:pPr>
            <w:r>
              <w:rPr>
                <w:rFonts w:hint="eastAsia"/>
                <w:color w:val="auto"/>
                <w:kern w:val="2"/>
                <w:szCs w:val="24"/>
              </w:rPr>
              <w:t>（7）生活垃圾</w:t>
            </w:r>
          </w:p>
          <w:p w14:paraId="0147FAD4">
            <w:pPr>
              <w:pStyle w:val="57"/>
              <w:spacing w:line="360" w:lineRule="auto"/>
              <w:ind w:firstLine="480"/>
              <w:rPr>
                <w:color w:val="auto"/>
                <w:kern w:val="2"/>
                <w:szCs w:val="24"/>
              </w:rPr>
            </w:pPr>
            <w:r>
              <w:rPr>
                <w:color w:val="auto"/>
              </w:rPr>
              <w:t>员工生活垃圾：项目员工</w:t>
            </w:r>
            <w:r>
              <w:rPr>
                <w:rFonts w:hint="eastAsia"/>
                <w:color w:val="auto"/>
              </w:rPr>
              <w:t>8人</w:t>
            </w:r>
            <w:r>
              <w:rPr>
                <w:color w:val="auto"/>
              </w:rPr>
              <w:t>，</w:t>
            </w:r>
            <w:r>
              <w:rPr>
                <w:rFonts w:hint="eastAsia"/>
                <w:color w:val="auto"/>
              </w:rPr>
              <w:t>年工作34天，</w:t>
            </w:r>
            <w:r>
              <w:rPr>
                <w:color w:val="auto"/>
              </w:rPr>
              <w:t>生活垃圾按每人每天0.5kg计算，年产生活垃圾</w:t>
            </w:r>
            <w:r>
              <w:rPr>
                <w:rFonts w:hint="eastAsia"/>
                <w:color w:val="auto"/>
              </w:rPr>
              <w:t>0.14</w:t>
            </w:r>
            <w:r>
              <w:rPr>
                <w:color w:val="auto"/>
              </w:rPr>
              <w:t>t/a，集中收集，</w:t>
            </w:r>
            <w:r>
              <w:rPr>
                <w:rFonts w:hint="eastAsia"/>
                <w:color w:val="auto"/>
              </w:rPr>
              <w:t>交由</w:t>
            </w:r>
            <w:r>
              <w:rPr>
                <w:color w:val="auto"/>
              </w:rPr>
              <w:t>当地市政部门统一处理</w:t>
            </w:r>
            <w:r>
              <w:rPr>
                <w:rFonts w:hint="eastAsia"/>
                <w:color w:val="auto"/>
              </w:rPr>
              <w:t>。</w:t>
            </w:r>
          </w:p>
          <w:p w14:paraId="70BC00EE">
            <w:pPr>
              <w:pStyle w:val="57"/>
              <w:spacing w:line="360" w:lineRule="auto"/>
              <w:ind w:firstLine="480"/>
              <w:rPr>
                <w:color w:val="auto"/>
                <w:kern w:val="2"/>
                <w:szCs w:val="24"/>
              </w:rPr>
            </w:pPr>
            <w:r>
              <w:rPr>
                <w:color w:val="auto"/>
                <w:szCs w:val="24"/>
              </w:rPr>
              <w:t>综上所述，本项目固体废物处置率100%</w:t>
            </w:r>
            <w:r>
              <w:rPr>
                <w:color w:val="auto"/>
                <w:kern w:val="2"/>
                <w:szCs w:val="24"/>
              </w:rPr>
              <w:t>。</w:t>
            </w:r>
          </w:p>
          <w:p w14:paraId="61AF0098">
            <w:pPr>
              <w:pStyle w:val="57"/>
              <w:spacing w:line="360" w:lineRule="auto"/>
              <w:ind w:firstLine="480"/>
              <w:rPr>
                <w:color w:val="auto"/>
                <w:szCs w:val="24"/>
              </w:rPr>
            </w:pPr>
            <w:r>
              <w:rPr>
                <w:color w:val="auto"/>
                <w:szCs w:val="24"/>
              </w:rPr>
              <w:t>项目固废产生情况详见表4-</w:t>
            </w:r>
            <w:r>
              <w:rPr>
                <w:rFonts w:hint="eastAsia"/>
                <w:color w:val="auto"/>
                <w:szCs w:val="24"/>
              </w:rPr>
              <w:t>1</w:t>
            </w:r>
            <w:r>
              <w:rPr>
                <w:rFonts w:hint="eastAsia"/>
                <w:color w:val="auto"/>
                <w:szCs w:val="24"/>
                <w:lang w:val="en-US" w:eastAsia="zh-CN"/>
              </w:rPr>
              <w:t>1</w:t>
            </w:r>
            <w:r>
              <w:rPr>
                <w:color w:val="auto"/>
                <w:szCs w:val="24"/>
              </w:rPr>
              <w:t>。</w:t>
            </w:r>
          </w:p>
          <w:p w14:paraId="3B2B9581">
            <w:pPr>
              <w:spacing w:line="360" w:lineRule="auto"/>
              <w:jc w:val="center"/>
              <w:rPr>
                <w:b/>
                <w:color w:val="auto"/>
                <w:szCs w:val="21"/>
              </w:rPr>
            </w:pPr>
            <w:r>
              <w:rPr>
                <w:b/>
                <w:color w:val="auto"/>
                <w:szCs w:val="21"/>
              </w:rPr>
              <w:t>表4-</w:t>
            </w:r>
            <w:r>
              <w:rPr>
                <w:rFonts w:hint="eastAsia"/>
                <w:b/>
                <w:color w:val="auto"/>
                <w:szCs w:val="21"/>
              </w:rPr>
              <w:t>1</w:t>
            </w:r>
            <w:r>
              <w:rPr>
                <w:rFonts w:hint="eastAsia"/>
                <w:b/>
                <w:color w:val="auto"/>
                <w:szCs w:val="21"/>
                <w:lang w:val="en-US" w:eastAsia="zh-CN"/>
              </w:rPr>
              <w:t>1</w:t>
            </w:r>
            <w:r>
              <w:rPr>
                <w:b/>
                <w:color w:val="auto"/>
                <w:szCs w:val="21"/>
              </w:rPr>
              <w:t>固体废物污染源源强核算结果及相关参数一览表</w:t>
            </w:r>
          </w:p>
          <w:tbl>
            <w:tblPr>
              <w:tblStyle w:val="35"/>
              <w:tblW w:w="80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7"/>
              <w:gridCol w:w="784"/>
              <w:gridCol w:w="683"/>
              <w:gridCol w:w="860"/>
              <w:gridCol w:w="1098"/>
              <w:gridCol w:w="900"/>
              <w:gridCol w:w="409"/>
              <w:gridCol w:w="907"/>
              <w:gridCol w:w="1900"/>
            </w:tblGrid>
            <w:tr w14:paraId="39E828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7" w:type="dxa"/>
                  <w:vMerge w:val="restart"/>
                  <w:vAlign w:val="center"/>
                </w:tcPr>
                <w:p w14:paraId="0CAC0920">
                  <w:pPr>
                    <w:jc w:val="center"/>
                    <w:rPr>
                      <w:color w:val="auto"/>
                      <w:sz w:val="18"/>
                      <w:szCs w:val="18"/>
                    </w:rPr>
                  </w:pPr>
                  <w:r>
                    <w:rPr>
                      <w:color w:val="auto"/>
                      <w:sz w:val="18"/>
                      <w:szCs w:val="18"/>
                    </w:rPr>
                    <w:t>来源</w:t>
                  </w:r>
                </w:p>
              </w:tc>
              <w:tc>
                <w:tcPr>
                  <w:tcW w:w="784" w:type="dxa"/>
                  <w:vMerge w:val="restart"/>
                  <w:vAlign w:val="center"/>
                </w:tcPr>
                <w:p w14:paraId="4C885365">
                  <w:pPr>
                    <w:jc w:val="center"/>
                    <w:rPr>
                      <w:color w:val="auto"/>
                      <w:sz w:val="18"/>
                      <w:szCs w:val="18"/>
                    </w:rPr>
                  </w:pPr>
                  <w:r>
                    <w:rPr>
                      <w:color w:val="auto"/>
                      <w:sz w:val="18"/>
                      <w:szCs w:val="18"/>
                    </w:rPr>
                    <w:t>种类</w:t>
                  </w:r>
                </w:p>
              </w:tc>
              <w:tc>
                <w:tcPr>
                  <w:tcW w:w="683" w:type="dxa"/>
                  <w:vMerge w:val="restart"/>
                  <w:vAlign w:val="center"/>
                </w:tcPr>
                <w:p w14:paraId="499ADE7D">
                  <w:pPr>
                    <w:autoSpaceDE w:val="0"/>
                    <w:autoSpaceDN w:val="0"/>
                    <w:jc w:val="center"/>
                    <w:rPr>
                      <w:color w:val="auto"/>
                      <w:sz w:val="18"/>
                      <w:szCs w:val="18"/>
                    </w:rPr>
                  </w:pPr>
                  <w:r>
                    <w:rPr>
                      <w:color w:val="auto"/>
                      <w:sz w:val="18"/>
                      <w:szCs w:val="18"/>
                    </w:rPr>
                    <w:t>固废属性</w:t>
                  </w:r>
                </w:p>
              </w:tc>
              <w:tc>
                <w:tcPr>
                  <w:tcW w:w="860" w:type="dxa"/>
                  <w:vMerge w:val="restart"/>
                  <w:vAlign w:val="center"/>
                </w:tcPr>
                <w:p w14:paraId="00661434">
                  <w:pPr>
                    <w:autoSpaceDE w:val="0"/>
                    <w:autoSpaceDN w:val="0"/>
                    <w:jc w:val="center"/>
                    <w:rPr>
                      <w:color w:val="auto"/>
                      <w:sz w:val="18"/>
                      <w:szCs w:val="18"/>
                    </w:rPr>
                  </w:pPr>
                  <w:r>
                    <w:rPr>
                      <w:color w:val="auto"/>
                      <w:sz w:val="18"/>
                      <w:szCs w:val="18"/>
                    </w:rPr>
                    <w:t>代码</w:t>
                  </w:r>
                </w:p>
              </w:tc>
              <w:tc>
                <w:tcPr>
                  <w:tcW w:w="1998" w:type="dxa"/>
                  <w:gridSpan w:val="2"/>
                  <w:vAlign w:val="center"/>
                </w:tcPr>
                <w:p w14:paraId="438A66EB">
                  <w:pPr>
                    <w:jc w:val="center"/>
                    <w:rPr>
                      <w:color w:val="auto"/>
                      <w:sz w:val="18"/>
                      <w:szCs w:val="18"/>
                    </w:rPr>
                  </w:pPr>
                  <w:r>
                    <w:rPr>
                      <w:color w:val="auto"/>
                      <w:sz w:val="18"/>
                      <w:szCs w:val="18"/>
                    </w:rPr>
                    <w:t>产生量</w:t>
                  </w:r>
                </w:p>
              </w:tc>
              <w:tc>
                <w:tcPr>
                  <w:tcW w:w="1316" w:type="dxa"/>
                  <w:gridSpan w:val="2"/>
                  <w:vAlign w:val="center"/>
                </w:tcPr>
                <w:p w14:paraId="2B475A78">
                  <w:pPr>
                    <w:jc w:val="center"/>
                    <w:rPr>
                      <w:color w:val="auto"/>
                      <w:sz w:val="18"/>
                      <w:szCs w:val="18"/>
                    </w:rPr>
                  </w:pPr>
                  <w:r>
                    <w:rPr>
                      <w:color w:val="auto"/>
                      <w:sz w:val="18"/>
                      <w:szCs w:val="18"/>
                    </w:rPr>
                    <w:t>处置措施</w:t>
                  </w:r>
                </w:p>
              </w:tc>
              <w:tc>
                <w:tcPr>
                  <w:tcW w:w="1900" w:type="dxa"/>
                  <w:vMerge w:val="restart"/>
                  <w:vAlign w:val="center"/>
                </w:tcPr>
                <w:p w14:paraId="5B0D9E90">
                  <w:pPr>
                    <w:jc w:val="center"/>
                    <w:rPr>
                      <w:color w:val="auto"/>
                      <w:sz w:val="18"/>
                      <w:szCs w:val="18"/>
                    </w:rPr>
                  </w:pPr>
                  <w:r>
                    <w:rPr>
                      <w:color w:val="auto"/>
                      <w:sz w:val="18"/>
                      <w:szCs w:val="18"/>
                    </w:rPr>
                    <w:t>最终去向</w:t>
                  </w:r>
                </w:p>
              </w:tc>
            </w:tr>
            <w:tr w14:paraId="0C4584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continue"/>
                  <w:vAlign w:val="center"/>
                </w:tcPr>
                <w:p w14:paraId="314BBCD3">
                  <w:pPr>
                    <w:jc w:val="center"/>
                    <w:rPr>
                      <w:color w:val="auto"/>
                      <w:sz w:val="18"/>
                      <w:szCs w:val="18"/>
                    </w:rPr>
                  </w:pPr>
                </w:p>
              </w:tc>
              <w:tc>
                <w:tcPr>
                  <w:tcW w:w="784" w:type="dxa"/>
                  <w:vMerge w:val="continue"/>
                  <w:vAlign w:val="center"/>
                </w:tcPr>
                <w:p w14:paraId="4694B9A6">
                  <w:pPr>
                    <w:jc w:val="center"/>
                    <w:rPr>
                      <w:color w:val="auto"/>
                      <w:sz w:val="18"/>
                      <w:szCs w:val="18"/>
                    </w:rPr>
                  </w:pPr>
                </w:p>
              </w:tc>
              <w:tc>
                <w:tcPr>
                  <w:tcW w:w="683" w:type="dxa"/>
                  <w:vMerge w:val="continue"/>
                  <w:vAlign w:val="center"/>
                </w:tcPr>
                <w:p w14:paraId="78B2C342">
                  <w:pPr>
                    <w:jc w:val="center"/>
                    <w:rPr>
                      <w:color w:val="auto"/>
                      <w:sz w:val="18"/>
                      <w:szCs w:val="18"/>
                    </w:rPr>
                  </w:pPr>
                </w:p>
              </w:tc>
              <w:tc>
                <w:tcPr>
                  <w:tcW w:w="860" w:type="dxa"/>
                  <w:vMerge w:val="continue"/>
                  <w:vAlign w:val="center"/>
                </w:tcPr>
                <w:p w14:paraId="58E6C142">
                  <w:pPr>
                    <w:jc w:val="center"/>
                    <w:rPr>
                      <w:color w:val="auto"/>
                      <w:sz w:val="18"/>
                      <w:szCs w:val="18"/>
                    </w:rPr>
                  </w:pPr>
                </w:p>
              </w:tc>
              <w:tc>
                <w:tcPr>
                  <w:tcW w:w="1098" w:type="dxa"/>
                  <w:vAlign w:val="center"/>
                </w:tcPr>
                <w:p w14:paraId="7C541E5E">
                  <w:pPr>
                    <w:jc w:val="center"/>
                    <w:rPr>
                      <w:color w:val="auto"/>
                      <w:sz w:val="18"/>
                      <w:szCs w:val="18"/>
                    </w:rPr>
                  </w:pPr>
                  <w:r>
                    <w:rPr>
                      <w:color w:val="auto"/>
                      <w:sz w:val="18"/>
                      <w:szCs w:val="18"/>
                    </w:rPr>
                    <w:t>核算方法</w:t>
                  </w:r>
                </w:p>
              </w:tc>
              <w:tc>
                <w:tcPr>
                  <w:tcW w:w="900" w:type="dxa"/>
                  <w:vAlign w:val="center"/>
                </w:tcPr>
                <w:p w14:paraId="4FE71C3B">
                  <w:pPr>
                    <w:autoSpaceDE w:val="0"/>
                    <w:autoSpaceDN w:val="0"/>
                    <w:jc w:val="center"/>
                    <w:rPr>
                      <w:color w:val="auto"/>
                      <w:sz w:val="18"/>
                      <w:szCs w:val="18"/>
                    </w:rPr>
                  </w:pPr>
                  <w:r>
                    <w:rPr>
                      <w:color w:val="auto"/>
                      <w:sz w:val="18"/>
                      <w:szCs w:val="18"/>
                    </w:rPr>
                    <w:t>产生量（t/a）</w:t>
                  </w:r>
                </w:p>
              </w:tc>
              <w:tc>
                <w:tcPr>
                  <w:tcW w:w="409" w:type="dxa"/>
                  <w:vAlign w:val="center"/>
                </w:tcPr>
                <w:p w14:paraId="6FFAD56A">
                  <w:pPr>
                    <w:jc w:val="center"/>
                    <w:rPr>
                      <w:color w:val="auto"/>
                      <w:sz w:val="18"/>
                      <w:szCs w:val="18"/>
                    </w:rPr>
                  </w:pPr>
                  <w:r>
                    <w:rPr>
                      <w:color w:val="auto"/>
                      <w:sz w:val="18"/>
                      <w:szCs w:val="18"/>
                    </w:rPr>
                    <w:t>工艺</w:t>
                  </w:r>
                </w:p>
              </w:tc>
              <w:tc>
                <w:tcPr>
                  <w:tcW w:w="907" w:type="dxa"/>
                  <w:vAlign w:val="center"/>
                </w:tcPr>
                <w:p w14:paraId="7B6843E6">
                  <w:pPr>
                    <w:autoSpaceDE w:val="0"/>
                    <w:autoSpaceDN w:val="0"/>
                    <w:jc w:val="center"/>
                    <w:rPr>
                      <w:color w:val="auto"/>
                      <w:sz w:val="18"/>
                      <w:szCs w:val="18"/>
                    </w:rPr>
                  </w:pPr>
                  <w:r>
                    <w:rPr>
                      <w:color w:val="auto"/>
                      <w:sz w:val="18"/>
                      <w:szCs w:val="18"/>
                    </w:rPr>
                    <w:t>处置量（t/a）</w:t>
                  </w:r>
                </w:p>
              </w:tc>
              <w:tc>
                <w:tcPr>
                  <w:tcW w:w="1900" w:type="dxa"/>
                  <w:vMerge w:val="continue"/>
                  <w:vAlign w:val="center"/>
                </w:tcPr>
                <w:p w14:paraId="52A473F3">
                  <w:pPr>
                    <w:jc w:val="center"/>
                    <w:rPr>
                      <w:color w:val="auto"/>
                      <w:sz w:val="18"/>
                      <w:szCs w:val="18"/>
                    </w:rPr>
                  </w:pPr>
                </w:p>
              </w:tc>
            </w:tr>
            <w:tr w14:paraId="118271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restart"/>
                  <w:vAlign w:val="center"/>
                </w:tcPr>
                <w:p w14:paraId="447E4198">
                  <w:pPr>
                    <w:jc w:val="center"/>
                    <w:rPr>
                      <w:color w:val="auto"/>
                      <w:sz w:val="18"/>
                      <w:szCs w:val="18"/>
                    </w:rPr>
                  </w:pPr>
                  <w:r>
                    <w:rPr>
                      <w:color w:val="auto"/>
                      <w:sz w:val="18"/>
                      <w:szCs w:val="18"/>
                    </w:rPr>
                    <w:t>筛分工序</w:t>
                  </w:r>
                </w:p>
              </w:tc>
              <w:tc>
                <w:tcPr>
                  <w:tcW w:w="784" w:type="dxa"/>
                  <w:vAlign w:val="center"/>
                </w:tcPr>
                <w:p w14:paraId="59486293">
                  <w:pPr>
                    <w:jc w:val="center"/>
                    <w:rPr>
                      <w:color w:val="auto"/>
                      <w:sz w:val="18"/>
                      <w:szCs w:val="18"/>
                    </w:rPr>
                  </w:pPr>
                  <w:r>
                    <w:rPr>
                      <w:color w:val="auto"/>
                      <w:sz w:val="18"/>
                      <w:szCs w:val="18"/>
                    </w:rPr>
                    <w:t>筛分杂质</w:t>
                  </w:r>
                </w:p>
              </w:tc>
              <w:tc>
                <w:tcPr>
                  <w:tcW w:w="683" w:type="dxa"/>
                  <w:vAlign w:val="center"/>
                </w:tcPr>
                <w:p w14:paraId="40153506">
                  <w:pPr>
                    <w:jc w:val="center"/>
                    <w:rPr>
                      <w:color w:val="auto"/>
                      <w:sz w:val="18"/>
                      <w:szCs w:val="18"/>
                    </w:rPr>
                  </w:pPr>
                  <w:r>
                    <w:rPr>
                      <w:color w:val="auto"/>
                      <w:sz w:val="18"/>
                      <w:szCs w:val="18"/>
                    </w:rPr>
                    <w:t>一般工业固体废物</w:t>
                  </w:r>
                </w:p>
              </w:tc>
              <w:tc>
                <w:tcPr>
                  <w:tcW w:w="860" w:type="dxa"/>
                  <w:vAlign w:val="center"/>
                </w:tcPr>
                <w:p w14:paraId="65DDC3F2">
                  <w:pPr>
                    <w:jc w:val="center"/>
                    <w:rPr>
                      <w:color w:val="auto"/>
                      <w:sz w:val="18"/>
                      <w:szCs w:val="18"/>
                    </w:rPr>
                  </w:pPr>
                  <w:r>
                    <w:rPr>
                      <w:color w:val="auto"/>
                      <w:sz w:val="18"/>
                      <w:szCs w:val="18"/>
                    </w:rPr>
                    <w:t>900-099-S59</w:t>
                  </w:r>
                </w:p>
              </w:tc>
              <w:tc>
                <w:tcPr>
                  <w:tcW w:w="1098" w:type="dxa"/>
                  <w:vAlign w:val="center"/>
                </w:tcPr>
                <w:p w14:paraId="0C4B513B">
                  <w:pPr>
                    <w:jc w:val="center"/>
                    <w:rPr>
                      <w:color w:val="auto"/>
                      <w:sz w:val="18"/>
                      <w:szCs w:val="18"/>
                    </w:rPr>
                  </w:pPr>
                  <w:r>
                    <w:rPr>
                      <w:color w:val="auto"/>
                      <w:sz w:val="18"/>
                      <w:szCs w:val="18"/>
                    </w:rPr>
                    <w:t>类比法</w:t>
                  </w:r>
                </w:p>
              </w:tc>
              <w:tc>
                <w:tcPr>
                  <w:tcW w:w="900" w:type="dxa"/>
                  <w:vAlign w:val="center"/>
                </w:tcPr>
                <w:p w14:paraId="5C31A230">
                  <w:pPr>
                    <w:jc w:val="center"/>
                    <w:rPr>
                      <w:color w:val="auto"/>
                      <w:kern w:val="0"/>
                      <w:sz w:val="18"/>
                      <w:szCs w:val="18"/>
                      <w:lang w:bidi="ar"/>
                    </w:rPr>
                  </w:pPr>
                  <w:r>
                    <w:rPr>
                      <w:rFonts w:hint="eastAsia"/>
                      <w:color w:val="auto"/>
                      <w:kern w:val="0"/>
                      <w:sz w:val="18"/>
                      <w:szCs w:val="18"/>
                      <w:lang w:bidi="ar"/>
                    </w:rPr>
                    <w:t>20</w:t>
                  </w:r>
                </w:p>
              </w:tc>
              <w:tc>
                <w:tcPr>
                  <w:tcW w:w="409" w:type="dxa"/>
                  <w:vMerge w:val="restart"/>
                  <w:vAlign w:val="center"/>
                </w:tcPr>
                <w:p w14:paraId="3CC52015">
                  <w:pPr>
                    <w:jc w:val="center"/>
                    <w:rPr>
                      <w:color w:val="auto"/>
                      <w:sz w:val="18"/>
                      <w:szCs w:val="18"/>
                    </w:rPr>
                  </w:pPr>
                  <w:r>
                    <w:rPr>
                      <w:color w:val="auto"/>
                      <w:sz w:val="18"/>
                      <w:szCs w:val="18"/>
                    </w:rPr>
                    <w:t>集中收集</w:t>
                  </w:r>
                </w:p>
              </w:tc>
              <w:tc>
                <w:tcPr>
                  <w:tcW w:w="907" w:type="dxa"/>
                  <w:vAlign w:val="center"/>
                </w:tcPr>
                <w:p w14:paraId="71432776">
                  <w:pPr>
                    <w:jc w:val="center"/>
                    <w:rPr>
                      <w:color w:val="auto"/>
                      <w:kern w:val="0"/>
                      <w:sz w:val="18"/>
                      <w:szCs w:val="18"/>
                      <w:lang w:bidi="ar"/>
                    </w:rPr>
                  </w:pPr>
                  <w:r>
                    <w:rPr>
                      <w:rFonts w:hint="eastAsia"/>
                      <w:color w:val="auto"/>
                      <w:kern w:val="0"/>
                      <w:sz w:val="18"/>
                      <w:szCs w:val="18"/>
                      <w:lang w:bidi="ar"/>
                    </w:rPr>
                    <w:t>20</w:t>
                  </w:r>
                </w:p>
              </w:tc>
              <w:tc>
                <w:tcPr>
                  <w:tcW w:w="1900" w:type="dxa"/>
                  <w:vAlign w:val="center"/>
                </w:tcPr>
                <w:p w14:paraId="2816C008">
                  <w:pPr>
                    <w:jc w:val="center"/>
                    <w:rPr>
                      <w:rFonts w:hint="default" w:eastAsia="宋体"/>
                      <w:color w:val="auto"/>
                      <w:kern w:val="0"/>
                      <w:sz w:val="18"/>
                      <w:szCs w:val="18"/>
                      <w:lang w:val="en-US" w:eastAsia="zh-CN" w:bidi="ar"/>
                    </w:rPr>
                  </w:pPr>
                  <w:r>
                    <w:rPr>
                      <w:rFonts w:hint="eastAsia"/>
                      <w:color w:val="auto"/>
                      <w:kern w:val="0"/>
                      <w:sz w:val="18"/>
                      <w:szCs w:val="18"/>
                      <w:lang w:val="en-US" w:eastAsia="zh-CN" w:bidi="ar"/>
                    </w:rPr>
                    <w:t>外售至砖厂</w:t>
                  </w:r>
                </w:p>
              </w:tc>
            </w:tr>
            <w:tr w14:paraId="53C3C9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continue"/>
                  <w:vAlign w:val="center"/>
                </w:tcPr>
                <w:p w14:paraId="66AF5D97">
                  <w:pPr>
                    <w:jc w:val="center"/>
                    <w:rPr>
                      <w:color w:val="auto"/>
                      <w:sz w:val="18"/>
                      <w:szCs w:val="18"/>
                    </w:rPr>
                  </w:pPr>
                </w:p>
              </w:tc>
              <w:tc>
                <w:tcPr>
                  <w:tcW w:w="784" w:type="dxa"/>
                  <w:vAlign w:val="center"/>
                </w:tcPr>
                <w:p w14:paraId="4341B8E1">
                  <w:pPr>
                    <w:jc w:val="center"/>
                    <w:rPr>
                      <w:color w:val="auto"/>
                      <w:sz w:val="18"/>
                      <w:szCs w:val="18"/>
                    </w:rPr>
                  </w:pPr>
                  <w:r>
                    <w:rPr>
                      <w:rFonts w:hint="eastAsia"/>
                      <w:color w:val="auto"/>
                      <w:sz w:val="18"/>
                      <w:szCs w:val="18"/>
                    </w:rPr>
                    <w:t>筛分收尘</w:t>
                  </w:r>
                </w:p>
              </w:tc>
              <w:tc>
                <w:tcPr>
                  <w:tcW w:w="683" w:type="dxa"/>
                  <w:vAlign w:val="center"/>
                </w:tcPr>
                <w:p w14:paraId="7F7F0C71">
                  <w:pPr>
                    <w:jc w:val="center"/>
                    <w:rPr>
                      <w:color w:val="auto"/>
                      <w:sz w:val="18"/>
                      <w:szCs w:val="18"/>
                    </w:rPr>
                  </w:pPr>
                  <w:r>
                    <w:rPr>
                      <w:color w:val="auto"/>
                      <w:sz w:val="18"/>
                      <w:szCs w:val="18"/>
                    </w:rPr>
                    <w:t>一般工业固体废物</w:t>
                  </w:r>
                </w:p>
              </w:tc>
              <w:tc>
                <w:tcPr>
                  <w:tcW w:w="860" w:type="dxa"/>
                  <w:vAlign w:val="center"/>
                </w:tcPr>
                <w:p w14:paraId="4E224F11">
                  <w:pPr>
                    <w:jc w:val="center"/>
                    <w:rPr>
                      <w:color w:val="auto"/>
                      <w:sz w:val="18"/>
                      <w:szCs w:val="18"/>
                    </w:rPr>
                  </w:pPr>
                  <w:r>
                    <w:rPr>
                      <w:color w:val="auto"/>
                      <w:sz w:val="18"/>
                      <w:szCs w:val="18"/>
                    </w:rPr>
                    <w:t>900-099-S59</w:t>
                  </w:r>
                </w:p>
              </w:tc>
              <w:tc>
                <w:tcPr>
                  <w:tcW w:w="1098" w:type="dxa"/>
                  <w:vAlign w:val="center"/>
                </w:tcPr>
                <w:p w14:paraId="01E24AE9">
                  <w:pPr>
                    <w:jc w:val="center"/>
                    <w:rPr>
                      <w:color w:val="auto"/>
                      <w:sz w:val="18"/>
                      <w:szCs w:val="18"/>
                    </w:rPr>
                  </w:pPr>
                  <w:r>
                    <w:rPr>
                      <w:color w:val="auto"/>
                      <w:sz w:val="18"/>
                      <w:szCs w:val="18"/>
                    </w:rPr>
                    <w:t>类比法</w:t>
                  </w:r>
                </w:p>
              </w:tc>
              <w:tc>
                <w:tcPr>
                  <w:tcW w:w="900" w:type="dxa"/>
                  <w:vAlign w:val="center"/>
                </w:tcPr>
                <w:p w14:paraId="630D7F86">
                  <w:pPr>
                    <w:jc w:val="center"/>
                    <w:rPr>
                      <w:rFonts w:hint="default" w:eastAsia="宋体"/>
                      <w:color w:val="auto"/>
                      <w:kern w:val="0"/>
                      <w:sz w:val="18"/>
                      <w:szCs w:val="18"/>
                      <w:lang w:val="en-US" w:eastAsia="zh-CN" w:bidi="ar"/>
                    </w:rPr>
                  </w:pPr>
                  <w:r>
                    <w:rPr>
                      <w:rFonts w:hint="eastAsia"/>
                      <w:color w:val="auto"/>
                      <w:kern w:val="0"/>
                      <w:sz w:val="18"/>
                      <w:szCs w:val="18"/>
                      <w:lang w:val="en-US" w:eastAsia="zh-CN" w:bidi="ar"/>
                    </w:rPr>
                    <w:t>2.723‬</w:t>
                  </w:r>
                </w:p>
              </w:tc>
              <w:tc>
                <w:tcPr>
                  <w:tcW w:w="409" w:type="dxa"/>
                  <w:vMerge w:val="continue"/>
                  <w:vAlign w:val="center"/>
                </w:tcPr>
                <w:p w14:paraId="367DB9D2">
                  <w:pPr>
                    <w:jc w:val="center"/>
                    <w:rPr>
                      <w:color w:val="auto"/>
                      <w:sz w:val="18"/>
                      <w:szCs w:val="18"/>
                    </w:rPr>
                  </w:pPr>
                </w:p>
              </w:tc>
              <w:tc>
                <w:tcPr>
                  <w:tcW w:w="907" w:type="dxa"/>
                  <w:vAlign w:val="center"/>
                </w:tcPr>
                <w:p w14:paraId="088CC41A">
                  <w:pPr>
                    <w:jc w:val="center"/>
                    <w:rPr>
                      <w:rFonts w:hint="default" w:eastAsia="宋体"/>
                      <w:color w:val="auto"/>
                      <w:kern w:val="0"/>
                      <w:sz w:val="18"/>
                      <w:szCs w:val="18"/>
                      <w:lang w:val="en-US" w:eastAsia="zh-CN" w:bidi="ar"/>
                    </w:rPr>
                  </w:pPr>
                  <w:r>
                    <w:rPr>
                      <w:rFonts w:hint="eastAsia"/>
                      <w:color w:val="auto"/>
                      <w:kern w:val="0"/>
                      <w:sz w:val="18"/>
                      <w:szCs w:val="18"/>
                      <w:lang w:val="en-US" w:eastAsia="zh-CN" w:bidi="ar"/>
                    </w:rPr>
                    <w:t>2.723‬</w:t>
                  </w:r>
                </w:p>
              </w:tc>
              <w:tc>
                <w:tcPr>
                  <w:tcW w:w="1900" w:type="dxa"/>
                  <w:vAlign w:val="center"/>
                </w:tcPr>
                <w:p w14:paraId="64A9B2BB">
                  <w:pPr>
                    <w:jc w:val="center"/>
                    <w:rPr>
                      <w:color w:val="auto"/>
                      <w:kern w:val="0"/>
                      <w:sz w:val="18"/>
                      <w:szCs w:val="18"/>
                      <w:lang w:bidi="ar"/>
                    </w:rPr>
                  </w:pPr>
                  <w:r>
                    <w:rPr>
                      <w:rFonts w:hint="eastAsia"/>
                      <w:color w:val="auto"/>
                      <w:sz w:val="18"/>
                      <w:szCs w:val="18"/>
                    </w:rPr>
                    <w:t>外售至肥料厂</w:t>
                  </w:r>
                </w:p>
              </w:tc>
            </w:tr>
            <w:tr w14:paraId="0051D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restart"/>
                  <w:vAlign w:val="center"/>
                </w:tcPr>
                <w:p w14:paraId="568119A4">
                  <w:pPr>
                    <w:jc w:val="center"/>
                    <w:rPr>
                      <w:color w:val="auto"/>
                      <w:sz w:val="18"/>
                      <w:szCs w:val="18"/>
                    </w:rPr>
                  </w:pPr>
                  <w:r>
                    <w:rPr>
                      <w:color w:val="auto"/>
                      <w:sz w:val="18"/>
                      <w:szCs w:val="18"/>
                    </w:rPr>
                    <w:t>热风炉除尘器</w:t>
                  </w:r>
                </w:p>
              </w:tc>
              <w:tc>
                <w:tcPr>
                  <w:tcW w:w="784" w:type="dxa"/>
                  <w:vAlign w:val="center"/>
                </w:tcPr>
                <w:p w14:paraId="4F44A15C">
                  <w:pPr>
                    <w:jc w:val="center"/>
                    <w:rPr>
                      <w:color w:val="auto"/>
                      <w:sz w:val="18"/>
                      <w:szCs w:val="18"/>
                    </w:rPr>
                  </w:pPr>
                  <w:r>
                    <w:rPr>
                      <w:color w:val="auto"/>
                      <w:sz w:val="18"/>
                      <w:szCs w:val="18"/>
                    </w:rPr>
                    <w:t>废布袋</w:t>
                  </w:r>
                </w:p>
              </w:tc>
              <w:tc>
                <w:tcPr>
                  <w:tcW w:w="683" w:type="dxa"/>
                  <w:vAlign w:val="center"/>
                </w:tcPr>
                <w:p w14:paraId="10B0BDEB">
                  <w:pPr>
                    <w:jc w:val="center"/>
                    <w:rPr>
                      <w:color w:val="auto"/>
                      <w:sz w:val="18"/>
                      <w:szCs w:val="18"/>
                    </w:rPr>
                  </w:pPr>
                  <w:r>
                    <w:rPr>
                      <w:color w:val="auto"/>
                      <w:sz w:val="18"/>
                      <w:szCs w:val="18"/>
                    </w:rPr>
                    <w:t>一般工业固体废物</w:t>
                  </w:r>
                </w:p>
              </w:tc>
              <w:tc>
                <w:tcPr>
                  <w:tcW w:w="860" w:type="dxa"/>
                  <w:vAlign w:val="center"/>
                </w:tcPr>
                <w:p w14:paraId="52856537">
                  <w:pPr>
                    <w:jc w:val="center"/>
                    <w:rPr>
                      <w:color w:val="auto"/>
                      <w:sz w:val="18"/>
                      <w:szCs w:val="18"/>
                    </w:rPr>
                  </w:pPr>
                  <w:r>
                    <w:rPr>
                      <w:color w:val="auto"/>
                      <w:sz w:val="18"/>
                      <w:szCs w:val="18"/>
                    </w:rPr>
                    <w:t>900-099-S59</w:t>
                  </w:r>
                </w:p>
              </w:tc>
              <w:tc>
                <w:tcPr>
                  <w:tcW w:w="1098" w:type="dxa"/>
                  <w:vAlign w:val="center"/>
                </w:tcPr>
                <w:p w14:paraId="76DC0DC4">
                  <w:pPr>
                    <w:jc w:val="center"/>
                    <w:rPr>
                      <w:color w:val="auto"/>
                      <w:sz w:val="18"/>
                      <w:szCs w:val="18"/>
                    </w:rPr>
                  </w:pPr>
                  <w:r>
                    <w:rPr>
                      <w:color w:val="auto"/>
                      <w:sz w:val="18"/>
                      <w:szCs w:val="18"/>
                    </w:rPr>
                    <w:t>类比法</w:t>
                  </w:r>
                </w:p>
              </w:tc>
              <w:tc>
                <w:tcPr>
                  <w:tcW w:w="900" w:type="dxa"/>
                  <w:vAlign w:val="center"/>
                </w:tcPr>
                <w:p w14:paraId="03ECDB22">
                  <w:pPr>
                    <w:jc w:val="center"/>
                    <w:rPr>
                      <w:color w:val="auto"/>
                      <w:kern w:val="0"/>
                      <w:sz w:val="18"/>
                      <w:szCs w:val="18"/>
                      <w:lang w:bidi="ar"/>
                    </w:rPr>
                  </w:pPr>
                  <w:r>
                    <w:rPr>
                      <w:rFonts w:hint="eastAsia"/>
                      <w:color w:val="auto"/>
                      <w:kern w:val="0"/>
                      <w:sz w:val="18"/>
                      <w:szCs w:val="18"/>
                      <w:lang w:bidi="ar"/>
                    </w:rPr>
                    <w:t>0.2</w:t>
                  </w:r>
                </w:p>
              </w:tc>
              <w:tc>
                <w:tcPr>
                  <w:tcW w:w="409" w:type="dxa"/>
                  <w:vMerge w:val="continue"/>
                  <w:vAlign w:val="center"/>
                </w:tcPr>
                <w:p w14:paraId="0993EA05">
                  <w:pPr>
                    <w:jc w:val="center"/>
                    <w:rPr>
                      <w:color w:val="auto"/>
                      <w:sz w:val="18"/>
                      <w:szCs w:val="18"/>
                    </w:rPr>
                  </w:pPr>
                </w:p>
              </w:tc>
              <w:tc>
                <w:tcPr>
                  <w:tcW w:w="907" w:type="dxa"/>
                  <w:vAlign w:val="center"/>
                </w:tcPr>
                <w:p w14:paraId="33DADE10">
                  <w:pPr>
                    <w:jc w:val="center"/>
                    <w:rPr>
                      <w:color w:val="auto"/>
                      <w:kern w:val="0"/>
                      <w:sz w:val="18"/>
                      <w:szCs w:val="18"/>
                      <w:lang w:bidi="ar"/>
                    </w:rPr>
                  </w:pPr>
                  <w:r>
                    <w:rPr>
                      <w:rFonts w:hint="eastAsia"/>
                      <w:color w:val="auto"/>
                      <w:kern w:val="0"/>
                      <w:sz w:val="18"/>
                      <w:szCs w:val="18"/>
                      <w:lang w:bidi="ar"/>
                    </w:rPr>
                    <w:t>0.2</w:t>
                  </w:r>
                </w:p>
              </w:tc>
              <w:tc>
                <w:tcPr>
                  <w:tcW w:w="1900" w:type="dxa"/>
                  <w:vAlign w:val="center"/>
                </w:tcPr>
                <w:p w14:paraId="2054C656">
                  <w:pPr>
                    <w:jc w:val="center"/>
                    <w:rPr>
                      <w:color w:val="auto"/>
                      <w:kern w:val="0"/>
                      <w:sz w:val="18"/>
                      <w:szCs w:val="18"/>
                      <w:lang w:bidi="ar"/>
                    </w:rPr>
                  </w:pPr>
                  <w:r>
                    <w:rPr>
                      <w:rFonts w:hint="eastAsia"/>
                      <w:color w:val="auto"/>
                      <w:kern w:val="0"/>
                      <w:sz w:val="18"/>
                      <w:szCs w:val="18"/>
                      <w:lang w:bidi="ar"/>
                    </w:rPr>
                    <w:t>厂家回收</w:t>
                  </w:r>
                </w:p>
              </w:tc>
            </w:tr>
            <w:tr w14:paraId="52C278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continue"/>
                  <w:vAlign w:val="center"/>
                </w:tcPr>
                <w:p w14:paraId="3F53D9CF">
                  <w:pPr>
                    <w:jc w:val="center"/>
                    <w:rPr>
                      <w:color w:val="auto"/>
                      <w:sz w:val="18"/>
                      <w:szCs w:val="18"/>
                    </w:rPr>
                  </w:pPr>
                </w:p>
              </w:tc>
              <w:tc>
                <w:tcPr>
                  <w:tcW w:w="784" w:type="dxa"/>
                  <w:shd w:val="clear" w:color="auto" w:fill="auto"/>
                  <w:vAlign w:val="center"/>
                </w:tcPr>
                <w:p w14:paraId="007A4C7C">
                  <w:pPr>
                    <w:jc w:val="center"/>
                    <w:rPr>
                      <w:color w:val="auto"/>
                      <w:sz w:val="18"/>
                      <w:szCs w:val="18"/>
                    </w:rPr>
                  </w:pPr>
                  <w:r>
                    <w:rPr>
                      <w:color w:val="auto"/>
                      <w:sz w:val="18"/>
                      <w:szCs w:val="18"/>
                    </w:rPr>
                    <w:t>收尘</w:t>
                  </w:r>
                </w:p>
              </w:tc>
              <w:tc>
                <w:tcPr>
                  <w:tcW w:w="683" w:type="dxa"/>
                  <w:shd w:val="clear" w:color="auto" w:fill="auto"/>
                  <w:vAlign w:val="center"/>
                </w:tcPr>
                <w:p w14:paraId="1ADD23DB">
                  <w:pPr>
                    <w:jc w:val="center"/>
                    <w:rPr>
                      <w:color w:val="auto"/>
                      <w:sz w:val="18"/>
                      <w:szCs w:val="18"/>
                    </w:rPr>
                  </w:pPr>
                  <w:r>
                    <w:rPr>
                      <w:color w:val="auto"/>
                      <w:sz w:val="18"/>
                      <w:szCs w:val="18"/>
                    </w:rPr>
                    <w:t>一般工业固体废物</w:t>
                  </w:r>
                </w:p>
              </w:tc>
              <w:tc>
                <w:tcPr>
                  <w:tcW w:w="860" w:type="dxa"/>
                  <w:shd w:val="clear" w:color="auto" w:fill="auto"/>
                  <w:vAlign w:val="center"/>
                </w:tcPr>
                <w:p w14:paraId="7F5BE9F0">
                  <w:pPr>
                    <w:jc w:val="center"/>
                    <w:rPr>
                      <w:color w:val="auto"/>
                      <w:sz w:val="18"/>
                      <w:szCs w:val="18"/>
                    </w:rPr>
                  </w:pPr>
                  <w:r>
                    <w:rPr>
                      <w:color w:val="auto"/>
                      <w:sz w:val="18"/>
                      <w:szCs w:val="18"/>
                    </w:rPr>
                    <w:t>900-099-S</w:t>
                  </w:r>
                  <w:r>
                    <w:rPr>
                      <w:rFonts w:hint="eastAsia"/>
                      <w:color w:val="auto"/>
                      <w:sz w:val="18"/>
                      <w:szCs w:val="18"/>
                    </w:rPr>
                    <w:t>03</w:t>
                  </w:r>
                </w:p>
              </w:tc>
              <w:tc>
                <w:tcPr>
                  <w:tcW w:w="1098" w:type="dxa"/>
                  <w:shd w:val="clear" w:color="auto" w:fill="auto"/>
                  <w:vAlign w:val="center"/>
                </w:tcPr>
                <w:p w14:paraId="07E22348">
                  <w:pPr>
                    <w:jc w:val="center"/>
                    <w:rPr>
                      <w:color w:val="auto"/>
                      <w:sz w:val="18"/>
                      <w:szCs w:val="18"/>
                    </w:rPr>
                  </w:pPr>
                  <w:r>
                    <w:rPr>
                      <w:color w:val="auto"/>
                      <w:sz w:val="18"/>
                      <w:szCs w:val="18"/>
                    </w:rPr>
                    <w:t>系数法</w:t>
                  </w:r>
                </w:p>
              </w:tc>
              <w:tc>
                <w:tcPr>
                  <w:tcW w:w="900" w:type="dxa"/>
                  <w:shd w:val="clear" w:color="auto" w:fill="auto"/>
                  <w:vAlign w:val="center"/>
                </w:tcPr>
                <w:p w14:paraId="489D0064">
                  <w:pPr>
                    <w:jc w:val="center"/>
                    <w:rPr>
                      <w:rFonts w:hint="eastAsia" w:eastAsia="宋体"/>
                      <w:color w:val="auto"/>
                      <w:kern w:val="0"/>
                      <w:sz w:val="18"/>
                      <w:szCs w:val="18"/>
                      <w:lang w:eastAsia="zh-CN" w:bidi="ar"/>
                    </w:rPr>
                  </w:pPr>
                  <w:r>
                    <w:rPr>
                      <w:rFonts w:hint="eastAsia"/>
                      <w:color w:val="auto"/>
                      <w:kern w:val="0"/>
                      <w:sz w:val="18"/>
                      <w:szCs w:val="18"/>
                      <w:lang w:eastAsia="zh-CN" w:bidi="ar"/>
                    </w:rPr>
                    <w:t>106.68</w:t>
                  </w:r>
                </w:p>
              </w:tc>
              <w:tc>
                <w:tcPr>
                  <w:tcW w:w="409" w:type="dxa"/>
                  <w:vMerge w:val="continue"/>
                  <w:shd w:val="clear" w:color="auto" w:fill="auto"/>
                  <w:vAlign w:val="center"/>
                </w:tcPr>
                <w:p w14:paraId="0820B5D5">
                  <w:pPr>
                    <w:jc w:val="center"/>
                    <w:rPr>
                      <w:color w:val="auto"/>
                      <w:sz w:val="18"/>
                      <w:szCs w:val="18"/>
                    </w:rPr>
                  </w:pPr>
                </w:p>
              </w:tc>
              <w:tc>
                <w:tcPr>
                  <w:tcW w:w="907" w:type="dxa"/>
                  <w:shd w:val="clear" w:color="auto" w:fill="auto"/>
                  <w:vAlign w:val="center"/>
                </w:tcPr>
                <w:p w14:paraId="55A61A95">
                  <w:pPr>
                    <w:jc w:val="center"/>
                    <w:rPr>
                      <w:color w:val="auto"/>
                      <w:kern w:val="0"/>
                      <w:sz w:val="18"/>
                      <w:szCs w:val="18"/>
                      <w:lang w:bidi="ar"/>
                    </w:rPr>
                  </w:pPr>
                  <w:r>
                    <w:rPr>
                      <w:rFonts w:hint="eastAsia"/>
                      <w:color w:val="auto"/>
                      <w:kern w:val="0"/>
                      <w:sz w:val="18"/>
                      <w:szCs w:val="18"/>
                      <w:lang w:eastAsia="zh-CN" w:bidi="ar"/>
                    </w:rPr>
                    <w:t>106.68</w:t>
                  </w:r>
                </w:p>
              </w:tc>
              <w:tc>
                <w:tcPr>
                  <w:tcW w:w="1900" w:type="dxa"/>
                  <w:shd w:val="clear" w:color="auto" w:fill="auto"/>
                  <w:vAlign w:val="center"/>
                </w:tcPr>
                <w:p w14:paraId="1FC4C657">
                  <w:pPr>
                    <w:jc w:val="center"/>
                    <w:rPr>
                      <w:color w:val="auto"/>
                      <w:kern w:val="0"/>
                      <w:sz w:val="18"/>
                      <w:szCs w:val="18"/>
                      <w:lang w:bidi="ar"/>
                    </w:rPr>
                  </w:pPr>
                  <w:r>
                    <w:rPr>
                      <w:rFonts w:hint="eastAsia"/>
                      <w:color w:val="auto"/>
                      <w:sz w:val="18"/>
                      <w:szCs w:val="18"/>
                    </w:rPr>
                    <w:t>外售至肥料厂</w:t>
                  </w:r>
                </w:p>
              </w:tc>
            </w:tr>
            <w:tr w14:paraId="0A422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97" w:type="dxa"/>
                  <w:vAlign w:val="center"/>
                </w:tcPr>
                <w:p w14:paraId="06D6DF32">
                  <w:pPr>
                    <w:jc w:val="center"/>
                    <w:rPr>
                      <w:color w:val="auto"/>
                      <w:sz w:val="18"/>
                      <w:szCs w:val="18"/>
                    </w:rPr>
                  </w:pPr>
                  <w:r>
                    <w:rPr>
                      <w:color w:val="auto"/>
                      <w:sz w:val="18"/>
                      <w:szCs w:val="18"/>
                    </w:rPr>
                    <w:t>热风炉</w:t>
                  </w:r>
                </w:p>
              </w:tc>
              <w:tc>
                <w:tcPr>
                  <w:tcW w:w="784" w:type="dxa"/>
                  <w:vAlign w:val="center"/>
                </w:tcPr>
                <w:p w14:paraId="11C294C7">
                  <w:pPr>
                    <w:jc w:val="center"/>
                    <w:rPr>
                      <w:color w:val="auto"/>
                      <w:sz w:val="18"/>
                      <w:szCs w:val="18"/>
                    </w:rPr>
                  </w:pPr>
                  <w:r>
                    <w:rPr>
                      <w:rFonts w:hint="eastAsia"/>
                      <w:color w:val="auto"/>
                      <w:sz w:val="18"/>
                      <w:szCs w:val="18"/>
                    </w:rPr>
                    <w:t>炉渣</w:t>
                  </w:r>
                </w:p>
              </w:tc>
              <w:tc>
                <w:tcPr>
                  <w:tcW w:w="683" w:type="dxa"/>
                  <w:vAlign w:val="center"/>
                </w:tcPr>
                <w:p w14:paraId="0CB50A16">
                  <w:pPr>
                    <w:jc w:val="center"/>
                    <w:rPr>
                      <w:color w:val="auto"/>
                      <w:sz w:val="18"/>
                      <w:szCs w:val="18"/>
                    </w:rPr>
                  </w:pPr>
                  <w:r>
                    <w:rPr>
                      <w:color w:val="auto"/>
                      <w:sz w:val="18"/>
                      <w:szCs w:val="18"/>
                    </w:rPr>
                    <w:t>一般工业固体废物</w:t>
                  </w:r>
                </w:p>
              </w:tc>
              <w:tc>
                <w:tcPr>
                  <w:tcW w:w="860" w:type="dxa"/>
                  <w:vAlign w:val="center"/>
                </w:tcPr>
                <w:p w14:paraId="17DE087F">
                  <w:pPr>
                    <w:jc w:val="center"/>
                    <w:rPr>
                      <w:color w:val="auto"/>
                      <w:sz w:val="18"/>
                      <w:szCs w:val="18"/>
                    </w:rPr>
                  </w:pPr>
                  <w:r>
                    <w:rPr>
                      <w:color w:val="auto"/>
                      <w:sz w:val="18"/>
                      <w:szCs w:val="18"/>
                    </w:rPr>
                    <w:t xml:space="preserve">900-099-S03 </w:t>
                  </w:r>
                </w:p>
              </w:tc>
              <w:tc>
                <w:tcPr>
                  <w:tcW w:w="1098" w:type="dxa"/>
                  <w:vAlign w:val="center"/>
                </w:tcPr>
                <w:p w14:paraId="1844EBFD">
                  <w:pPr>
                    <w:jc w:val="center"/>
                    <w:rPr>
                      <w:color w:val="auto"/>
                      <w:sz w:val="18"/>
                      <w:szCs w:val="18"/>
                    </w:rPr>
                  </w:pPr>
                  <w:r>
                    <w:rPr>
                      <w:color w:val="auto"/>
                      <w:sz w:val="18"/>
                      <w:szCs w:val="18"/>
                    </w:rPr>
                    <w:t>物料衡算</w:t>
                  </w:r>
                </w:p>
              </w:tc>
              <w:tc>
                <w:tcPr>
                  <w:tcW w:w="900" w:type="dxa"/>
                  <w:vAlign w:val="center"/>
                </w:tcPr>
                <w:p w14:paraId="1810FA4E">
                  <w:pPr>
                    <w:jc w:val="center"/>
                    <w:rPr>
                      <w:rFonts w:hint="eastAsia" w:eastAsia="宋体"/>
                      <w:color w:val="auto"/>
                      <w:kern w:val="0"/>
                      <w:sz w:val="18"/>
                      <w:szCs w:val="18"/>
                      <w:lang w:eastAsia="zh-CN" w:bidi="ar"/>
                    </w:rPr>
                  </w:pPr>
                  <w:r>
                    <w:rPr>
                      <w:rFonts w:hint="eastAsia"/>
                      <w:color w:val="auto"/>
                      <w:kern w:val="0"/>
                      <w:sz w:val="18"/>
                      <w:szCs w:val="18"/>
                      <w:lang w:eastAsia="zh-CN" w:bidi="ar"/>
                    </w:rPr>
                    <w:t>221.93</w:t>
                  </w:r>
                </w:p>
              </w:tc>
              <w:tc>
                <w:tcPr>
                  <w:tcW w:w="409" w:type="dxa"/>
                  <w:vMerge w:val="continue"/>
                  <w:vAlign w:val="center"/>
                </w:tcPr>
                <w:p w14:paraId="18EC9FDC">
                  <w:pPr>
                    <w:jc w:val="center"/>
                    <w:rPr>
                      <w:color w:val="auto"/>
                      <w:sz w:val="18"/>
                      <w:szCs w:val="18"/>
                    </w:rPr>
                  </w:pPr>
                </w:p>
              </w:tc>
              <w:tc>
                <w:tcPr>
                  <w:tcW w:w="907" w:type="dxa"/>
                  <w:vAlign w:val="center"/>
                </w:tcPr>
                <w:p w14:paraId="61B76254">
                  <w:pPr>
                    <w:jc w:val="center"/>
                    <w:rPr>
                      <w:rFonts w:hint="eastAsia" w:eastAsia="宋体"/>
                      <w:color w:val="auto"/>
                      <w:kern w:val="0"/>
                      <w:sz w:val="18"/>
                      <w:szCs w:val="18"/>
                      <w:lang w:eastAsia="zh-CN" w:bidi="ar"/>
                    </w:rPr>
                  </w:pPr>
                  <w:r>
                    <w:rPr>
                      <w:rFonts w:hint="eastAsia"/>
                      <w:color w:val="auto"/>
                      <w:kern w:val="0"/>
                      <w:sz w:val="18"/>
                      <w:szCs w:val="18"/>
                      <w:lang w:eastAsia="zh-CN" w:bidi="ar"/>
                    </w:rPr>
                    <w:t>221.93</w:t>
                  </w:r>
                </w:p>
              </w:tc>
              <w:tc>
                <w:tcPr>
                  <w:tcW w:w="1900" w:type="dxa"/>
                  <w:vAlign w:val="center"/>
                </w:tcPr>
                <w:p w14:paraId="48E50E85">
                  <w:pPr>
                    <w:jc w:val="center"/>
                    <w:rPr>
                      <w:color w:val="auto"/>
                      <w:kern w:val="0"/>
                      <w:sz w:val="18"/>
                      <w:szCs w:val="18"/>
                      <w:lang w:bidi="ar"/>
                    </w:rPr>
                  </w:pPr>
                  <w:r>
                    <w:rPr>
                      <w:rFonts w:hint="eastAsia"/>
                      <w:color w:val="auto"/>
                      <w:sz w:val="18"/>
                      <w:szCs w:val="18"/>
                    </w:rPr>
                    <w:t>外售至肥料厂</w:t>
                  </w:r>
                </w:p>
              </w:tc>
            </w:tr>
            <w:tr w14:paraId="5F429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97" w:type="dxa"/>
                  <w:vAlign w:val="center"/>
                </w:tcPr>
                <w:p w14:paraId="6FA2A049">
                  <w:pPr>
                    <w:jc w:val="center"/>
                    <w:rPr>
                      <w:color w:val="auto"/>
                      <w:sz w:val="18"/>
                      <w:szCs w:val="18"/>
                    </w:rPr>
                  </w:pPr>
                  <w:r>
                    <w:rPr>
                      <w:color w:val="auto"/>
                      <w:sz w:val="18"/>
                      <w:szCs w:val="18"/>
                    </w:rPr>
                    <w:t>烘干塔</w:t>
                  </w:r>
                </w:p>
              </w:tc>
              <w:tc>
                <w:tcPr>
                  <w:tcW w:w="784" w:type="dxa"/>
                  <w:vAlign w:val="center"/>
                </w:tcPr>
                <w:p w14:paraId="3F7CB9A2">
                  <w:pPr>
                    <w:jc w:val="center"/>
                    <w:rPr>
                      <w:color w:val="auto"/>
                      <w:sz w:val="18"/>
                      <w:szCs w:val="18"/>
                    </w:rPr>
                  </w:pPr>
                  <w:r>
                    <w:rPr>
                      <w:color w:val="auto"/>
                      <w:sz w:val="18"/>
                      <w:szCs w:val="18"/>
                    </w:rPr>
                    <w:t>收尘</w:t>
                  </w:r>
                </w:p>
              </w:tc>
              <w:tc>
                <w:tcPr>
                  <w:tcW w:w="683" w:type="dxa"/>
                  <w:vAlign w:val="center"/>
                </w:tcPr>
                <w:p w14:paraId="7DB7A38F">
                  <w:pPr>
                    <w:jc w:val="center"/>
                    <w:rPr>
                      <w:color w:val="auto"/>
                      <w:sz w:val="18"/>
                      <w:szCs w:val="18"/>
                    </w:rPr>
                  </w:pPr>
                  <w:r>
                    <w:rPr>
                      <w:color w:val="auto"/>
                      <w:sz w:val="18"/>
                      <w:szCs w:val="18"/>
                    </w:rPr>
                    <w:t>一般工业固体废物</w:t>
                  </w:r>
                </w:p>
              </w:tc>
              <w:tc>
                <w:tcPr>
                  <w:tcW w:w="860" w:type="dxa"/>
                  <w:shd w:val="clear" w:color="auto" w:fill="auto"/>
                  <w:vAlign w:val="center"/>
                </w:tcPr>
                <w:p w14:paraId="5E5D5041">
                  <w:pPr>
                    <w:jc w:val="center"/>
                    <w:rPr>
                      <w:color w:val="auto"/>
                      <w:sz w:val="18"/>
                      <w:szCs w:val="18"/>
                    </w:rPr>
                  </w:pPr>
                  <w:r>
                    <w:rPr>
                      <w:color w:val="auto"/>
                      <w:sz w:val="18"/>
                      <w:szCs w:val="18"/>
                    </w:rPr>
                    <w:t>900-099-S</w:t>
                  </w:r>
                  <w:r>
                    <w:rPr>
                      <w:rFonts w:hint="eastAsia"/>
                      <w:color w:val="auto"/>
                      <w:sz w:val="18"/>
                      <w:szCs w:val="18"/>
                    </w:rPr>
                    <w:t>59</w:t>
                  </w:r>
                </w:p>
              </w:tc>
              <w:tc>
                <w:tcPr>
                  <w:tcW w:w="1098" w:type="dxa"/>
                  <w:shd w:val="clear" w:color="auto" w:fill="auto"/>
                  <w:vAlign w:val="center"/>
                </w:tcPr>
                <w:p w14:paraId="6202BE4E">
                  <w:pPr>
                    <w:jc w:val="center"/>
                    <w:rPr>
                      <w:color w:val="auto"/>
                      <w:sz w:val="18"/>
                      <w:szCs w:val="18"/>
                    </w:rPr>
                  </w:pPr>
                  <w:r>
                    <w:rPr>
                      <w:color w:val="auto"/>
                      <w:sz w:val="18"/>
                      <w:szCs w:val="18"/>
                    </w:rPr>
                    <w:t>系数法</w:t>
                  </w:r>
                </w:p>
              </w:tc>
              <w:tc>
                <w:tcPr>
                  <w:tcW w:w="900" w:type="dxa"/>
                  <w:shd w:val="clear" w:color="auto" w:fill="auto"/>
                  <w:vAlign w:val="center"/>
                </w:tcPr>
                <w:p w14:paraId="43A2755B">
                  <w:pPr>
                    <w:jc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1.65</w:t>
                  </w:r>
                </w:p>
              </w:tc>
              <w:tc>
                <w:tcPr>
                  <w:tcW w:w="409" w:type="dxa"/>
                  <w:vMerge w:val="continue"/>
                  <w:vAlign w:val="center"/>
                </w:tcPr>
                <w:p w14:paraId="11B869AD">
                  <w:pPr>
                    <w:jc w:val="center"/>
                    <w:rPr>
                      <w:color w:val="auto"/>
                      <w:sz w:val="18"/>
                      <w:szCs w:val="18"/>
                    </w:rPr>
                  </w:pPr>
                </w:p>
              </w:tc>
              <w:tc>
                <w:tcPr>
                  <w:tcW w:w="907" w:type="dxa"/>
                  <w:vAlign w:val="center"/>
                </w:tcPr>
                <w:p w14:paraId="5D5DD1DB">
                  <w:pPr>
                    <w:jc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1.65</w:t>
                  </w:r>
                </w:p>
              </w:tc>
              <w:tc>
                <w:tcPr>
                  <w:tcW w:w="1900" w:type="dxa"/>
                  <w:vAlign w:val="center"/>
                </w:tcPr>
                <w:p w14:paraId="19B8E43B">
                  <w:pPr>
                    <w:jc w:val="center"/>
                    <w:rPr>
                      <w:color w:val="auto"/>
                      <w:kern w:val="0"/>
                      <w:sz w:val="18"/>
                      <w:szCs w:val="18"/>
                      <w:lang w:bidi="ar"/>
                    </w:rPr>
                  </w:pPr>
                  <w:r>
                    <w:rPr>
                      <w:rFonts w:hint="eastAsia"/>
                      <w:color w:val="auto"/>
                      <w:sz w:val="18"/>
                      <w:szCs w:val="18"/>
                    </w:rPr>
                    <w:t>外售至肥料厂</w:t>
                  </w:r>
                </w:p>
              </w:tc>
            </w:tr>
            <w:tr w14:paraId="0D53C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97" w:type="dxa"/>
                  <w:vAlign w:val="center"/>
                </w:tcPr>
                <w:p w14:paraId="568DF39E">
                  <w:pPr>
                    <w:jc w:val="center"/>
                    <w:rPr>
                      <w:color w:val="auto"/>
                      <w:kern w:val="0"/>
                      <w:sz w:val="18"/>
                      <w:szCs w:val="18"/>
                      <w:lang w:bidi="ar"/>
                    </w:rPr>
                  </w:pPr>
                  <w:r>
                    <w:rPr>
                      <w:rFonts w:hint="eastAsia"/>
                      <w:color w:val="auto"/>
                      <w:kern w:val="0"/>
                      <w:sz w:val="18"/>
                      <w:szCs w:val="18"/>
                      <w:lang w:bidi="ar"/>
                    </w:rPr>
                    <w:t>生活垃圾</w:t>
                  </w:r>
                </w:p>
              </w:tc>
              <w:tc>
                <w:tcPr>
                  <w:tcW w:w="784" w:type="dxa"/>
                  <w:vAlign w:val="center"/>
                </w:tcPr>
                <w:p w14:paraId="6F49C344">
                  <w:pPr>
                    <w:jc w:val="center"/>
                    <w:rPr>
                      <w:color w:val="auto"/>
                      <w:kern w:val="0"/>
                      <w:sz w:val="18"/>
                      <w:szCs w:val="18"/>
                      <w:lang w:bidi="ar"/>
                    </w:rPr>
                  </w:pPr>
                  <w:r>
                    <w:rPr>
                      <w:rFonts w:hint="eastAsia"/>
                      <w:color w:val="auto"/>
                      <w:kern w:val="0"/>
                      <w:sz w:val="18"/>
                      <w:szCs w:val="18"/>
                      <w:lang w:bidi="ar"/>
                    </w:rPr>
                    <w:t>生活垃圾</w:t>
                  </w:r>
                </w:p>
              </w:tc>
              <w:tc>
                <w:tcPr>
                  <w:tcW w:w="683" w:type="dxa"/>
                  <w:vAlign w:val="center"/>
                </w:tcPr>
                <w:p w14:paraId="2C06CFC8">
                  <w:pPr>
                    <w:jc w:val="center"/>
                    <w:rPr>
                      <w:color w:val="auto"/>
                      <w:kern w:val="0"/>
                      <w:sz w:val="18"/>
                      <w:szCs w:val="18"/>
                      <w:lang w:bidi="ar"/>
                    </w:rPr>
                  </w:pPr>
                  <w:r>
                    <w:rPr>
                      <w:rFonts w:hint="eastAsia"/>
                      <w:color w:val="auto"/>
                      <w:kern w:val="0"/>
                      <w:sz w:val="18"/>
                      <w:szCs w:val="18"/>
                      <w:lang w:bidi="ar"/>
                    </w:rPr>
                    <w:t>-</w:t>
                  </w:r>
                </w:p>
              </w:tc>
              <w:tc>
                <w:tcPr>
                  <w:tcW w:w="860" w:type="dxa"/>
                  <w:vAlign w:val="center"/>
                </w:tcPr>
                <w:p w14:paraId="2C9B4056">
                  <w:pPr>
                    <w:jc w:val="center"/>
                    <w:rPr>
                      <w:color w:val="auto"/>
                      <w:kern w:val="0"/>
                      <w:sz w:val="18"/>
                      <w:szCs w:val="18"/>
                      <w:lang w:bidi="ar"/>
                    </w:rPr>
                  </w:pPr>
                  <w:r>
                    <w:rPr>
                      <w:rFonts w:hint="eastAsia"/>
                      <w:color w:val="auto"/>
                      <w:kern w:val="0"/>
                      <w:sz w:val="18"/>
                      <w:szCs w:val="18"/>
                      <w:lang w:bidi="ar"/>
                    </w:rPr>
                    <w:t>-</w:t>
                  </w:r>
                </w:p>
              </w:tc>
              <w:tc>
                <w:tcPr>
                  <w:tcW w:w="1098" w:type="dxa"/>
                  <w:vAlign w:val="center"/>
                </w:tcPr>
                <w:p w14:paraId="02BAB575">
                  <w:pPr>
                    <w:jc w:val="center"/>
                    <w:rPr>
                      <w:color w:val="auto"/>
                      <w:kern w:val="0"/>
                      <w:sz w:val="18"/>
                      <w:szCs w:val="18"/>
                      <w:lang w:bidi="ar"/>
                    </w:rPr>
                  </w:pPr>
                  <w:r>
                    <w:rPr>
                      <w:color w:val="auto"/>
                      <w:sz w:val="18"/>
                      <w:szCs w:val="18"/>
                    </w:rPr>
                    <w:t>系数法</w:t>
                  </w:r>
                </w:p>
              </w:tc>
              <w:tc>
                <w:tcPr>
                  <w:tcW w:w="900" w:type="dxa"/>
                  <w:vAlign w:val="center"/>
                </w:tcPr>
                <w:p w14:paraId="32458C36">
                  <w:pPr>
                    <w:jc w:val="center"/>
                    <w:rPr>
                      <w:color w:val="auto"/>
                      <w:kern w:val="0"/>
                      <w:sz w:val="18"/>
                      <w:szCs w:val="18"/>
                      <w:lang w:bidi="ar"/>
                    </w:rPr>
                  </w:pPr>
                  <w:r>
                    <w:rPr>
                      <w:rFonts w:hint="eastAsia"/>
                      <w:color w:val="auto"/>
                      <w:kern w:val="0"/>
                      <w:sz w:val="18"/>
                      <w:szCs w:val="18"/>
                      <w:lang w:bidi="ar"/>
                    </w:rPr>
                    <w:t>0.14</w:t>
                  </w:r>
                </w:p>
              </w:tc>
              <w:tc>
                <w:tcPr>
                  <w:tcW w:w="409" w:type="dxa"/>
                  <w:vAlign w:val="center"/>
                </w:tcPr>
                <w:p w14:paraId="66CA7EA5">
                  <w:pPr>
                    <w:jc w:val="center"/>
                    <w:rPr>
                      <w:color w:val="auto"/>
                      <w:kern w:val="0"/>
                      <w:sz w:val="18"/>
                      <w:szCs w:val="18"/>
                      <w:lang w:bidi="ar"/>
                    </w:rPr>
                  </w:pPr>
                  <w:r>
                    <w:rPr>
                      <w:color w:val="auto"/>
                      <w:sz w:val="18"/>
                      <w:szCs w:val="18"/>
                    </w:rPr>
                    <w:t>集中收集</w:t>
                  </w:r>
                </w:p>
              </w:tc>
              <w:tc>
                <w:tcPr>
                  <w:tcW w:w="907" w:type="dxa"/>
                  <w:vAlign w:val="center"/>
                </w:tcPr>
                <w:p w14:paraId="704E327E">
                  <w:pPr>
                    <w:jc w:val="center"/>
                    <w:rPr>
                      <w:color w:val="auto"/>
                      <w:kern w:val="0"/>
                      <w:sz w:val="18"/>
                      <w:szCs w:val="18"/>
                      <w:lang w:bidi="ar"/>
                    </w:rPr>
                  </w:pPr>
                  <w:r>
                    <w:rPr>
                      <w:rFonts w:hint="eastAsia"/>
                      <w:color w:val="auto"/>
                      <w:kern w:val="0"/>
                      <w:sz w:val="18"/>
                      <w:szCs w:val="18"/>
                      <w:lang w:bidi="ar"/>
                    </w:rPr>
                    <w:t>0.14</w:t>
                  </w:r>
                </w:p>
              </w:tc>
              <w:tc>
                <w:tcPr>
                  <w:tcW w:w="1900" w:type="dxa"/>
                  <w:vAlign w:val="center"/>
                </w:tcPr>
                <w:p w14:paraId="38C7A472">
                  <w:pPr>
                    <w:jc w:val="center"/>
                    <w:rPr>
                      <w:color w:val="auto"/>
                      <w:kern w:val="0"/>
                      <w:sz w:val="18"/>
                      <w:szCs w:val="18"/>
                      <w:lang w:bidi="ar"/>
                    </w:rPr>
                  </w:pPr>
                  <w:r>
                    <w:rPr>
                      <w:color w:val="auto"/>
                      <w:kern w:val="0"/>
                      <w:sz w:val="18"/>
                      <w:szCs w:val="18"/>
                      <w:lang w:bidi="ar"/>
                    </w:rPr>
                    <w:t>市政部门统一处理</w:t>
                  </w:r>
                </w:p>
              </w:tc>
            </w:tr>
          </w:tbl>
          <w:p w14:paraId="04ED038A">
            <w:pPr>
              <w:adjustRightInd w:val="0"/>
              <w:spacing w:line="360" w:lineRule="auto"/>
              <w:ind w:firstLine="480" w:firstLineChars="200"/>
              <w:rPr>
                <w:rFonts w:ascii="宋体" w:hAnsi="宋体" w:cs="宋体"/>
                <w:color w:val="auto"/>
                <w:sz w:val="24"/>
              </w:rPr>
            </w:pPr>
            <w:r>
              <w:rPr>
                <w:color w:val="auto"/>
                <w:sz w:val="24"/>
              </w:rPr>
              <w:t>本项目一般固体废物贮存过程应满足相应防渗漏、防雨淋、防扬尘等环境保护要求</w:t>
            </w:r>
            <w:r>
              <w:rPr>
                <w:rFonts w:hint="eastAsia"/>
                <w:color w:val="auto"/>
                <w:sz w:val="24"/>
              </w:rPr>
              <w:t>；</w:t>
            </w:r>
            <w:r>
              <w:rPr>
                <w:rFonts w:ascii="宋体" w:hAnsi="宋体" w:cs="宋体"/>
                <w:color w:val="auto"/>
                <w:sz w:val="24"/>
              </w:rPr>
              <w:t>委托利用严格执行国家固废管理相关规定，</w:t>
            </w:r>
            <w:r>
              <w:rPr>
                <w:rStyle w:val="38"/>
                <w:rFonts w:ascii="宋体" w:hAnsi="宋体" w:cs="宋体"/>
                <w:b w:val="0"/>
                <w:color w:val="auto"/>
                <w:sz w:val="24"/>
              </w:rPr>
              <w:t>核实受托方资质能力、签订规范合同、建立全过程台账、落实运输三防措施</w:t>
            </w:r>
            <w:r>
              <w:rPr>
                <w:rFonts w:ascii="宋体" w:hAnsi="宋体" w:cs="宋体"/>
                <w:color w:val="auto"/>
                <w:sz w:val="24"/>
              </w:rPr>
              <w:t>，确保全部合规利用，不造成二次污染。</w:t>
            </w:r>
          </w:p>
          <w:p w14:paraId="08193A71">
            <w:pPr>
              <w:adjustRightInd w:val="0"/>
              <w:spacing w:line="360" w:lineRule="auto"/>
              <w:ind w:firstLine="480" w:firstLineChars="200"/>
              <w:rPr>
                <w:color w:val="auto"/>
                <w:szCs w:val="24"/>
              </w:rPr>
            </w:pPr>
            <w:r>
              <w:rPr>
                <w:color w:val="auto"/>
                <w:sz w:val="24"/>
              </w:rPr>
              <w:t>综上所述，项目运营期间，所产生的固体废物做到及时收集，妥善处置，固体废物不会对外环境造成影响。</w:t>
            </w:r>
          </w:p>
        </w:tc>
      </w:tr>
    </w:tbl>
    <w:p w14:paraId="4094FC96">
      <w:pPr>
        <w:adjustRightInd w:val="0"/>
        <w:snapToGrid w:val="0"/>
        <w:spacing w:line="360" w:lineRule="auto"/>
        <w:rPr>
          <w:b/>
          <w:color w:val="auto"/>
          <w:kern w:val="0"/>
          <w:sz w:val="28"/>
          <w:szCs w:val="28"/>
        </w:rPr>
        <w:sectPr>
          <w:pgSz w:w="11907" w:h="16840"/>
          <w:pgMar w:top="1701" w:right="1531" w:bottom="2127" w:left="1531" w:header="851" w:footer="851" w:gutter="0"/>
          <w:cols w:space="720" w:num="1"/>
          <w:docGrid w:linePitch="312" w:charSpace="0"/>
        </w:sectPr>
      </w:pPr>
    </w:p>
    <w:p w14:paraId="1220306B">
      <w:pPr>
        <w:pStyle w:val="30"/>
        <w:jc w:val="center"/>
        <w:outlineLvl w:val="0"/>
        <w:rPr>
          <w:rFonts w:ascii="Times New Roman" w:hAnsi="Times New Roman"/>
          <w:snapToGrid w:val="0"/>
          <w:color w:val="auto"/>
          <w:sz w:val="30"/>
          <w:szCs w:val="30"/>
        </w:rPr>
      </w:pPr>
      <w:bookmarkStart w:id="13" w:name="_Toc18287"/>
      <w:bookmarkStart w:id="14" w:name="_Toc5918"/>
      <w:r>
        <w:rPr>
          <w:rFonts w:ascii="Times New Roman" w:hAnsi="Times New Roman"/>
          <w:snapToGrid w:val="0"/>
          <w:color w:val="auto"/>
          <w:sz w:val="30"/>
          <w:szCs w:val="30"/>
        </w:rPr>
        <w:t>五、</w:t>
      </w:r>
      <w:bookmarkStart w:id="15" w:name="_Hlk54167917"/>
      <w:r>
        <w:rPr>
          <w:rFonts w:ascii="Times New Roman" w:hAnsi="Times New Roman"/>
          <w:snapToGrid w:val="0"/>
          <w:color w:val="auto"/>
          <w:sz w:val="30"/>
          <w:szCs w:val="30"/>
        </w:rPr>
        <w:t>环境保护措施监督检查清单</w:t>
      </w:r>
      <w:bookmarkEnd w:id="13"/>
      <w:bookmarkEnd w:id="14"/>
      <w:bookmarkEnd w:id="15"/>
    </w:p>
    <w:tbl>
      <w:tblPr>
        <w:tblStyle w:val="35"/>
        <w:tblW w:w="88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617"/>
        <w:gridCol w:w="1552"/>
        <w:gridCol w:w="2111"/>
        <w:gridCol w:w="2516"/>
      </w:tblGrid>
      <w:tr w14:paraId="30BE98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tcBorders>
              <w:tl2br w:val="single" w:color="auto" w:sz="4" w:space="0"/>
            </w:tcBorders>
          </w:tcPr>
          <w:p w14:paraId="49720540">
            <w:pPr>
              <w:adjustRightInd w:val="0"/>
              <w:snapToGrid w:val="0"/>
              <w:jc w:val="right"/>
              <w:textAlignment w:val="center"/>
              <w:rPr>
                <w:color w:val="auto"/>
                <w:sz w:val="24"/>
              </w:rPr>
            </w:pPr>
            <w:r>
              <w:rPr>
                <w:color w:val="auto"/>
                <w:sz w:val="24"/>
              </w:rPr>
              <w:t>内容</w:t>
            </w:r>
          </w:p>
          <w:p w14:paraId="3716A43C">
            <w:pPr>
              <w:adjustRightInd w:val="0"/>
              <w:snapToGrid w:val="0"/>
              <w:textAlignment w:val="center"/>
              <w:rPr>
                <w:color w:val="auto"/>
                <w:sz w:val="24"/>
              </w:rPr>
            </w:pPr>
            <w:r>
              <w:rPr>
                <w:color w:val="auto"/>
                <w:sz w:val="24"/>
              </w:rPr>
              <w:t>要素</w:t>
            </w:r>
          </w:p>
        </w:tc>
        <w:tc>
          <w:tcPr>
            <w:tcW w:w="1617" w:type="dxa"/>
            <w:vAlign w:val="center"/>
          </w:tcPr>
          <w:p w14:paraId="38B90F8B">
            <w:pPr>
              <w:adjustRightInd w:val="0"/>
              <w:snapToGrid w:val="0"/>
              <w:jc w:val="center"/>
              <w:textAlignment w:val="center"/>
              <w:rPr>
                <w:color w:val="auto"/>
                <w:sz w:val="24"/>
              </w:rPr>
            </w:pPr>
            <w:r>
              <w:rPr>
                <w:color w:val="auto"/>
                <w:sz w:val="24"/>
              </w:rPr>
              <w:t>排放口(编号、</w:t>
            </w:r>
          </w:p>
          <w:p w14:paraId="589F0F40">
            <w:pPr>
              <w:adjustRightInd w:val="0"/>
              <w:snapToGrid w:val="0"/>
              <w:jc w:val="center"/>
              <w:textAlignment w:val="center"/>
              <w:rPr>
                <w:color w:val="auto"/>
                <w:sz w:val="24"/>
              </w:rPr>
            </w:pPr>
            <w:r>
              <w:rPr>
                <w:color w:val="auto"/>
                <w:sz w:val="24"/>
              </w:rPr>
              <w:t>名称)/污染源</w:t>
            </w:r>
          </w:p>
        </w:tc>
        <w:tc>
          <w:tcPr>
            <w:tcW w:w="1552" w:type="dxa"/>
            <w:vAlign w:val="center"/>
          </w:tcPr>
          <w:p w14:paraId="12A4F8EB">
            <w:pPr>
              <w:adjustRightInd w:val="0"/>
              <w:snapToGrid w:val="0"/>
              <w:jc w:val="center"/>
              <w:textAlignment w:val="center"/>
              <w:rPr>
                <w:color w:val="auto"/>
                <w:sz w:val="24"/>
              </w:rPr>
            </w:pPr>
            <w:r>
              <w:rPr>
                <w:color w:val="auto"/>
                <w:sz w:val="24"/>
              </w:rPr>
              <w:t>污染物项目</w:t>
            </w:r>
          </w:p>
        </w:tc>
        <w:tc>
          <w:tcPr>
            <w:tcW w:w="2111" w:type="dxa"/>
            <w:vAlign w:val="center"/>
          </w:tcPr>
          <w:p w14:paraId="00ED9571">
            <w:pPr>
              <w:adjustRightInd w:val="0"/>
              <w:snapToGrid w:val="0"/>
              <w:jc w:val="center"/>
              <w:textAlignment w:val="center"/>
              <w:rPr>
                <w:color w:val="auto"/>
                <w:sz w:val="24"/>
              </w:rPr>
            </w:pPr>
            <w:r>
              <w:rPr>
                <w:color w:val="auto"/>
                <w:sz w:val="24"/>
              </w:rPr>
              <w:t>环境保护措施</w:t>
            </w:r>
          </w:p>
        </w:tc>
        <w:tc>
          <w:tcPr>
            <w:tcW w:w="2516" w:type="dxa"/>
            <w:vAlign w:val="center"/>
          </w:tcPr>
          <w:p w14:paraId="117A9AB9">
            <w:pPr>
              <w:adjustRightInd w:val="0"/>
              <w:snapToGrid w:val="0"/>
              <w:jc w:val="center"/>
              <w:textAlignment w:val="center"/>
              <w:rPr>
                <w:color w:val="auto"/>
                <w:sz w:val="24"/>
              </w:rPr>
            </w:pPr>
            <w:r>
              <w:rPr>
                <w:color w:val="auto"/>
                <w:sz w:val="24"/>
              </w:rPr>
              <w:t>执行标准</w:t>
            </w:r>
          </w:p>
        </w:tc>
      </w:tr>
      <w:tr w14:paraId="108336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restart"/>
            <w:vAlign w:val="center"/>
          </w:tcPr>
          <w:p w14:paraId="7A512634">
            <w:pPr>
              <w:adjustRightInd w:val="0"/>
              <w:snapToGrid w:val="0"/>
              <w:jc w:val="center"/>
              <w:textAlignment w:val="center"/>
              <w:rPr>
                <w:color w:val="auto"/>
                <w:sz w:val="24"/>
              </w:rPr>
            </w:pPr>
            <w:r>
              <w:rPr>
                <w:color w:val="auto"/>
                <w:sz w:val="24"/>
              </w:rPr>
              <w:t>大气</w:t>
            </w:r>
          </w:p>
          <w:p w14:paraId="4B001370">
            <w:pPr>
              <w:adjustRightInd w:val="0"/>
              <w:snapToGrid w:val="0"/>
              <w:jc w:val="center"/>
              <w:textAlignment w:val="center"/>
              <w:rPr>
                <w:color w:val="auto"/>
                <w:sz w:val="24"/>
              </w:rPr>
            </w:pPr>
            <w:r>
              <w:rPr>
                <w:color w:val="auto"/>
                <w:sz w:val="24"/>
              </w:rPr>
              <w:t>环境</w:t>
            </w:r>
          </w:p>
        </w:tc>
        <w:tc>
          <w:tcPr>
            <w:tcW w:w="1617" w:type="dxa"/>
            <w:vMerge w:val="restart"/>
            <w:vAlign w:val="center"/>
          </w:tcPr>
          <w:p w14:paraId="01450225">
            <w:pPr>
              <w:pStyle w:val="59"/>
              <w:adjustRightInd w:val="0"/>
              <w:snapToGrid w:val="0"/>
              <w:spacing w:line="240" w:lineRule="auto"/>
              <w:rPr>
                <w:color w:val="auto"/>
                <w:sz w:val="24"/>
                <w:szCs w:val="24"/>
              </w:rPr>
            </w:pPr>
            <w:r>
              <w:rPr>
                <w:color w:val="auto"/>
                <w:sz w:val="24"/>
                <w:szCs w:val="24"/>
              </w:rPr>
              <w:t>热风炉</w:t>
            </w:r>
            <w:r>
              <w:rPr>
                <w:rFonts w:hint="eastAsia"/>
                <w:color w:val="auto"/>
                <w:sz w:val="24"/>
                <w:szCs w:val="24"/>
              </w:rPr>
              <w:t>（DA001）</w:t>
            </w:r>
          </w:p>
        </w:tc>
        <w:tc>
          <w:tcPr>
            <w:tcW w:w="1552" w:type="dxa"/>
            <w:vAlign w:val="center"/>
          </w:tcPr>
          <w:p w14:paraId="492EB3C7">
            <w:pPr>
              <w:widowControl/>
              <w:jc w:val="center"/>
              <w:textAlignment w:val="center"/>
              <w:rPr>
                <w:color w:val="auto"/>
                <w:kern w:val="0"/>
                <w:sz w:val="24"/>
                <w:lang w:bidi="ar"/>
              </w:rPr>
            </w:pPr>
            <w:r>
              <w:rPr>
                <w:color w:val="auto"/>
                <w:kern w:val="0"/>
                <w:sz w:val="24"/>
                <w:lang w:bidi="ar"/>
              </w:rPr>
              <w:t>颗粒物</w:t>
            </w:r>
          </w:p>
        </w:tc>
        <w:tc>
          <w:tcPr>
            <w:tcW w:w="2111" w:type="dxa"/>
            <w:vMerge w:val="restart"/>
            <w:vAlign w:val="center"/>
          </w:tcPr>
          <w:p w14:paraId="0DF34C32">
            <w:pPr>
              <w:pStyle w:val="83"/>
              <w:spacing w:line="240" w:lineRule="auto"/>
              <w:rPr>
                <w:color w:val="auto"/>
                <w:sz w:val="24"/>
                <w:szCs w:val="24"/>
              </w:rPr>
            </w:pPr>
            <w:r>
              <w:rPr>
                <w:rFonts w:hint="eastAsia"/>
                <w:color w:val="auto"/>
                <w:sz w:val="24"/>
                <w:szCs w:val="24"/>
              </w:rPr>
              <w:t>低氮燃烧+</w:t>
            </w:r>
            <w:r>
              <w:rPr>
                <w:color w:val="auto"/>
                <w:sz w:val="24"/>
                <w:szCs w:val="24"/>
              </w:rPr>
              <w:t>布袋除尘器（效率</w:t>
            </w:r>
            <w:r>
              <w:rPr>
                <w:rFonts w:hint="eastAsia"/>
                <w:color w:val="auto"/>
                <w:sz w:val="24"/>
                <w:szCs w:val="24"/>
              </w:rPr>
              <w:t>99.7%</w:t>
            </w:r>
            <w:r>
              <w:rPr>
                <w:color w:val="auto"/>
                <w:sz w:val="24"/>
                <w:szCs w:val="24"/>
              </w:rPr>
              <w:t>）+</w:t>
            </w:r>
            <w:r>
              <w:rPr>
                <w:rFonts w:hint="eastAsia"/>
                <w:color w:val="auto"/>
                <w:sz w:val="24"/>
                <w:szCs w:val="24"/>
              </w:rPr>
              <w:t>15m</w:t>
            </w:r>
            <w:r>
              <w:rPr>
                <w:color w:val="auto"/>
                <w:sz w:val="24"/>
                <w:szCs w:val="24"/>
              </w:rPr>
              <w:t>高烟囱</w:t>
            </w:r>
          </w:p>
        </w:tc>
        <w:tc>
          <w:tcPr>
            <w:tcW w:w="2516" w:type="dxa"/>
            <w:vMerge w:val="restart"/>
            <w:vAlign w:val="center"/>
          </w:tcPr>
          <w:p w14:paraId="69388D20">
            <w:pPr>
              <w:pStyle w:val="83"/>
              <w:spacing w:line="240" w:lineRule="auto"/>
              <w:jc w:val="both"/>
              <w:rPr>
                <w:color w:val="auto"/>
                <w:sz w:val="24"/>
                <w:szCs w:val="24"/>
              </w:rPr>
            </w:pPr>
            <w:r>
              <w:rPr>
                <w:color w:val="auto"/>
                <w:sz w:val="24"/>
                <w:szCs w:val="24"/>
              </w:rPr>
              <w:t>《工业炉窑大气污染物排放标准》（GB9078-1996）表2中二级标准</w:t>
            </w:r>
          </w:p>
        </w:tc>
      </w:tr>
      <w:tr w14:paraId="4FDCD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0D55207D">
            <w:pPr>
              <w:adjustRightInd w:val="0"/>
              <w:snapToGrid w:val="0"/>
              <w:ind w:firstLine="480" w:firstLineChars="200"/>
              <w:jc w:val="center"/>
              <w:textAlignment w:val="center"/>
              <w:rPr>
                <w:color w:val="auto"/>
                <w:sz w:val="24"/>
              </w:rPr>
            </w:pPr>
          </w:p>
        </w:tc>
        <w:tc>
          <w:tcPr>
            <w:tcW w:w="1617" w:type="dxa"/>
            <w:vMerge w:val="continue"/>
            <w:vAlign w:val="center"/>
          </w:tcPr>
          <w:p w14:paraId="3D541D85">
            <w:pPr>
              <w:pStyle w:val="59"/>
              <w:adjustRightInd w:val="0"/>
              <w:snapToGrid w:val="0"/>
              <w:spacing w:line="240" w:lineRule="auto"/>
              <w:rPr>
                <w:color w:val="auto"/>
                <w:sz w:val="24"/>
                <w:szCs w:val="24"/>
              </w:rPr>
            </w:pPr>
          </w:p>
        </w:tc>
        <w:tc>
          <w:tcPr>
            <w:tcW w:w="1552" w:type="dxa"/>
            <w:vAlign w:val="center"/>
          </w:tcPr>
          <w:p w14:paraId="6989C3C5">
            <w:pPr>
              <w:widowControl/>
              <w:jc w:val="center"/>
              <w:textAlignment w:val="center"/>
              <w:rPr>
                <w:color w:val="auto"/>
                <w:kern w:val="0"/>
                <w:sz w:val="24"/>
                <w:lang w:bidi="ar"/>
              </w:rPr>
            </w:pPr>
            <w:r>
              <w:rPr>
                <w:color w:val="auto"/>
                <w:kern w:val="0"/>
                <w:sz w:val="24"/>
                <w:lang w:bidi="ar"/>
              </w:rPr>
              <w:t>烟气黑度</w:t>
            </w:r>
          </w:p>
        </w:tc>
        <w:tc>
          <w:tcPr>
            <w:tcW w:w="2111" w:type="dxa"/>
            <w:vMerge w:val="continue"/>
            <w:vAlign w:val="center"/>
          </w:tcPr>
          <w:p w14:paraId="475F7ABF">
            <w:pPr>
              <w:adjustRightInd w:val="0"/>
              <w:snapToGrid w:val="0"/>
              <w:jc w:val="center"/>
              <w:textAlignment w:val="center"/>
              <w:rPr>
                <w:color w:val="auto"/>
                <w:sz w:val="24"/>
              </w:rPr>
            </w:pPr>
          </w:p>
        </w:tc>
        <w:tc>
          <w:tcPr>
            <w:tcW w:w="2516" w:type="dxa"/>
            <w:vMerge w:val="continue"/>
            <w:vAlign w:val="center"/>
          </w:tcPr>
          <w:p w14:paraId="27DBE3BA">
            <w:pPr>
              <w:adjustRightInd w:val="0"/>
              <w:snapToGrid w:val="0"/>
              <w:ind w:firstLine="480" w:firstLineChars="200"/>
              <w:textAlignment w:val="center"/>
              <w:rPr>
                <w:color w:val="auto"/>
                <w:sz w:val="24"/>
              </w:rPr>
            </w:pPr>
          </w:p>
        </w:tc>
      </w:tr>
      <w:tr w14:paraId="285F87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0861C184">
            <w:pPr>
              <w:adjustRightInd w:val="0"/>
              <w:snapToGrid w:val="0"/>
              <w:ind w:firstLine="480" w:firstLineChars="200"/>
              <w:jc w:val="center"/>
              <w:textAlignment w:val="center"/>
              <w:rPr>
                <w:color w:val="auto"/>
                <w:sz w:val="24"/>
              </w:rPr>
            </w:pPr>
          </w:p>
        </w:tc>
        <w:tc>
          <w:tcPr>
            <w:tcW w:w="1617" w:type="dxa"/>
            <w:vMerge w:val="continue"/>
            <w:vAlign w:val="center"/>
          </w:tcPr>
          <w:p w14:paraId="75CE6E90">
            <w:pPr>
              <w:pStyle w:val="59"/>
              <w:adjustRightInd w:val="0"/>
              <w:snapToGrid w:val="0"/>
              <w:spacing w:line="240" w:lineRule="auto"/>
              <w:rPr>
                <w:color w:val="auto"/>
                <w:sz w:val="24"/>
                <w:szCs w:val="24"/>
              </w:rPr>
            </w:pPr>
          </w:p>
        </w:tc>
        <w:tc>
          <w:tcPr>
            <w:tcW w:w="1552" w:type="dxa"/>
            <w:vAlign w:val="center"/>
          </w:tcPr>
          <w:p w14:paraId="123598C8">
            <w:pPr>
              <w:widowControl/>
              <w:jc w:val="center"/>
              <w:textAlignment w:val="center"/>
              <w:rPr>
                <w:color w:val="auto"/>
                <w:kern w:val="0"/>
                <w:sz w:val="24"/>
                <w:lang w:bidi="ar"/>
              </w:rPr>
            </w:pPr>
            <w:r>
              <w:rPr>
                <w:rFonts w:hint="eastAsia"/>
                <w:color w:val="auto"/>
                <w:kern w:val="0"/>
                <w:sz w:val="24"/>
                <w:lang w:bidi="ar"/>
              </w:rPr>
              <w:t>汞</w:t>
            </w:r>
          </w:p>
        </w:tc>
        <w:tc>
          <w:tcPr>
            <w:tcW w:w="2111" w:type="dxa"/>
            <w:vMerge w:val="continue"/>
            <w:vAlign w:val="center"/>
          </w:tcPr>
          <w:p w14:paraId="6C27435A">
            <w:pPr>
              <w:adjustRightInd w:val="0"/>
              <w:snapToGrid w:val="0"/>
              <w:jc w:val="center"/>
              <w:textAlignment w:val="center"/>
              <w:rPr>
                <w:color w:val="auto"/>
                <w:sz w:val="24"/>
              </w:rPr>
            </w:pPr>
          </w:p>
        </w:tc>
        <w:tc>
          <w:tcPr>
            <w:tcW w:w="2516" w:type="dxa"/>
            <w:vMerge w:val="restart"/>
            <w:vAlign w:val="center"/>
          </w:tcPr>
          <w:p w14:paraId="7617956E">
            <w:pPr>
              <w:adjustRightInd w:val="0"/>
              <w:snapToGrid w:val="0"/>
              <w:textAlignment w:val="center"/>
              <w:rPr>
                <w:color w:val="auto"/>
                <w:sz w:val="24"/>
              </w:rPr>
            </w:pPr>
            <w:r>
              <w:rPr>
                <w:color w:val="auto"/>
                <w:sz w:val="24"/>
              </w:rPr>
              <w:t>《工业炉窑大气污染物排放标准》（GB9078-1996）表4中二级标准</w:t>
            </w:r>
          </w:p>
        </w:tc>
      </w:tr>
      <w:tr w14:paraId="6EF44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4F8A49EF">
            <w:pPr>
              <w:adjustRightInd w:val="0"/>
              <w:snapToGrid w:val="0"/>
              <w:ind w:firstLine="480" w:firstLineChars="200"/>
              <w:jc w:val="center"/>
              <w:textAlignment w:val="center"/>
              <w:rPr>
                <w:color w:val="auto"/>
                <w:sz w:val="24"/>
              </w:rPr>
            </w:pPr>
          </w:p>
        </w:tc>
        <w:tc>
          <w:tcPr>
            <w:tcW w:w="1617" w:type="dxa"/>
            <w:vMerge w:val="continue"/>
            <w:vAlign w:val="center"/>
          </w:tcPr>
          <w:p w14:paraId="23BEF7BA">
            <w:pPr>
              <w:pStyle w:val="59"/>
              <w:adjustRightInd w:val="0"/>
              <w:snapToGrid w:val="0"/>
              <w:spacing w:line="240" w:lineRule="auto"/>
              <w:rPr>
                <w:color w:val="auto"/>
                <w:sz w:val="24"/>
                <w:szCs w:val="24"/>
              </w:rPr>
            </w:pPr>
          </w:p>
        </w:tc>
        <w:tc>
          <w:tcPr>
            <w:tcW w:w="1552" w:type="dxa"/>
            <w:vAlign w:val="center"/>
          </w:tcPr>
          <w:p w14:paraId="4DF6A91C">
            <w:pPr>
              <w:widowControl/>
              <w:jc w:val="center"/>
              <w:textAlignment w:val="center"/>
              <w:rPr>
                <w:color w:val="auto"/>
                <w:kern w:val="0"/>
                <w:sz w:val="24"/>
                <w:lang w:bidi="ar"/>
              </w:rPr>
            </w:pPr>
            <w:r>
              <w:rPr>
                <w:color w:val="auto"/>
                <w:kern w:val="0"/>
                <w:sz w:val="24"/>
                <w:lang w:bidi="ar"/>
              </w:rPr>
              <w:t>SO</w:t>
            </w:r>
            <w:r>
              <w:rPr>
                <w:color w:val="auto"/>
                <w:kern w:val="0"/>
                <w:sz w:val="24"/>
                <w:vertAlign w:val="subscript"/>
                <w:lang w:bidi="ar"/>
              </w:rPr>
              <w:t>2</w:t>
            </w:r>
          </w:p>
        </w:tc>
        <w:tc>
          <w:tcPr>
            <w:tcW w:w="2111" w:type="dxa"/>
            <w:vMerge w:val="continue"/>
            <w:vAlign w:val="center"/>
          </w:tcPr>
          <w:p w14:paraId="3AC97B50">
            <w:pPr>
              <w:adjustRightInd w:val="0"/>
              <w:snapToGrid w:val="0"/>
              <w:jc w:val="center"/>
              <w:textAlignment w:val="center"/>
              <w:rPr>
                <w:color w:val="auto"/>
                <w:sz w:val="24"/>
              </w:rPr>
            </w:pPr>
          </w:p>
        </w:tc>
        <w:tc>
          <w:tcPr>
            <w:tcW w:w="2516" w:type="dxa"/>
            <w:vMerge w:val="continue"/>
            <w:vAlign w:val="center"/>
          </w:tcPr>
          <w:p w14:paraId="52E71F2A">
            <w:pPr>
              <w:adjustRightInd w:val="0"/>
              <w:snapToGrid w:val="0"/>
              <w:textAlignment w:val="center"/>
              <w:rPr>
                <w:color w:val="auto"/>
                <w:sz w:val="24"/>
              </w:rPr>
            </w:pPr>
          </w:p>
        </w:tc>
      </w:tr>
      <w:tr w14:paraId="75734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381D4DC6">
            <w:pPr>
              <w:adjustRightInd w:val="0"/>
              <w:snapToGrid w:val="0"/>
              <w:ind w:firstLine="480" w:firstLineChars="200"/>
              <w:jc w:val="center"/>
              <w:textAlignment w:val="center"/>
              <w:rPr>
                <w:color w:val="auto"/>
                <w:sz w:val="24"/>
              </w:rPr>
            </w:pPr>
          </w:p>
        </w:tc>
        <w:tc>
          <w:tcPr>
            <w:tcW w:w="1617" w:type="dxa"/>
            <w:vMerge w:val="continue"/>
            <w:vAlign w:val="center"/>
          </w:tcPr>
          <w:p w14:paraId="34C5DB4F">
            <w:pPr>
              <w:pStyle w:val="59"/>
              <w:adjustRightInd w:val="0"/>
              <w:snapToGrid w:val="0"/>
              <w:spacing w:line="240" w:lineRule="auto"/>
              <w:rPr>
                <w:color w:val="auto"/>
                <w:sz w:val="24"/>
                <w:szCs w:val="24"/>
              </w:rPr>
            </w:pPr>
          </w:p>
        </w:tc>
        <w:tc>
          <w:tcPr>
            <w:tcW w:w="1552" w:type="dxa"/>
            <w:vAlign w:val="center"/>
          </w:tcPr>
          <w:p w14:paraId="1BD16767">
            <w:pPr>
              <w:widowControl/>
              <w:jc w:val="center"/>
              <w:textAlignment w:val="center"/>
              <w:rPr>
                <w:color w:val="auto"/>
                <w:kern w:val="0"/>
                <w:sz w:val="24"/>
                <w:lang w:bidi="ar"/>
              </w:rPr>
            </w:pPr>
            <w:r>
              <w:rPr>
                <w:color w:val="auto"/>
                <w:kern w:val="0"/>
                <w:sz w:val="24"/>
              </w:rPr>
              <w:t>NOx</w:t>
            </w:r>
          </w:p>
        </w:tc>
        <w:tc>
          <w:tcPr>
            <w:tcW w:w="2111" w:type="dxa"/>
            <w:vMerge w:val="continue"/>
            <w:vAlign w:val="center"/>
          </w:tcPr>
          <w:p w14:paraId="635E5411">
            <w:pPr>
              <w:adjustRightInd w:val="0"/>
              <w:snapToGrid w:val="0"/>
              <w:jc w:val="center"/>
              <w:textAlignment w:val="center"/>
              <w:rPr>
                <w:color w:val="auto"/>
                <w:sz w:val="24"/>
              </w:rPr>
            </w:pPr>
          </w:p>
        </w:tc>
        <w:tc>
          <w:tcPr>
            <w:tcW w:w="2516" w:type="dxa"/>
            <w:vAlign w:val="center"/>
          </w:tcPr>
          <w:p w14:paraId="3EAFDCC3">
            <w:pPr>
              <w:adjustRightInd w:val="0"/>
              <w:snapToGrid w:val="0"/>
              <w:jc w:val="center"/>
              <w:textAlignment w:val="center"/>
              <w:rPr>
                <w:color w:val="auto"/>
                <w:sz w:val="24"/>
              </w:rPr>
            </w:pPr>
            <w:r>
              <w:rPr>
                <w:rFonts w:hint="eastAsia"/>
                <w:color w:val="auto"/>
                <w:sz w:val="24"/>
              </w:rPr>
              <w:t>/</w:t>
            </w:r>
          </w:p>
        </w:tc>
      </w:tr>
      <w:tr w14:paraId="1E834E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5FF0E288">
            <w:pPr>
              <w:adjustRightInd w:val="0"/>
              <w:snapToGrid w:val="0"/>
              <w:ind w:firstLine="480" w:firstLineChars="200"/>
              <w:jc w:val="center"/>
              <w:textAlignment w:val="center"/>
              <w:rPr>
                <w:color w:val="auto"/>
                <w:sz w:val="24"/>
              </w:rPr>
            </w:pPr>
          </w:p>
        </w:tc>
        <w:tc>
          <w:tcPr>
            <w:tcW w:w="1617" w:type="dxa"/>
            <w:vMerge w:val="restart"/>
            <w:vAlign w:val="center"/>
          </w:tcPr>
          <w:p w14:paraId="127E92E2">
            <w:pPr>
              <w:pStyle w:val="59"/>
              <w:adjustRightInd w:val="0"/>
              <w:snapToGrid w:val="0"/>
              <w:spacing w:line="240" w:lineRule="auto"/>
              <w:rPr>
                <w:color w:val="auto"/>
                <w:sz w:val="24"/>
                <w:szCs w:val="24"/>
              </w:rPr>
            </w:pPr>
            <w:r>
              <w:rPr>
                <w:color w:val="auto"/>
                <w:sz w:val="24"/>
                <w:szCs w:val="24"/>
              </w:rPr>
              <w:t>热风炉</w:t>
            </w:r>
            <w:r>
              <w:rPr>
                <w:rFonts w:hint="eastAsia"/>
                <w:color w:val="auto"/>
                <w:sz w:val="24"/>
                <w:szCs w:val="24"/>
              </w:rPr>
              <w:t>（DA002）</w:t>
            </w:r>
          </w:p>
        </w:tc>
        <w:tc>
          <w:tcPr>
            <w:tcW w:w="1552" w:type="dxa"/>
            <w:shd w:val="clear" w:color="auto" w:fill="auto"/>
            <w:vAlign w:val="center"/>
          </w:tcPr>
          <w:p w14:paraId="7CF42418">
            <w:pPr>
              <w:widowControl/>
              <w:jc w:val="center"/>
              <w:textAlignment w:val="center"/>
              <w:rPr>
                <w:color w:val="auto"/>
                <w:kern w:val="0"/>
                <w:sz w:val="24"/>
                <w:lang w:bidi="ar"/>
              </w:rPr>
            </w:pPr>
            <w:r>
              <w:rPr>
                <w:color w:val="auto"/>
                <w:kern w:val="0"/>
                <w:sz w:val="24"/>
                <w:lang w:bidi="ar"/>
              </w:rPr>
              <w:t>颗粒物</w:t>
            </w:r>
          </w:p>
        </w:tc>
        <w:tc>
          <w:tcPr>
            <w:tcW w:w="2111" w:type="dxa"/>
            <w:vMerge w:val="restart"/>
            <w:vAlign w:val="center"/>
          </w:tcPr>
          <w:p w14:paraId="629FB038">
            <w:pPr>
              <w:adjustRightInd w:val="0"/>
              <w:snapToGrid w:val="0"/>
              <w:jc w:val="center"/>
              <w:textAlignment w:val="center"/>
              <w:rPr>
                <w:color w:val="auto"/>
                <w:kern w:val="0"/>
                <w:position w:val="-24"/>
                <w:sz w:val="24"/>
              </w:rPr>
            </w:pPr>
            <w:r>
              <w:rPr>
                <w:rFonts w:hint="eastAsia"/>
                <w:color w:val="auto"/>
                <w:sz w:val="24"/>
              </w:rPr>
              <w:t>低氮燃烧+</w:t>
            </w:r>
            <w:r>
              <w:rPr>
                <w:color w:val="auto"/>
                <w:sz w:val="24"/>
              </w:rPr>
              <w:t>布袋除尘器（效率</w:t>
            </w:r>
            <w:r>
              <w:rPr>
                <w:rFonts w:hint="eastAsia"/>
                <w:color w:val="auto"/>
                <w:sz w:val="24"/>
              </w:rPr>
              <w:t>99.7%</w:t>
            </w:r>
            <w:r>
              <w:rPr>
                <w:color w:val="auto"/>
                <w:sz w:val="24"/>
              </w:rPr>
              <w:t>）+</w:t>
            </w:r>
            <w:r>
              <w:rPr>
                <w:rFonts w:hint="eastAsia"/>
                <w:color w:val="auto"/>
                <w:sz w:val="24"/>
              </w:rPr>
              <w:t>15m</w:t>
            </w:r>
            <w:r>
              <w:rPr>
                <w:color w:val="auto"/>
                <w:sz w:val="24"/>
              </w:rPr>
              <w:t>高烟囱</w:t>
            </w:r>
          </w:p>
        </w:tc>
        <w:tc>
          <w:tcPr>
            <w:tcW w:w="2516" w:type="dxa"/>
            <w:vMerge w:val="restart"/>
            <w:shd w:val="clear" w:color="auto" w:fill="auto"/>
            <w:vAlign w:val="center"/>
          </w:tcPr>
          <w:p w14:paraId="213895FB">
            <w:pPr>
              <w:pStyle w:val="83"/>
              <w:spacing w:line="240" w:lineRule="auto"/>
              <w:jc w:val="both"/>
              <w:rPr>
                <w:color w:val="auto"/>
                <w:sz w:val="24"/>
                <w:szCs w:val="24"/>
              </w:rPr>
            </w:pPr>
            <w:r>
              <w:rPr>
                <w:color w:val="auto"/>
                <w:sz w:val="24"/>
                <w:szCs w:val="24"/>
              </w:rPr>
              <w:t>《工业炉窑大气污染物排放标准》（GB9078-1996）表2中二级标准</w:t>
            </w:r>
          </w:p>
        </w:tc>
      </w:tr>
      <w:tr w14:paraId="0047C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21252624">
            <w:pPr>
              <w:adjustRightInd w:val="0"/>
              <w:snapToGrid w:val="0"/>
              <w:ind w:firstLine="480" w:firstLineChars="200"/>
              <w:jc w:val="center"/>
              <w:textAlignment w:val="center"/>
              <w:rPr>
                <w:color w:val="auto"/>
                <w:sz w:val="24"/>
              </w:rPr>
            </w:pPr>
          </w:p>
        </w:tc>
        <w:tc>
          <w:tcPr>
            <w:tcW w:w="1617" w:type="dxa"/>
            <w:vMerge w:val="continue"/>
            <w:vAlign w:val="center"/>
          </w:tcPr>
          <w:p w14:paraId="304490F2">
            <w:pPr>
              <w:pStyle w:val="59"/>
              <w:adjustRightInd w:val="0"/>
              <w:snapToGrid w:val="0"/>
              <w:spacing w:line="240" w:lineRule="auto"/>
              <w:rPr>
                <w:color w:val="auto"/>
                <w:sz w:val="24"/>
                <w:szCs w:val="24"/>
              </w:rPr>
            </w:pPr>
          </w:p>
        </w:tc>
        <w:tc>
          <w:tcPr>
            <w:tcW w:w="1552" w:type="dxa"/>
            <w:shd w:val="clear" w:color="auto" w:fill="auto"/>
            <w:vAlign w:val="center"/>
          </w:tcPr>
          <w:p w14:paraId="418B6DA3">
            <w:pPr>
              <w:widowControl/>
              <w:jc w:val="center"/>
              <w:textAlignment w:val="center"/>
              <w:rPr>
                <w:color w:val="auto"/>
                <w:kern w:val="0"/>
                <w:sz w:val="24"/>
                <w:lang w:bidi="ar"/>
              </w:rPr>
            </w:pPr>
            <w:r>
              <w:rPr>
                <w:color w:val="auto"/>
                <w:kern w:val="0"/>
                <w:sz w:val="24"/>
                <w:lang w:bidi="ar"/>
              </w:rPr>
              <w:t>烟气黑度</w:t>
            </w:r>
          </w:p>
        </w:tc>
        <w:tc>
          <w:tcPr>
            <w:tcW w:w="2111" w:type="dxa"/>
            <w:vMerge w:val="continue"/>
            <w:vAlign w:val="center"/>
          </w:tcPr>
          <w:p w14:paraId="704F6D2C">
            <w:pPr>
              <w:adjustRightInd w:val="0"/>
              <w:snapToGrid w:val="0"/>
              <w:jc w:val="center"/>
              <w:textAlignment w:val="center"/>
              <w:rPr>
                <w:color w:val="auto"/>
                <w:sz w:val="24"/>
              </w:rPr>
            </w:pPr>
          </w:p>
        </w:tc>
        <w:tc>
          <w:tcPr>
            <w:tcW w:w="2516" w:type="dxa"/>
            <w:vMerge w:val="continue"/>
            <w:vAlign w:val="center"/>
          </w:tcPr>
          <w:p w14:paraId="739C8B33">
            <w:pPr>
              <w:adjustRightInd w:val="0"/>
              <w:snapToGrid w:val="0"/>
              <w:textAlignment w:val="center"/>
              <w:rPr>
                <w:color w:val="auto"/>
                <w:sz w:val="24"/>
              </w:rPr>
            </w:pPr>
          </w:p>
        </w:tc>
      </w:tr>
      <w:tr w14:paraId="6E077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7FE320A8">
            <w:pPr>
              <w:adjustRightInd w:val="0"/>
              <w:snapToGrid w:val="0"/>
              <w:ind w:firstLine="480" w:firstLineChars="200"/>
              <w:jc w:val="center"/>
              <w:textAlignment w:val="center"/>
              <w:rPr>
                <w:color w:val="auto"/>
                <w:sz w:val="24"/>
              </w:rPr>
            </w:pPr>
          </w:p>
        </w:tc>
        <w:tc>
          <w:tcPr>
            <w:tcW w:w="1617" w:type="dxa"/>
            <w:vMerge w:val="continue"/>
            <w:vAlign w:val="center"/>
          </w:tcPr>
          <w:p w14:paraId="5937646A">
            <w:pPr>
              <w:pStyle w:val="59"/>
              <w:adjustRightInd w:val="0"/>
              <w:snapToGrid w:val="0"/>
              <w:spacing w:line="240" w:lineRule="auto"/>
              <w:rPr>
                <w:color w:val="auto"/>
                <w:sz w:val="24"/>
                <w:szCs w:val="24"/>
              </w:rPr>
            </w:pPr>
          </w:p>
        </w:tc>
        <w:tc>
          <w:tcPr>
            <w:tcW w:w="1552" w:type="dxa"/>
            <w:shd w:val="clear" w:color="auto" w:fill="auto"/>
            <w:vAlign w:val="center"/>
          </w:tcPr>
          <w:p w14:paraId="758EB653">
            <w:pPr>
              <w:widowControl/>
              <w:jc w:val="center"/>
              <w:textAlignment w:val="center"/>
              <w:rPr>
                <w:color w:val="auto"/>
                <w:kern w:val="0"/>
                <w:sz w:val="24"/>
                <w:lang w:bidi="ar"/>
              </w:rPr>
            </w:pPr>
            <w:r>
              <w:rPr>
                <w:rFonts w:hint="eastAsia"/>
                <w:color w:val="auto"/>
                <w:kern w:val="0"/>
                <w:sz w:val="24"/>
                <w:lang w:bidi="ar"/>
              </w:rPr>
              <w:t>汞</w:t>
            </w:r>
          </w:p>
        </w:tc>
        <w:tc>
          <w:tcPr>
            <w:tcW w:w="2111" w:type="dxa"/>
            <w:vMerge w:val="continue"/>
            <w:vAlign w:val="center"/>
          </w:tcPr>
          <w:p w14:paraId="7727F362">
            <w:pPr>
              <w:adjustRightInd w:val="0"/>
              <w:snapToGrid w:val="0"/>
              <w:jc w:val="center"/>
              <w:textAlignment w:val="center"/>
              <w:rPr>
                <w:color w:val="auto"/>
                <w:sz w:val="24"/>
              </w:rPr>
            </w:pPr>
          </w:p>
        </w:tc>
        <w:tc>
          <w:tcPr>
            <w:tcW w:w="2516" w:type="dxa"/>
            <w:vMerge w:val="restart"/>
            <w:shd w:val="clear" w:color="auto" w:fill="auto"/>
            <w:vAlign w:val="center"/>
          </w:tcPr>
          <w:p w14:paraId="39A40B1A">
            <w:pPr>
              <w:adjustRightInd w:val="0"/>
              <w:snapToGrid w:val="0"/>
              <w:textAlignment w:val="center"/>
              <w:rPr>
                <w:color w:val="auto"/>
                <w:sz w:val="24"/>
              </w:rPr>
            </w:pPr>
            <w:r>
              <w:rPr>
                <w:color w:val="auto"/>
                <w:sz w:val="24"/>
              </w:rPr>
              <w:t>《工业炉窑大气污染物排放标准》（GB9078-1996）表4中二级标准</w:t>
            </w:r>
          </w:p>
        </w:tc>
      </w:tr>
      <w:tr w14:paraId="4766C8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453B8143">
            <w:pPr>
              <w:adjustRightInd w:val="0"/>
              <w:snapToGrid w:val="0"/>
              <w:ind w:firstLine="480" w:firstLineChars="200"/>
              <w:jc w:val="center"/>
              <w:textAlignment w:val="center"/>
              <w:rPr>
                <w:color w:val="auto"/>
                <w:sz w:val="24"/>
              </w:rPr>
            </w:pPr>
          </w:p>
        </w:tc>
        <w:tc>
          <w:tcPr>
            <w:tcW w:w="1617" w:type="dxa"/>
            <w:vMerge w:val="continue"/>
            <w:vAlign w:val="center"/>
          </w:tcPr>
          <w:p w14:paraId="3014F24C">
            <w:pPr>
              <w:pStyle w:val="59"/>
              <w:adjustRightInd w:val="0"/>
              <w:snapToGrid w:val="0"/>
              <w:spacing w:line="240" w:lineRule="auto"/>
              <w:rPr>
                <w:color w:val="auto"/>
                <w:sz w:val="24"/>
                <w:szCs w:val="24"/>
              </w:rPr>
            </w:pPr>
          </w:p>
        </w:tc>
        <w:tc>
          <w:tcPr>
            <w:tcW w:w="1552" w:type="dxa"/>
            <w:shd w:val="clear" w:color="auto" w:fill="auto"/>
            <w:vAlign w:val="center"/>
          </w:tcPr>
          <w:p w14:paraId="117588F5">
            <w:pPr>
              <w:widowControl/>
              <w:jc w:val="center"/>
              <w:textAlignment w:val="center"/>
              <w:rPr>
                <w:color w:val="auto"/>
                <w:kern w:val="0"/>
                <w:sz w:val="24"/>
                <w:lang w:bidi="ar"/>
              </w:rPr>
            </w:pPr>
            <w:r>
              <w:rPr>
                <w:color w:val="auto"/>
                <w:kern w:val="0"/>
                <w:sz w:val="24"/>
                <w:lang w:bidi="ar"/>
              </w:rPr>
              <w:t>SO</w:t>
            </w:r>
            <w:r>
              <w:rPr>
                <w:color w:val="auto"/>
                <w:kern w:val="0"/>
                <w:sz w:val="24"/>
                <w:vertAlign w:val="subscript"/>
                <w:lang w:bidi="ar"/>
              </w:rPr>
              <w:t>2</w:t>
            </w:r>
          </w:p>
        </w:tc>
        <w:tc>
          <w:tcPr>
            <w:tcW w:w="2111" w:type="dxa"/>
            <w:vMerge w:val="continue"/>
            <w:vAlign w:val="center"/>
          </w:tcPr>
          <w:p w14:paraId="391A6C1B">
            <w:pPr>
              <w:adjustRightInd w:val="0"/>
              <w:snapToGrid w:val="0"/>
              <w:jc w:val="center"/>
              <w:textAlignment w:val="center"/>
              <w:rPr>
                <w:color w:val="auto"/>
                <w:sz w:val="24"/>
              </w:rPr>
            </w:pPr>
          </w:p>
        </w:tc>
        <w:tc>
          <w:tcPr>
            <w:tcW w:w="2516" w:type="dxa"/>
            <w:vMerge w:val="continue"/>
            <w:shd w:val="clear" w:color="auto" w:fill="auto"/>
            <w:vAlign w:val="center"/>
          </w:tcPr>
          <w:p w14:paraId="149E168B">
            <w:pPr>
              <w:adjustRightInd w:val="0"/>
              <w:snapToGrid w:val="0"/>
              <w:jc w:val="center"/>
              <w:textAlignment w:val="center"/>
              <w:rPr>
                <w:color w:val="auto"/>
                <w:sz w:val="24"/>
              </w:rPr>
            </w:pPr>
          </w:p>
        </w:tc>
      </w:tr>
      <w:tr w14:paraId="28AAE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2362E99E">
            <w:pPr>
              <w:adjustRightInd w:val="0"/>
              <w:snapToGrid w:val="0"/>
              <w:ind w:firstLine="480" w:firstLineChars="200"/>
              <w:jc w:val="center"/>
              <w:textAlignment w:val="center"/>
              <w:rPr>
                <w:color w:val="auto"/>
                <w:sz w:val="24"/>
              </w:rPr>
            </w:pPr>
          </w:p>
        </w:tc>
        <w:tc>
          <w:tcPr>
            <w:tcW w:w="1617" w:type="dxa"/>
            <w:vMerge w:val="continue"/>
            <w:vAlign w:val="center"/>
          </w:tcPr>
          <w:p w14:paraId="48C31BA4">
            <w:pPr>
              <w:pStyle w:val="59"/>
              <w:adjustRightInd w:val="0"/>
              <w:snapToGrid w:val="0"/>
              <w:spacing w:line="240" w:lineRule="auto"/>
              <w:rPr>
                <w:color w:val="auto"/>
                <w:sz w:val="24"/>
                <w:szCs w:val="24"/>
              </w:rPr>
            </w:pPr>
          </w:p>
        </w:tc>
        <w:tc>
          <w:tcPr>
            <w:tcW w:w="1552" w:type="dxa"/>
            <w:shd w:val="clear" w:color="auto" w:fill="auto"/>
            <w:vAlign w:val="center"/>
          </w:tcPr>
          <w:p w14:paraId="069F229E">
            <w:pPr>
              <w:widowControl/>
              <w:jc w:val="center"/>
              <w:textAlignment w:val="center"/>
              <w:rPr>
                <w:color w:val="auto"/>
                <w:kern w:val="0"/>
                <w:sz w:val="24"/>
                <w:lang w:bidi="ar"/>
              </w:rPr>
            </w:pPr>
            <w:r>
              <w:rPr>
                <w:color w:val="auto"/>
                <w:kern w:val="0"/>
                <w:sz w:val="24"/>
              </w:rPr>
              <w:t>NOx</w:t>
            </w:r>
          </w:p>
        </w:tc>
        <w:tc>
          <w:tcPr>
            <w:tcW w:w="2111" w:type="dxa"/>
            <w:vMerge w:val="continue"/>
            <w:vAlign w:val="center"/>
          </w:tcPr>
          <w:p w14:paraId="14C837B2">
            <w:pPr>
              <w:adjustRightInd w:val="0"/>
              <w:snapToGrid w:val="0"/>
              <w:jc w:val="center"/>
              <w:textAlignment w:val="center"/>
              <w:rPr>
                <w:color w:val="auto"/>
                <w:kern w:val="0"/>
                <w:position w:val="-24"/>
                <w:sz w:val="24"/>
              </w:rPr>
            </w:pPr>
          </w:p>
        </w:tc>
        <w:tc>
          <w:tcPr>
            <w:tcW w:w="2516" w:type="dxa"/>
            <w:vAlign w:val="center"/>
          </w:tcPr>
          <w:p w14:paraId="68A9BAA3">
            <w:pPr>
              <w:adjustRightInd w:val="0"/>
              <w:snapToGrid w:val="0"/>
              <w:jc w:val="center"/>
              <w:textAlignment w:val="center"/>
              <w:rPr>
                <w:color w:val="auto"/>
                <w:kern w:val="0"/>
                <w:position w:val="-24"/>
                <w:sz w:val="24"/>
              </w:rPr>
            </w:pPr>
            <w:r>
              <w:rPr>
                <w:rFonts w:hint="eastAsia"/>
                <w:color w:val="auto"/>
                <w:sz w:val="24"/>
              </w:rPr>
              <w:t>/</w:t>
            </w:r>
          </w:p>
        </w:tc>
      </w:tr>
      <w:tr w14:paraId="7C496F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232984AB">
            <w:pPr>
              <w:adjustRightInd w:val="0"/>
              <w:snapToGrid w:val="0"/>
              <w:ind w:firstLine="480" w:firstLineChars="200"/>
              <w:jc w:val="center"/>
              <w:textAlignment w:val="center"/>
              <w:rPr>
                <w:color w:val="auto"/>
                <w:sz w:val="24"/>
              </w:rPr>
            </w:pPr>
          </w:p>
        </w:tc>
        <w:tc>
          <w:tcPr>
            <w:tcW w:w="1617" w:type="dxa"/>
            <w:vAlign w:val="center"/>
          </w:tcPr>
          <w:p w14:paraId="0BF0C890">
            <w:pPr>
              <w:pStyle w:val="59"/>
              <w:adjustRightInd w:val="0"/>
              <w:snapToGrid w:val="0"/>
              <w:spacing w:line="240" w:lineRule="auto"/>
              <w:rPr>
                <w:color w:val="auto"/>
                <w:sz w:val="24"/>
                <w:szCs w:val="24"/>
              </w:rPr>
            </w:pPr>
            <w:r>
              <w:rPr>
                <w:color w:val="auto"/>
                <w:sz w:val="24"/>
                <w:szCs w:val="24"/>
              </w:rPr>
              <w:t>热风炉房门窗处颗粒物</w:t>
            </w:r>
          </w:p>
        </w:tc>
        <w:tc>
          <w:tcPr>
            <w:tcW w:w="1552" w:type="dxa"/>
            <w:vAlign w:val="center"/>
          </w:tcPr>
          <w:p w14:paraId="241B69D5">
            <w:pPr>
              <w:widowControl/>
              <w:jc w:val="center"/>
              <w:textAlignment w:val="center"/>
              <w:rPr>
                <w:color w:val="auto"/>
                <w:kern w:val="0"/>
                <w:sz w:val="24"/>
                <w:lang w:bidi="ar"/>
              </w:rPr>
            </w:pPr>
            <w:r>
              <w:rPr>
                <w:color w:val="auto"/>
                <w:kern w:val="0"/>
                <w:sz w:val="24"/>
                <w:lang w:bidi="ar"/>
              </w:rPr>
              <w:t>颗粒物</w:t>
            </w:r>
          </w:p>
        </w:tc>
        <w:tc>
          <w:tcPr>
            <w:tcW w:w="2111" w:type="dxa"/>
            <w:vAlign w:val="center"/>
          </w:tcPr>
          <w:p w14:paraId="5587F61C">
            <w:pPr>
              <w:adjustRightInd w:val="0"/>
              <w:snapToGrid w:val="0"/>
              <w:jc w:val="center"/>
              <w:textAlignment w:val="center"/>
              <w:rPr>
                <w:color w:val="auto"/>
                <w:sz w:val="24"/>
              </w:rPr>
            </w:pPr>
            <w:r>
              <w:rPr>
                <w:color w:val="auto"/>
                <w:sz w:val="24"/>
              </w:rPr>
              <w:t>/</w:t>
            </w:r>
          </w:p>
        </w:tc>
        <w:tc>
          <w:tcPr>
            <w:tcW w:w="2516" w:type="dxa"/>
            <w:vAlign w:val="center"/>
          </w:tcPr>
          <w:p w14:paraId="3583BDBB">
            <w:pPr>
              <w:adjustRightInd w:val="0"/>
              <w:snapToGrid w:val="0"/>
              <w:textAlignment w:val="center"/>
              <w:rPr>
                <w:color w:val="auto"/>
                <w:sz w:val="24"/>
              </w:rPr>
            </w:pPr>
            <w:r>
              <w:rPr>
                <w:color w:val="auto"/>
                <w:sz w:val="24"/>
              </w:rPr>
              <w:t>《工业窑炉大气污染物排放标准》（GB9078-1996）表3中标准限值</w:t>
            </w:r>
          </w:p>
        </w:tc>
      </w:tr>
      <w:tr w14:paraId="431F6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7" w:type="dxa"/>
            <w:vMerge w:val="continue"/>
            <w:vAlign w:val="center"/>
          </w:tcPr>
          <w:p w14:paraId="37EC4416">
            <w:pPr>
              <w:adjustRightInd w:val="0"/>
              <w:snapToGrid w:val="0"/>
              <w:ind w:firstLine="480" w:firstLineChars="200"/>
              <w:jc w:val="center"/>
              <w:textAlignment w:val="center"/>
              <w:rPr>
                <w:color w:val="auto"/>
                <w:sz w:val="24"/>
              </w:rPr>
            </w:pPr>
          </w:p>
        </w:tc>
        <w:tc>
          <w:tcPr>
            <w:tcW w:w="1617" w:type="dxa"/>
            <w:vAlign w:val="center"/>
          </w:tcPr>
          <w:p w14:paraId="3B4AF2A7">
            <w:pPr>
              <w:jc w:val="center"/>
              <w:rPr>
                <w:color w:val="auto"/>
                <w:sz w:val="24"/>
              </w:rPr>
            </w:pPr>
            <w:r>
              <w:rPr>
                <w:color w:val="auto"/>
                <w:sz w:val="24"/>
              </w:rPr>
              <w:t>原粮卸粮</w:t>
            </w:r>
          </w:p>
        </w:tc>
        <w:tc>
          <w:tcPr>
            <w:tcW w:w="1552" w:type="dxa"/>
            <w:vAlign w:val="center"/>
          </w:tcPr>
          <w:p w14:paraId="1FFCB9A7">
            <w:pPr>
              <w:jc w:val="center"/>
              <w:rPr>
                <w:color w:val="auto"/>
                <w:sz w:val="24"/>
              </w:rPr>
            </w:pPr>
            <w:r>
              <w:rPr>
                <w:color w:val="auto"/>
                <w:sz w:val="24"/>
              </w:rPr>
              <w:t>颗粒物</w:t>
            </w:r>
          </w:p>
        </w:tc>
        <w:tc>
          <w:tcPr>
            <w:tcW w:w="2111" w:type="dxa"/>
            <w:vAlign w:val="center"/>
          </w:tcPr>
          <w:p w14:paraId="5AC597E8">
            <w:pPr>
              <w:jc w:val="center"/>
              <w:rPr>
                <w:color w:val="auto"/>
                <w:sz w:val="24"/>
              </w:rPr>
            </w:pPr>
            <w:r>
              <w:rPr>
                <w:color w:val="auto"/>
                <w:sz w:val="24"/>
              </w:rPr>
              <w:t>减小装卸高度、密闭输送</w:t>
            </w:r>
          </w:p>
        </w:tc>
        <w:tc>
          <w:tcPr>
            <w:tcW w:w="2516" w:type="dxa"/>
            <w:vMerge w:val="restart"/>
            <w:vAlign w:val="center"/>
          </w:tcPr>
          <w:p w14:paraId="170A4611">
            <w:pPr>
              <w:rPr>
                <w:color w:val="auto"/>
                <w:sz w:val="24"/>
              </w:rPr>
            </w:pPr>
            <w:r>
              <w:rPr>
                <w:color w:val="auto"/>
                <w:sz w:val="24"/>
              </w:rPr>
              <w:t>《大气污染物综合排放标准》（GB16297-1996）表2无组织排放监控浓度限值标准</w:t>
            </w:r>
          </w:p>
        </w:tc>
      </w:tr>
      <w:tr w14:paraId="48E9A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7" w:type="dxa"/>
            <w:vMerge w:val="continue"/>
            <w:vAlign w:val="center"/>
          </w:tcPr>
          <w:p w14:paraId="0154653F">
            <w:pPr>
              <w:adjustRightInd w:val="0"/>
              <w:snapToGrid w:val="0"/>
              <w:ind w:firstLine="480" w:firstLineChars="200"/>
              <w:jc w:val="center"/>
              <w:textAlignment w:val="center"/>
              <w:rPr>
                <w:color w:val="auto"/>
                <w:sz w:val="24"/>
              </w:rPr>
            </w:pPr>
          </w:p>
        </w:tc>
        <w:tc>
          <w:tcPr>
            <w:tcW w:w="1617" w:type="dxa"/>
            <w:vAlign w:val="center"/>
          </w:tcPr>
          <w:p w14:paraId="3418BDD9">
            <w:pPr>
              <w:jc w:val="center"/>
              <w:rPr>
                <w:color w:val="auto"/>
                <w:sz w:val="24"/>
              </w:rPr>
            </w:pPr>
            <w:r>
              <w:rPr>
                <w:color w:val="auto"/>
                <w:sz w:val="24"/>
              </w:rPr>
              <w:t>原粮筛分</w:t>
            </w:r>
          </w:p>
        </w:tc>
        <w:tc>
          <w:tcPr>
            <w:tcW w:w="1552" w:type="dxa"/>
            <w:vAlign w:val="center"/>
          </w:tcPr>
          <w:p w14:paraId="7ED3E6D5">
            <w:pPr>
              <w:jc w:val="center"/>
              <w:rPr>
                <w:color w:val="auto"/>
                <w:sz w:val="24"/>
              </w:rPr>
            </w:pPr>
            <w:r>
              <w:rPr>
                <w:color w:val="auto"/>
                <w:sz w:val="24"/>
              </w:rPr>
              <w:t>颗粒物</w:t>
            </w:r>
          </w:p>
        </w:tc>
        <w:tc>
          <w:tcPr>
            <w:tcW w:w="2111" w:type="dxa"/>
            <w:vAlign w:val="center"/>
          </w:tcPr>
          <w:p w14:paraId="2625B190">
            <w:pPr>
              <w:jc w:val="center"/>
              <w:rPr>
                <w:color w:val="auto"/>
                <w:sz w:val="24"/>
              </w:rPr>
            </w:pPr>
            <w:r>
              <w:rPr>
                <w:color w:val="auto"/>
                <w:sz w:val="24"/>
              </w:rPr>
              <w:t>密闭设备</w:t>
            </w:r>
          </w:p>
        </w:tc>
        <w:tc>
          <w:tcPr>
            <w:tcW w:w="2516" w:type="dxa"/>
            <w:vMerge w:val="continue"/>
            <w:vAlign w:val="center"/>
          </w:tcPr>
          <w:p w14:paraId="195A15AF">
            <w:pPr>
              <w:rPr>
                <w:color w:val="auto"/>
                <w:sz w:val="24"/>
              </w:rPr>
            </w:pPr>
          </w:p>
        </w:tc>
      </w:tr>
      <w:tr w14:paraId="1A7A3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0AB7913F">
            <w:pPr>
              <w:adjustRightInd w:val="0"/>
              <w:snapToGrid w:val="0"/>
              <w:ind w:firstLine="480" w:firstLineChars="200"/>
              <w:jc w:val="center"/>
              <w:textAlignment w:val="center"/>
              <w:rPr>
                <w:color w:val="auto"/>
                <w:sz w:val="24"/>
              </w:rPr>
            </w:pPr>
          </w:p>
        </w:tc>
        <w:tc>
          <w:tcPr>
            <w:tcW w:w="1617" w:type="dxa"/>
            <w:vAlign w:val="center"/>
          </w:tcPr>
          <w:p w14:paraId="683F6B23">
            <w:pPr>
              <w:jc w:val="center"/>
              <w:rPr>
                <w:color w:val="auto"/>
                <w:sz w:val="24"/>
              </w:rPr>
            </w:pPr>
            <w:r>
              <w:rPr>
                <w:color w:val="auto"/>
                <w:sz w:val="24"/>
              </w:rPr>
              <w:t>烘干塔</w:t>
            </w:r>
          </w:p>
        </w:tc>
        <w:tc>
          <w:tcPr>
            <w:tcW w:w="1552" w:type="dxa"/>
            <w:vAlign w:val="center"/>
          </w:tcPr>
          <w:p w14:paraId="35A05701">
            <w:pPr>
              <w:jc w:val="center"/>
              <w:rPr>
                <w:color w:val="auto"/>
                <w:sz w:val="24"/>
              </w:rPr>
            </w:pPr>
            <w:r>
              <w:rPr>
                <w:color w:val="auto"/>
                <w:sz w:val="24"/>
              </w:rPr>
              <w:t>颗粒物</w:t>
            </w:r>
          </w:p>
        </w:tc>
        <w:tc>
          <w:tcPr>
            <w:tcW w:w="2111" w:type="dxa"/>
            <w:vAlign w:val="center"/>
          </w:tcPr>
          <w:p w14:paraId="601388E4">
            <w:pPr>
              <w:jc w:val="center"/>
              <w:rPr>
                <w:color w:val="auto"/>
                <w:sz w:val="24"/>
              </w:rPr>
            </w:pPr>
            <w:r>
              <w:rPr>
                <w:color w:val="auto"/>
                <w:sz w:val="24"/>
              </w:rPr>
              <w:t>烘干塔塔体两侧排气孔设置折流挡板，塔顶排气孔设滤尘网</w:t>
            </w:r>
          </w:p>
        </w:tc>
        <w:tc>
          <w:tcPr>
            <w:tcW w:w="2516" w:type="dxa"/>
            <w:vMerge w:val="continue"/>
            <w:vAlign w:val="center"/>
          </w:tcPr>
          <w:p w14:paraId="2AA5FBBE">
            <w:pPr>
              <w:rPr>
                <w:color w:val="auto"/>
                <w:sz w:val="24"/>
              </w:rPr>
            </w:pPr>
          </w:p>
        </w:tc>
      </w:tr>
      <w:tr w14:paraId="6B47B4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108E44FE">
            <w:pPr>
              <w:adjustRightInd w:val="0"/>
              <w:snapToGrid w:val="0"/>
              <w:ind w:firstLine="480" w:firstLineChars="200"/>
              <w:jc w:val="center"/>
              <w:textAlignment w:val="center"/>
              <w:rPr>
                <w:color w:val="auto"/>
                <w:sz w:val="24"/>
              </w:rPr>
            </w:pPr>
          </w:p>
        </w:tc>
        <w:tc>
          <w:tcPr>
            <w:tcW w:w="1617" w:type="dxa"/>
            <w:vAlign w:val="center"/>
          </w:tcPr>
          <w:p w14:paraId="44E709DC">
            <w:pPr>
              <w:pStyle w:val="123"/>
              <w:spacing w:line="240" w:lineRule="auto"/>
              <w:rPr>
                <w:color w:val="auto"/>
                <w:kern w:val="2"/>
                <w:sz w:val="24"/>
                <w:szCs w:val="24"/>
              </w:rPr>
            </w:pPr>
            <w:r>
              <w:rPr>
                <w:rFonts w:hint="eastAsia"/>
                <w:color w:val="auto"/>
                <w:kern w:val="2"/>
                <w:sz w:val="24"/>
                <w:szCs w:val="24"/>
              </w:rPr>
              <w:t>厂界</w:t>
            </w:r>
          </w:p>
        </w:tc>
        <w:tc>
          <w:tcPr>
            <w:tcW w:w="1552" w:type="dxa"/>
            <w:vAlign w:val="center"/>
          </w:tcPr>
          <w:p w14:paraId="36F7467A">
            <w:pPr>
              <w:pStyle w:val="123"/>
              <w:spacing w:line="240" w:lineRule="auto"/>
              <w:rPr>
                <w:color w:val="auto"/>
                <w:kern w:val="2"/>
                <w:sz w:val="24"/>
                <w:szCs w:val="24"/>
              </w:rPr>
            </w:pPr>
            <w:r>
              <w:rPr>
                <w:rFonts w:hint="eastAsia"/>
                <w:color w:val="auto"/>
                <w:kern w:val="2"/>
                <w:sz w:val="24"/>
                <w:szCs w:val="24"/>
              </w:rPr>
              <w:t>无组织粉尘</w:t>
            </w:r>
          </w:p>
        </w:tc>
        <w:tc>
          <w:tcPr>
            <w:tcW w:w="2111" w:type="dxa"/>
            <w:vAlign w:val="center"/>
          </w:tcPr>
          <w:p w14:paraId="30C45CBB">
            <w:pPr>
              <w:pStyle w:val="123"/>
              <w:spacing w:line="240" w:lineRule="auto"/>
              <w:rPr>
                <w:color w:val="auto"/>
                <w:kern w:val="2"/>
                <w:sz w:val="24"/>
                <w:szCs w:val="24"/>
              </w:rPr>
            </w:pPr>
            <w:r>
              <w:rPr>
                <w:rFonts w:hint="eastAsia"/>
                <w:color w:val="auto"/>
                <w:kern w:val="2"/>
                <w:sz w:val="24"/>
                <w:szCs w:val="24"/>
              </w:rPr>
              <w:t>封闭传送+封闭车间</w:t>
            </w:r>
          </w:p>
        </w:tc>
        <w:tc>
          <w:tcPr>
            <w:tcW w:w="2516" w:type="dxa"/>
            <w:vAlign w:val="center"/>
          </w:tcPr>
          <w:p w14:paraId="2EA19FE7">
            <w:pPr>
              <w:pStyle w:val="123"/>
              <w:spacing w:line="240" w:lineRule="auto"/>
              <w:jc w:val="both"/>
              <w:rPr>
                <w:color w:val="auto"/>
                <w:kern w:val="2"/>
                <w:sz w:val="24"/>
                <w:szCs w:val="24"/>
              </w:rPr>
            </w:pPr>
            <w:r>
              <w:rPr>
                <w:rFonts w:hint="eastAsia"/>
                <w:color w:val="auto"/>
                <w:kern w:val="2"/>
                <w:sz w:val="24"/>
                <w:szCs w:val="24"/>
              </w:rPr>
              <w:t>《大气污染物综合排放标准》（GB 16297—1996）表2无组织排放浓度限值要求</w:t>
            </w:r>
          </w:p>
        </w:tc>
      </w:tr>
      <w:tr w14:paraId="65ACD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Align w:val="center"/>
          </w:tcPr>
          <w:p w14:paraId="53C08BB2">
            <w:pPr>
              <w:adjustRightInd w:val="0"/>
              <w:snapToGrid w:val="0"/>
              <w:jc w:val="center"/>
              <w:textAlignment w:val="center"/>
              <w:rPr>
                <w:color w:val="auto"/>
                <w:sz w:val="24"/>
              </w:rPr>
            </w:pPr>
            <w:r>
              <w:rPr>
                <w:color w:val="auto"/>
                <w:sz w:val="24"/>
              </w:rPr>
              <w:t>地表水环境</w:t>
            </w:r>
          </w:p>
        </w:tc>
        <w:tc>
          <w:tcPr>
            <w:tcW w:w="1617" w:type="dxa"/>
            <w:vAlign w:val="center"/>
          </w:tcPr>
          <w:p w14:paraId="6F55FD11">
            <w:pPr>
              <w:adjustRightInd w:val="0"/>
              <w:snapToGrid w:val="0"/>
              <w:jc w:val="center"/>
              <w:textAlignment w:val="center"/>
              <w:rPr>
                <w:color w:val="auto"/>
                <w:sz w:val="24"/>
              </w:rPr>
            </w:pPr>
            <w:r>
              <w:rPr>
                <w:color w:val="auto"/>
                <w:sz w:val="24"/>
              </w:rPr>
              <w:t>/</w:t>
            </w:r>
          </w:p>
        </w:tc>
        <w:tc>
          <w:tcPr>
            <w:tcW w:w="1552" w:type="dxa"/>
            <w:vAlign w:val="center"/>
          </w:tcPr>
          <w:p w14:paraId="30637B53">
            <w:pPr>
              <w:adjustRightInd w:val="0"/>
              <w:snapToGrid w:val="0"/>
              <w:jc w:val="center"/>
              <w:textAlignment w:val="center"/>
              <w:rPr>
                <w:color w:val="auto"/>
                <w:sz w:val="24"/>
              </w:rPr>
            </w:pPr>
            <w:r>
              <w:rPr>
                <w:color w:val="auto"/>
                <w:sz w:val="24"/>
              </w:rPr>
              <w:t>/</w:t>
            </w:r>
          </w:p>
        </w:tc>
        <w:tc>
          <w:tcPr>
            <w:tcW w:w="2111" w:type="dxa"/>
            <w:vAlign w:val="center"/>
          </w:tcPr>
          <w:p w14:paraId="33FCFA8C">
            <w:pPr>
              <w:adjustRightInd w:val="0"/>
              <w:snapToGrid w:val="0"/>
              <w:jc w:val="center"/>
              <w:textAlignment w:val="center"/>
              <w:rPr>
                <w:color w:val="auto"/>
                <w:sz w:val="24"/>
              </w:rPr>
            </w:pPr>
            <w:r>
              <w:rPr>
                <w:color w:val="auto"/>
                <w:sz w:val="24"/>
              </w:rPr>
              <w:t>/</w:t>
            </w:r>
          </w:p>
        </w:tc>
        <w:tc>
          <w:tcPr>
            <w:tcW w:w="2516" w:type="dxa"/>
            <w:vAlign w:val="center"/>
          </w:tcPr>
          <w:p w14:paraId="0853707A">
            <w:pPr>
              <w:adjustRightInd w:val="0"/>
              <w:snapToGrid w:val="0"/>
              <w:jc w:val="center"/>
              <w:textAlignment w:val="center"/>
              <w:rPr>
                <w:color w:val="auto"/>
                <w:sz w:val="24"/>
              </w:rPr>
            </w:pPr>
            <w:r>
              <w:rPr>
                <w:color w:val="auto"/>
                <w:sz w:val="24"/>
              </w:rPr>
              <w:t>/</w:t>
            </w:r>
          </w:p>
        </w:tc>
      </w:tr>
      <w:tr w14:paraId="66D83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1057" w:type="dxa"/>
            <w:vAlign w:val="center"/>
          </w:tcPr>
          <w:p w14:paraId="4E936C00">
            <w:pPr>
              <w:adjustRightInd w:val="0"/>
              <w:snapToGrid w:val="0"/>
              <w:jc w:val="center"/>
              <w:textAlignment w:val="center"/>
              <w:rPr>
                <w:color w:val="auto"/>
                <w:sz w:val="24"/>
              </w:rPr>
            </w:pPr>
            <w:r>
              <w:rPr>
                <w:color w:val="auto"/>
                <w:sz w:val="24"/>
              </w:rPr>
              <w:t>声环境</w:t>
            </w:r>
          </w:p>
        </w:tc>
        <w:tc>
          <w:tcPr>
            <w:tcW w:w="1617" w:type="dxa"/>
            <w:vAlign w:val="center"/>
          </w:tcPr>
          <w:p w14:paraId="36B4093F">
            <w:pPr>
              <w:widowControl/>
              <w:jc w:val="center"/>
              <w:textAlignment w:val="center"/>
              <w:rPr>
                <w:color w:val="auto"/>
                <w:sz w:val="24"/>
              </w:rPr>
            </w:pPr>
            <w:r>
              <w:rPr>
                <w:color w:val="auto"/>
                <w:kern w:val="0"/>
                <w:sz w:val="24"/>
                <w:lang w:bidi="ar"/>
              </w:rPr>
              <w:t>设备</w:t>
            </w:r>
          </w:p>
        </w:tc>
        <w:tc>
          <w:tcPr>
            <w:tcW w:w="1552" w:type="dxa"/>
            <w:vAlign w:val="center"/>
          </w:tcPr>
          <w:p w14:paraId="27C005AE">
            <w:pPr>
              <w:widowControl/>
              <w:jc w:val="center"/>
              <w:textAlignment w:val="center"/>
              <w:rPr>
                <w:color w:val="auto"/>
                <w:sz w:val="24"/>
              </w:rPr>
            </w:pPr>
            <w:r>
              <w:rPr>
                <w:color w:val="auto"/>
                <w:kern w:val="0"/>
                <w:sz w:val="24"/>
                <w:lang w:bidi="ar"/>
              </w:rPr>
              <w:t>噪声</w:t>
            </w:r>
          </w:p>
        </w:tc>
        <w:tc>
          <w:tcPr>
            <w:tcW w:w="2111" w:type="dxa"/>
            <w:vAlign w:val="center"/>
          </w:tcPr>
          <w:p w14:paraId="4B669FD8">
            <w:pPr>
              <w:widowControl/>
              <w:jc w:val="center"/>
              <w:textAlignment w:val="center"/>
              <w:rPr>
                <w:color w:val="auto"/>
                <w:sz w:val="24"/>
              </w:rPr>
            </w:pPr>
            <w:r>
              <w:rPr>
                <w:color w:val="auto"/>
                <w:sz w:val="24"/>
              </w:rPr>
              <w:t>低噪声设备、隔声、减振</w:t>
            </w:r>
          </w:p>
        </w:tc>
        <w:tc>
          <w:tcPr>
            <w:tcW w:w="2516" w:type="dxa"/>
            <w:vAlign w:val="center"/>
          </w:tcPr>
          <w:p w14:paraId="05D5CC8E">
            <w:pPr>
              <w:adjustRightInd w:val="0"/>
              <w:snapToGrid w:val="0"/>
              <w:jc w:val="center"/>
              <w:textAlignment w:val="center"/>
              <w:rPr>
                <w:color w:val="auto"/>
                <w:sz w:val="24"/>
              </w:rPr>
            </w:pPr>
            <w:r>
              <w:rPr>
                <w:color w:val="auto"/>
                <w:sz w:val="24"/>
              </w:rPr>
              <w:t>厂界满足</w:t>
            </w:r>
            <w:r>
              <w:rPr>
                <w:rFonts w:hint="eastAsia"/>
                <w:color w:val="auto"/>
                <w:sz w:val="24"/>
              </w:rPr>
              <w:t>《工业企业厂界环境噪声排放标准》（GB12348-2008）中2类</w:t>
            </w:r>
            <w:r>
              <w:rPr>
                <w:color w:val="auto"/>
                <w:sz w:val="24"/>
              </w:rPr>
              <w:t>标准限值要求</w:t>
            </w:r>
          </w:p>
        </w:tc>
      </w:tr>
      <w:tr w14:paraId="28F386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Align w:val="center"/>
          </w:tcPr>
          <w:p w14:paraId="551F3A21">
            <w:pPr>
              <w:adjustRightInd w:val="0"/>
              <w:snapToGrid w:val="0"/>
              <w:jc w:val="center"/>
              <w:textAlignment w:val="center"/>
              <w:rPr>
                <w:color w:val="auto"/>
                <w:sz w:val="24"/>
              </w:rPr>
            </w:pPr>
            <w:r>
              <w:rPr>
                <w:color w:val="auto"/>
                <w:sz w:val="24"/>
              </w:rPr>
              <w:t>电磁辐射</w:t>
            </w:r>
          </w:p>
        </w:tc>
        <w:tc>
          <w:tcPr>
            <w:tcW w:w="1617" w:type="dxa"/>
            <w:vAlign w:val="center"/>
          </w:tcPr>
          <w:p w14:paraId="10F8C477">
            <w:pPr>
              <w:adjustRightInd w:val="0"/>
              <w:snapToGrid w:val="0"/>
              <w:jc w:val="center"/>
              <w:textAlignment w:val="center"/>
              <w:rPr>
                <w:color w:val="auto"/>
                <w:sz w:val="24"/>
              </w:rPr>
            </w:pPr>
            <w:r>
              <w:rPr>
                <w:color w:val="auto"/>
                <w:sz w:val="24"/>
              </w:rPr>
              <w:t>/</w:t>
            </w:r>
          </w:p>
        </w:tc>
        <w:tc>
          <w:tcPr>
            <w:tcW w:w="1552" w:type="dxa"/>
            <w:vAlign w:val="center"/>
          </w:tcPr>
          <w:p w14:paraId="5BA36D15">
            <w:pPr>
              <w:adjustRightInd w:val="0"/>
              <w:snapToGrid w:val="0"/>
              <w:jc w:val="center"/>
              <w:textAlignment w:val="center"/>
              <w:rPr>
                <w:color w:val="auto"/>
                <w:sz w:val="24"/>
              </w:rPr>
            </w:pPr>
            <w:r>
              <w:rPr>
                <w:color w:val="auto"/>
                <w:sz w:val="24"/>
              </w:rPr>
              <w:t>/</w:t>
            </w:r>
          </w:p>
        </w:tc>
        <w:tc>
          <w:tcPr>
            <w:tcW w:w="2111" w:type="dxa"/>
            <w:vAlign w:val="center"/>
          </w:tcPr>
          <w:p w14:paraId="74260FC6">
            <w:pPr>
              <w:adjustRightInd w:val="0"/>
              <w:snapToGrid w:val="0"/>
              <w:jc w:val="center"/>
              <w:textAlignment w:val="center"/>
              <w:rPr>
                <w:color w:val="auto"/>
                <w:sz w:val="24"/>
              </w:rPr>
            </w:pPr>
            <w:r>
              <w:rPr>
                <w:color w:val="auto"/>
                <w:sz w:val="24"/>
              </w:rPr>
              <w:t>/</w:t>
            </w:r>
          </w:p>
        </w:tc>
        <w:tc>
          <w:tcPr>
            <w:tcW w:w="2516" w:type="dxa"/>
            <w:vAlign w:val="center"/>
          </w:tcPr>
          <w:p w14:paraId="45634414">
            <w:pPr>
              <w:adjustRightInd w:val="0"/>
              <w:snapToGrid w:val="0"/>
              <w:jc w:val="center"/>
              <w:textAlignment w:val="center"/>
              <w:rPr>
                <w:color w:val="auto"/>
                <w:sz w:val="24"/>
              </w:rPr>
            </w:pPr>
            <w:r>
              <w:rPr>
                <w:color w:val="auto"/>
                <w:sz w:val="24"/>
              </w:rPr>
              <w:t>/</w:t>
            </w:r>
          </w:p>
        </w:tc>
      </w:tr>
      <w:tr w14:paraId="6CF7EE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7" w:type="dxa"/>
            <w:vAlign w:val="center"/>
          </w:tcPr>
          <w:p w14:paraId="5EBABEC9">
            <w:pPr>
              <w:adjustRightInd w:val="0"/>
              <w:snapToGrid w:val="0"/>
              <w:jc w:val="center"/>
              <w:textAlignment w:val="center"/>
              <w:rPr>
                <w:color w:val="auto"/>
                <w:sz w:val="24"/>
              </w:rPr>
            </w:pPr>
            <w:r>
              <w:rPr>
                <w:color w:val="auto"/>
                <w:sz w:val="24"/>
              </w:rPr>
              <w:t>固体废物</w:t>
            </w:r>
          </w:p>
        </w:tc>
        <w:tc>
          <w:tcPr>
            <w:tcW w:w="7796" w:type="dxa"/>
            <w:gridSpan w:val="4"/>
            <w:vAlign w:val="center"/>
          </w:tcPr>
          <w:p w14:paraId="62159CE6">
            <w:pPr>
              <w:pStyle w:val="57"/>
              <w:spacing w:line="240" w:lineRule="auto"/>
              <w:ind w:firstLine="0" w:firstLineChars="0"/>
              <w:rPr>
                <w:rFonts w:hint="eastAsia"/>
                <w:color w:val="auto"/>
                <w:szCs w:val="24"/>
              </w:rPr>
            </w:pPr>
            <w:r>
              <w:rPr>
                <w:rFonts w:hint="eastAsia"/>
                <w:color w:val="auto"/>
                <w:szCs w:val="24"/>
              </w:rPr>
              <w:t>热风炉除尘系统收尘、热风炉炉渣、筛分收尘、烘干塔收尘集中收集后暂存于灰渣间，外售至肥料厂；</w:t>
            </w:r>
          </w:p>
          <w:p w14:paraId="3035EBA7">
            <w:pPr>
              <w:pStyle w:val="57"/>
              <w:spacing w:line="240" w:lineRule="auto"/>
              <w:ind w:firstLine="0" w:firstLineChars="0"/>
              <w:rPr>
                <w:rFonts w:hint="eastAsia" w:eastAsia="宋体"/>
                <w:color w:val="auto"/>
                <w:szCs w:val="24"/>
                <w:lang w:eastAsia="zh-CN"/>
              </w:rPr>
            </w:pPr>
            <w:r>
              <w:rPr>
                <w:rFonts w:hint="eastAsia"/>
                <w:color w:val="auto"/>
                <w:szCs w:val="24"/>
              </w:rPr>
              <w:t>筛分清选工段杂质外售至制砖厂</w:t>
            </w:r>
            <w:r>
              <w:rPr>
                <w:rFonts w:hint="eastAsia"/>
                <w:color w:val="auto"/>
                <w:szCs w:val="24"/>
                <w:lang w:eastAsia="zh-CN"/>
              </w:rPr>
              <w:t>；</w:t>
            </w:r>
          </w:p>
          <w:p w14:paraId="01DB46AE">
            <w:pPr>
              <w:pStyle w:val="57"/>
              <w:spacing w:line="240" w:lineRule="auto"/>
              <w:ind w:firstLine="0" w:firstLineChars="0"/>
              <w:rPr>
                <w:color w:val="auto"/>
                <w:szCs w:val="24"/>
              </w:rPr>
            </w:pPr>
            <w:r>
              <w:rPr>
                <w:color w:val="auto"/>
                <w:szCs w:val="24"/>
              </w:rPr>
              <w:t>废布袋</w:t>
            </w:r>
            <w:r>
              <w:rPr>
                <w:rFonts w:hint="eastAsia"/>
                <w:color w:val="auto"/>
                <w:szCs w:val="24"/>
              </w:rPr>
              <w:t>厂家更换时带走；</w:t>
            </w:r>
          </w:p>
          <w:p w14:paraId="71BC8A83">
            <w:pPr>
              <w:pStyle w:val="57"/>
              <w:spacing w:line="240" w:lineRule="auto"/>
              <w:ind w:firstLine="0" w:firstLineChars="0"/>
              <w:jc w:val="left"/>
              <w:rPr>
                <w:color w:val="auto"/>
                <w:szCs w:val="24"/>
              </w:rPr>
            </w:pPr>
            <w:r>
              <w:rPr>
                <w:rFonts w:hint="eastAsia"/>
                <w:color w:val="auto"/>
                <w:szCs w:val="24"/>
              </w:rPr>
              <w:t>生活垃圾由市政部门统一处理。</w:t>
            </w:r>
          </w:p>
        </w:tc>
      </w:tr>
      <w:tr w14:paraId="3A3DD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57" w:type="dxa"/>
            <w:vAlign w:val="center"/>
          </w:tcPr>
          <w:p w14:paraId="4046829A">
            <w:pPr>
              <w:adjustRightInd w:val="0"/>
              <w:snapToGrid w:val="0"/>
              <w:jc w:val="center"/>
              <w:textAlignment w:val="center"/>
              <w:rPr>
                <w:color w:val="auto"/>
                <w:sz w:val="24"/>
              </w:rPr>
            </w:pPr>
            <w:r>
              <w:rPr>
                <w:color w:val="auto"/>
                <w:sz w:val="24"/>
              </w:rPr>
              <w:t>土壤及地下水污染防治措施</w:t>
            </w:r>
          </w:p>
        </w:tc>
        <w:tc>
          <w:tcPr>
            <w:tcW w:w="7796" w:type="dxa"/>
            <w:gridSpan w:val="4"/>
            <w:vAlign w:val="center"/>
          </w:tcPr>
          <w:p w14:paraId="0458AC29">
            <w:pPr>
              <w:adjustRightInd w:val="0"/>
              <w:snapToGrid w:val="0"/>
              <w:jc w:val="center"/>
              <w:rPr>
                <w:color w:val="auto"/>
                <w:sz w:val="24"/>
              </w:rPr>
            </w:pPr>
            <w:r>
              <w:rPr>
                <w:color w:val="auto"/>
                <w:sz w:val="24"/>
              </w:rPr>
              <w:t>/</w:t>
            </w:r>
          </w:p>
        </w:tc>
      </w:tr>
      <w:tr w14:paraId="448B1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57" w:type="dxa"/>
            <w:vAlign w:val="center"/>
          </w:tcPr>
          <w:p w14:paraId="27188A74">
            <w:pPr>
              <w:adjustRightInd w:val="0"/>
              <w:snapToGrid w:val="0"/>
              <w:jc w:val="center"/>
              <w:textAlignment w:val="center"/>
              <w:rPr>
                <w:color w:val="auto"/>
                <w:sz w:val="24"/>
              </w:rPr>
            </w:pPr>
            <w:r>
              <w:rPr>
                <w:color w:val="auto"/>
                <w:sz w:val="24"/>
              </w:rPr>
              <w:t>生态保护措施</w:t>
            </w:r>
          </w:p>
        </w:tc>
        <w:tc>
          <w:tcPr>
            <w:tcW w:w="7796" w:type="dxa"/>
            <w:gridSpan w:val="4"/>
            <w:vAlign w:val="center"/>
          </w:tcPr>
          <w:p w14:paraId="4E0B254A">
            <w:pPr>
              <w:adjustRightInd w:val="0"/>
              <w:snapToGrid w:val="0"/>
              <w:jc w:val="center"/>
              <w:rPr>
                <w:color w:val="auto"/>
                <w:sz w:val="24"/>
              </w:rPr>
            </w:pPr>
            <w:r>
              <w:rPr>
                <w:color w:val="auto"/>
                <w:sz w:val="24"/>
              </w:rPr>
              <w:t>/</w:t>
            </w:r>
          </w:p>
        </w:tc>
      </w:tr>
      <w:tr w14:paraId="03F017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57" w:type="dxa"/>
            <w:vAlign w:val="center"/>
          </w:tcPr>
          <w:p w14:paraId="5A799B1B">
            <w:pPr>
              <w:adjustRightInd w:val="0"/>
              <w:snapToGrid w:val="0"/>
              <w:jc w:val="center"/>
              <w:textAlignment w:val="center"/>
              <w:rPr>
                <w:color w:val="auto"/>
                <w:sz w:val="24"/>
              </w:rPr>
            </w:pPr>
            <w:r>
              <w:rPr>
                <w:color w:val="auto"/>
                <w:sz w:val="24"/>
              </w:rPr>
              <w:t>环境风险防范措施</w:t>
            </w:r>
          </w:p>
        </w:tc>
        <w:tc>
          <w:tcPr>
            <w:tcW w:w="7796" w:type="dxa"/>
            <w:gridSpan w:val="4"/>
            <w:shd w:val="clear" w:color="auto" w:fill="auto"/>
            <w:vAlign w:val="center"/>
          </w:tcPr>
          <w:p w14:paraId="109E9F93">
            <w:pPr>
              <w:adjustRightInd w:val="0"/>
              <w:snapToGrid w:val="0"/>
              <w:jc w:val="center"/>
              <w:rPr>
                <w:color w:val="auto"/>
                <w:sz w:val="24"/>
              </w:rPr>
            </w:pPr>
            <w:r>
              <w:rPr>
                <w:color w:val="auto"/>
                <w:sz w:val="24"/>
              </w:rPr>
              <w:t>①按有关要求规范建设灰渣库、生物质燃料库，按要求进行地面硬化处理。</w:t>
            </w:r>
          </w:p>
          <w:p w14:paraId="2DD6C18A">
            <w:pPr>
              <w:adjustRightInd w:val="0"/>
              <w:snapToGrid w:val="0"/>
              <w:jc w:val="center"/>
              <w:rPr>
                <w:color w:val="auto"/>
                <w:sz w:val="24"/>
              </w:rPr>
            </w:pPr>
            <w:r>
              <w:rPr>
                <w:color w:val="auto"/>
                <w:sz w:val="24"/>
              </w:rPr>
              <w:t>②定期巡检，一旦发现布袋除尘器发生异常状况泄漏，及时采取控制措施、减少颗粒物的泄漏量。</w:t>
            </w:r>
          </w:p>
        </w:tc>
      </w:tr>
      <w:tr w14:paraId="65FA9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057" w:type="dxa"/>
            <w:vAlign w:val="center"/>
          </w:tcPr>
          <w:p w14:paraId="034E90F8">
            <w:pPr>
              <w:adjustRightInd w:val="0"/>
              <w:snapToGrid w:val="0"/>
              <w:jc w:val="center"/>
              <w:textAlignment w:val="center"/>
              <w:rPr>
                <w:color w:val="auto"/>
                <w:sz w:val="24"/>
              </w:rPr>
            </w:pPr>
            <w:r>
              <w:rPr>
                <w:color w:val="auto"/>
                <w:sz w:val="24"/>
              </w:rPr>
              <w:t>其他环境管理要求</w:t>
            </w:r>
          </w:p>
        </w:tc>
        <w:tc>
          <w:tcPr>
            <w:tcW w:w="7796" w:type="dxa"/>
            <w:gridSpan w:val="4"/>
            <w:shd w:val="clear" w:color="auto" w:fill="auto"/>
            <w:vAlign w:val="center"/>
          </w:tcPr>
          <w:p w14:paraId="527229C5">
            <w:pPr>
              <w:rPr>
                <w:color w:val="auto"/>
                <w:sz w:val="24"/>
              </w:rPr>
            </w:pPr>
            <w:r>
              <w:rPr>
                <w:color w:val="auto"/>
                <w:sz w:val="24"/>
              </w:rPr>
              <w:t>一、根据《关于做好环境影响评价制度与排污许可制衔接相关工作的通知》（环办环评〔2017〕84号），建设单位应根据本项目污染物产生及排放情况，及时办理本项目排污许可相关手续。</w:t>
            </w:r>
          </w:p>
          <w:p w14:paraId="31E7BE30">
            <w:pPr>
              <w:rPr>
                <w:color w:val="auto"/>
                <w:sz w:val="24"/>
              </w:rPr>
            </w:pPr>
            <w:r>
              <w:rPr>
                <w:color w:val="auto"/>
                <w:sz w:val="24"/>
              </w:rPr>
              <w:t>二、排污口规范化设置</w:t>
            </w:r>
          </w:p>
          <w:p w14:paraId="7990DCEE">
            <w:pPr>
              <w:rPr>
                <w:color w:val="auto"/>
                <w:sz w:val="24"/>
              </w:rPr>
            </w:pPr>
            <w:r>
              <w:rPr>
                <w:color w:val="auto"/>
                <w:sz w:val="24"/>
              </w:rPr>
              <w:t>根据国家标准《环境保护图形标志-排放口(源)》和国家环保总局《排污口规范化整治要求(试行)》的技术要求，企业所有排放口(包括水、气、声、渣)必须按照“便于采样、便于计量检测、便于日常现场监督检查”的原则和规范化要求，设置与之相适应的环境保护图形标志牌，绘制企业排污口分布图，排污口规范化要符合有关要求。</w:t>
            </w:r>
          </w:p>
          <w:p w14:paraId="7C2DEFFF">
            <w:pPr>
              <w:rPr>
                <w:color w:val="auto"/>
                <w:sz w:val="24"/>
              </w:rPr>
            </w:pPr>
            <w:r>
              <w:rPr>
                <w:color w:val="auto"/>
                <w:sz w:val="24"/>
              </w:rPr>
              <w:t>（1）废气排放口</w:t>
            </w:r>
          </w:p>
          <w:p w14:paraId="5F08408B">
            <w:pPr>
              <w:rPr>
                <w:color w:val="auto"/>
                <w:sz w:val="24"/>
              </w:rPr>
            </w:pPr>
            <w:r>
              <w:rPr>
                <w:color w:val="auto"/>
                <w:sz w:val="24"/>
              </w:rPr>
              <w:t>建设单位需按《排污口设置及规范化整治管理办法》要求进行废气排污口规范化设计。排气筒(烟囱)应设置便于采样、监测的采样口和采样监测平台。有净化设施的，应在其进出口分别设置采样口。环境保护图形标志牌应设在排气筒附近地面醒目处。</w:t>
            </w:r>
          </w:p>
          <w:p w14:paraId="072CC644">
            <w:pPr>
              <w:rPr>
                <w:color w:val="auto"/>
                <w:sz w:val="24"/>
              </w:rPr>
            </w:pPr>
            <w:r>
              <w:rPr>
                <w:color w:val="auto"/>
                <w:sz w:val="24"/>
              </w:rPr>
              <w:t>（</w:t>
            </w:r>
            <w:r>
              <w:rPr>
                <w:rFonts w:hint="eastAsia"/>
                <w:color w:val="auto"/>
                <w:sz w:val="24"/>
                <w:lang w:val="en-US" w:eastAsia="zh-CN"/>
              </w:rPr>
              <w:t>2</w:t>
            </w:r>
            <w:r>
              <w:rPr>
                <w:color w:val="auto"/>
                <w:sz w:val="24"/>
              </w:rPr>
              <w:t>）固定噪声污染源扰民处规范化整治</w:t>
            </w:r>
          </w:p>
          <w:p w14:paraId="428908FF">
            <w:pPr>
              <w:rPr>
                <w:color w:val="auto"/>
                <w:sz w:val="24"/>
              </w:rPr>
            </w:pPr>
            <w:r>
              <w:rPr>
                <w:color w:val="auto"/>
                <w:sz w:val="24"/>
              </w:rPr>
              <w:t>对固定噪声污染源（即其产生的噪声超标国家标准并干扰他人正常生活、工作和学习的固定噪声源）对边界影响最大处，设置环境噪声监测点，并在该处附近醒目处设置环境保护图形标志牌；边界上有若干个在声环境中相对独立的固定噪声污染源扰民处，应分别设置环境噪声监测点和环境保护图形标志牌。</w:t>
            </w:r>
          </w:p>
          <w:p w14:paraId="3747BCCD">
            <w:pPr>
              <w:rPr>
                <w:color w:val="auto"/>
                <w:sz w:val="24"/>
              </w:rPr>
            </w:pPr>
            <w:r>
              <w:rPr>
                <w:color w:val="auto"/>
                <w:sz w:val="24"/>
              </w:rPr>
              <w:t>（</w:t>
            </w:r>
            <w:r>
              <w:rPr>
                <w:rFonts w:hint="eastAsia"/>
                <w:color w:val="auto"/>
                <w:sz w:val="24"/>
                <w:lang w:val="en-US" w:eastAsia="zh-CN"/>
              </w:rPr>
              <w:t>3</w:t>
            </w:r>
            <w:r>
              <w:rPr>
                <w:color w:val="auto"/>
                <w:sz w:val="24"/>
              </w:rPr>
              <w:t>）固废堆放规范化整治</w:t>
            </w:r>
          </w:p>
          <w:p w14:paraId="2B350C7F">
            <w:pPr>
              <w:rPr>
                <w:color w:val="auto"/>
                <w:sz w:val="24"/>
              </w:rPr>
            </w:pPr>
            <w:r>
              <w:rPr>
                <w:color w:val="auto"/>
                <w:sz w:val="24"/>
              </w:rPr>
              <w:t>固废堆场应设置环境保护图形标志牌，将生活垃圾、工业固废等分开堆放，做到防火、防扬散、防渗漏，确保不对周围环境形成二次污染。一般工业固废暂存库及危险废物暂存库应根据《环境保护图形标志——固体废物贮存（处置）场》（GB15562.2-1995）的要求设置环境保护图形标志，标志牌应设在与之功能相应的醒目处，标志牌必须保持清晰、完整。当发现形象损坏、颜色污染或有变化、</w:t>
            </w:r>
            <w:r>
              <w:rPr>
                <w:rFonts w:hint="eastAsia"/>
                <w:color w:val="auto"/>
                <w:sz w:val="24"/>
                <w:lang w:eastAsia="zh-CN"/>
              </w:rPr>
              <w:t>褪色</w:t>
            </w:r>
            <w:r>
              <w:rPr>
                <w:color w:val="auto"/>
                <w:sz w:val="24"/>
              </w:rPr>
              <w:t>等不符合本标准的情况，应及时修复或更换。检查时间至少每半年一次。厂区“三废”及噪声排放点应设置明显标志，标志的设置应执行《环境保护图形标志排放口（源）》（GBl5562.1-1995）的有关规定。排污口规范化整治应符合国家、省、市有关规定，并通过主管环保部门认证和验收。排放口图形标志见下表：</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060"/>
              <w:gridCol w:w="1890"/>
              <w:gridCol w:w="1513"/>
              <w:gridCol w:w="1437"/>
            </w:tblGrid>
            <w:tr w14:paraId="7F432D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8" w:type="pct"/>
                  <w:vAlign w:val="center"/>
                </w:tcPr>
                <w:p w14:paraId="35CFDE31">
                  <w:pPr>
                    <w:jc w:val="center"/>
                    <w:rPr>
                      <w:color w:val="auto"/>
                      <w:sz w:val="24"/>
                    </w:rPr>
                  </w:pPr>
                  <w:r>
                    <w:rPr>
                      <w:color w:val="auto"/>
                      <w:sz w:val="24"/>
                    </w:rPr>
                    <w:t>序号</w:t>
                  </w:r>
                </w:p>
              </w:tc>
              <w:tc>
                <w:tcPr>
                  <w:tcW w:w="1358" w:type="pct"/>
                  <w:vAlign w:val="center"/>
                </w:tcPr>
                <w:p w14:paraId="7B72B4B8">
                  <w:pPr>
                    <w:jc w:val="center"/>
                    <w:rPr>
                      <w:color w:val="auto"/>
                      <w:sz w:val="24"/>
                    </w:rPr>
                  </w:pPr>
                  <w:r>
                    <w:rPr>
                      <w:color w:val="auto"/>
                      <w:sz w:val="24"/>
                    </w:rPr>
                    <w:t>提示图形符号</w:t>
                  </w:r>
                </w:p>
              </w:tc>
              <w:tc>
                <w:tcPr>
                  <w:tcW w:w="1246" w:type="pct"/>
                  <w:vAlign w:val="center"/>
                </w:tcPr>
                <w:p w14:paraId="453C425E">
                  <w:pPr>
                    <w:jc w:val="center"/>
                    <w:rPr>
                      <w:color w:val="auto"/>
                      <w:sz w:val="24"/>
                    </w:rPr>
                  </w:pPr>
                  <w:r>
                    <w:rPr>
                      <w:color w:val="auto"/>
                      <w:sz w:val="24"/>
                    </w:rPr>
                    <w:t>警告图形符号</w:t>
                  </w:r>
                </w:p>
              </w:tc>
              <w:tc>
                <w:tcPr>
                  <w:tcW w:w="998" w:type="pct"/>
                  <w:vAlign w:val="center"/>
                </w:tcPr>
                <w:p w14:paraId="580E587E">
                  <w:pPr>
                    <w:jc w:val="center"/>
                    <w:rPr>
                      <w:color w:val="auto"/>
                      <w:sz w:val="24"/>
                    </w:rPr>
                  </w:pPr>
                  <w:r>
                    <w:rPr>
                      <w:color w:val="auto"/>
                      <w:sz w:val="24"/>
                    </w:rPr>
                    <w:t>名称</w:t>
                  </w:r>
                </w:p>
              </w:tc>
              <w:tc>
                <w:tcPr>
                  <w:tcW w:w="947" w:type="pct"/>
                  <w:vAlign w:val="center"/>
                </w:tcPr>
                <w:p w14:paraId="347A37BB">
                  <w:pPr>
                    <w:jc w:val="center"/>
                    <w:rPr>
                      <w:color w:val="auto"/>
                      <w:sz w:val="24"/>
                    </w:rPr>
                  </w:pPr>
                  <w:r>
                    <w:rPr>
                      <w:color w:val="auto"/>
                      <w:sz w:val="24"/>
                    </w:rPr>
                    <w:t>功能</w:t>
                  </w:r>
                </w:p>
              </w:tc>
            </w:tr>
            <w:tr w14:paraId="4AAD1C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8" w:type="pct"/>
                  <w:vAlign w:val="center"/>
                </w:tcPr>
                <w:p w14:paraId="61E79183">
                  <w:pPr>
                    <w:jc w:val="center"/>
                    <w:rPr>
                      <w:color w:val="auto"/>
                      <w:sz w:val="24"/>
                    </w:rPr>
                  </w:pPr>
                  <w:r>
                    <w:rPr>
                      <w:rFonts w:hint="eastAsia"/>
                      <w:color w:val="auto"/>
                      <w:sz w:val="24"/>
                    </w:rPr>
                    <w:t>1</w:t>
                  </w:r>
                </w:p>
              </w:tc>
              <w:tc>
                <w:tcPr>
                  <w:tcW w:w="1358" w:type="pct"/>
                  <w:vAlign w:val="center"/>
                </w:tcPr>
                <w:p w14:paraId="7642AEE7">
                  <w:pPr>
                    <w:jc w:val="center"/>
                    <w:rPr>
                      <w:color w:val="auto"/>
                      <w:sz w:val="24"/>
                    </w:rPr>
                  </w:pPr>
                  <w:r>
                    <w:rPr>
                      <w:color w:val="auto"/>
                      <w:sz w:val="24"/>
                    </w:rPr>
                    <w:drawing>
                      <wp:inline distT="0" distB="0" distL="114300" distR="114300">
                        <wp:extent cx="647065" cy="647065"/>
                        <wp:effectExtent l="0" t="0" r="635" b="635"/>
                        <wp:docPr id="53" name="图片 22" descr="QQ截图2018030209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QQ截图20180302091651"/>
                                <pic:cNvPicPr>
                                  <a:picLocks noChangeAspect="1"/>
                                </pic:cNvPicPr>
                              </pic:nvPicPr>
                              <pic:blipFill>
                                <a:blip r:embed="rId59"/>
                                <a:stretch>
                                  <a:fillRect/>
                                </a:stretch>
                              </pic:blipFill>
                              <pic:spPr>
                                <a:xfrm>
                                  <a:off x="0" y="0"/>
                                  <a:ext cx="647065" cy="647065"/>
                                </a:xfrm>
                                <a:prstGeom prst="rect">
                                  <a:avLst/>
                                </a:prstGeom>
                                <a:noFill/>
                                <a:ln>
                                  <a:noFill/>
                                </a:ln>
                              </pic:spPr>
                            </pic:pic>
                          </a:graphicData>
                        </a:graphic>
                      </wp:inline>
                    </w:drawing>
                  </w:r>
                </w:p>
              </w:tc>
              <w:tc>
                <w:tcPr>
                  <w:tcW w:w="1246" w:type="pct"/>
                  <w:vAlign w:val="center"/>
                </w:tcPr>
                <w:p w14:paraId="7C36FA12">
                  <w:pPr>
                    <w:jc w:val="center"/>
                    <w:rPr>
                      <w:color w:val="auto"/>
                      <w:sz w:val="24"/>
                    </w:rPr>
                  </w:pPr>
                  <w:r>
                    <w:rPr>
                      <w:color w:val="auto"/>
                      <w:sz w:val="24"/>
                    </w:rPr>
                    <w:drawing>
                      <wp:inline distT="0" distB="0" distL="114300" distR="114300">
                        <wp:extent cx="737870" cy="647700"/>
                        <wp:effectExtent l="0" t="0" r="5080" b="0"/>
                        <wp:docPr id="54" name="图片 23" descr="QQ截图2018030209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3" descr="QQ截图20180302091701"/>
                                <pic:cNvPicPr>
                                  <a:picLocks noChangeAspect="1"/>
                                </pic:cNvPicPr>
                              </pic:nvPicPr>
                              <pic:blipFill>
                                <a:blip r:embed="rId60"/>
                                <a:stretch>
                                  <a:fillRect/>
                                </a:stretch>
                              </pic:blipFill>
                              <pic:spPr>
                                <a:xfrm>
                                  <a:off x="0" y="0"/>
                                  <a:ext cx="737870" cy="647700"/>
                                </a:xfrm>
                                <a:prstGeom prst="rect">
                                  <a:avLst/>
                                </a:prstGeom>
                                <a:noFill/>
                                <a:ln>
                                  <a:noFill/>
                                </a:ln>
                              </pic:spPr>
                            </pic:pic>
                          </a:graphicData>
                        </a:graphic>
                      </wp:inline>
                    </w:drawing>
                  </w:r>
                </w:p>
              </w:tc>
              <w:tc>
                <w:tcPr>
                  <w:tcW w:w="998" w:type="pct"/>
                  <w:vAlign w:val="center"/>
                </w:tcPr>
                <w:p w14:paraId="2C2E1190">
                  <w:pPr>
                    <w:jc w:val="center"/>
                    <w:rPr>
                      <w:color w:val="auto"/>
                      <w:sz w:val="24"/>
                    </w:rPr>
                  </w:pPr>
                  <w:r>
                    <w:rPr>
                      <w:color w:val="auto"/>
                      <w:sz w:val="24"/>
                    </w:rPr>
                    <w:t>噪声排放源</w:t>
                  </w:r>
                </w:p>
              </w:tc>
              <w:tc>
                <w:tcPr>
                  <w:tcW w:w="947" w:type="pct"/>
                  <w:vAlign w:val="center"/>
                </w:tcPr>
                <w:p w14:paraId="2CDB5E32">
                  <w:pPr>
                    <w:jc w:val="center"/>
                    <w:rPr>
                      <w:color w:val="auto"/>
                      <w:sz w:val="24"/>
                    </w:rPr>
                  </w:pPr>
                  <w:r>
                    <w:rPr>
                      <w:color w:val="auto"/>
                      <w:sz w:val="24"/>
                    </w:rPr>
                    <w:t>表示噪声向外环境排放</w:t>
                  </w:r>
                </w:p>
              </w:tc>
            </w:tr>
            <w:tr w14:paraId="0C8AC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8" w:type="pct"/>
                  <w:vAlign w:val="center"/>
                </w:tcPr>
                <w:p w14:paraId="01EAE099">
                  <w:pPr>
                    <w:jc w:val="center"/>
                    <w:rPr>
                      <w:color w:val="auto"/>
                      <w:sz w:val="24"/>
                    </w:rPr>
                  </w:pPr>
                  <w:r>
                    <w:rPr>
                      <w:rFonts w:hint="eastAsia"/>
                      <w:color w:val="auto"/>
                      <w:sz w:val="24"/>
                    </w:rPr>
                    <w:t>2</w:t>
                  </w:r>
                </w:p>
              </w:tc>
              <w:tc>
                <w:tcPr>
                  <w:tcW w:w="1358" w:type="pct"/>
                  <w:vAlign w:val="center"/>
                </w:tcPr>
                <w:p w14:paraId="76A4BF18">
                  <w:pPr>
                    <w:jc w:val="center"/>
                    <w:rPr>
                      <w:color w:val="auto"/>
                      <w:sz w:val="24"/>
                    </w:rPr>
                  </w:pPr>
                  <w:r>
                    <w:rPr>
                      <w:color w:val="auto"/>
                      <w:sz w:val="24"/>
                    </w:rPr>
                    <w:drawing>
                      <wp:inline distT="0" distB="0" distL="114300" distR="114300">
                        <wp:extent cx="647065" cy="657225"/>
                        <wp:effectExtent l="0" t="0" r="635" b="9525"/>
                        <wp:docPr id="55" name="图片 24" descr="5004926_20075408374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4" descr="5004926_200754083745_2"/>
                                <pic:cNvPicPr>
                                  <a:picLocks noChangeAspect="1"/>
                                </pic:cNvPicPr>
                              </pic:nvPicPr>
                              <pic:blipFill>
                                <a:blip r:embed="rId61"/>
                                <a:stretch>
                                  <a:fillRect/>
                                </a:stretch>
                              </pic:blipFill>
                              <pic:spPr>
                                <a:xfrm>
                                  <a:off x="0" y="0"/>
                                  <a:ext cx="647065" cy="657225"/>
                                </a:xfrm>
                                <a:prstGeom prst="rect">
                                  <a:avLst/>
                                </a:prstGeom>
                                <a:noFill/>
                                <a:ln>
                                  <a:noFill/>
                                </a:ln>
                              </pic:spPr>
                            </pic:pic>
                          </a:graphicData>
                        </a:graphic>
                      </wp:inline>
                    </w:drawing>
                  </w:r>
                </w:p>
              </w:tc>
              <w:tc>
                <w:tcPr>
                  <w:tcW w:w="1246" w:type="pct"/>
                  <w:vAlign w:val="center"/>
                </w:tcPr>
                <w:p w14:paraId="3793A23E">
                  <w:pPr>
                    <w:jc w:val="center"/>
                    <w:rPr>
                      <w:color w:val="auto"/>
                      <w:sz w:val="24"/>
                    </w:rPr>
                  </w:pPr>
                  <w:r>
                    <w:rPr>
                      <w:color w:val="auto"/>
                      <w:sz w:val="24"/>
                    </w:rPr>
                    <w:drawing>
                      <wp:inline distT="0" distB="0" distL="114300" distR="114300">
                        <wp:extent cx="728980" cy="647700"/>
                        <wp:effectExtent l="0" t="0" r="13970" b="0"/>
                        <wp:docPr id="56" name="图片 25" descr="wps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5" descr="wps1754"/>
                                <pic:cNvPicPr>
                                  <a:picLocks noChangeAspect="1"/>
                                </pic:cNvPicPr>
                              </pic:nvPicPr>
                              <pic:blipFill>
                                <a:blip r:embed="rId62"/>
                                <a:stretch>
                                  <a:fillRect/>
                                </a:stretch>
                              </pic:blipFill>
                              <pic:spPr>
                                <a:xfrm>
                                  <a:off x="0" y="0"/>
                                  <a:ext cx="728980" cy="647700"/>
                                </a:xfrm>
                                <a:prstGeom prst="rect">
                                  <a:avLst/>
                                </a:prstGeom>
                                <a:noFill/>
                                <a:ln>
                                  <a:noFill/>
                                </a:ln>
                              </pic:spPr>
                            </pic:pic>
                          </a:graphicData>
                        </a:graphic>
                      </wp:inline>
                    </w:drawing>
                  </w:r>
                </w:p>
              </w:tc>
              <w:tc>
                <w:tcPr>
                  <w:tcW w:w="998" w:type="pct"/>
                  <w:vAlign w:val="center"/>
                </w:tcPr>
                <w:p w14:paraId="7FA664D1">
                  <w:pPr>
                    <w:jc w:val="center"/>
                    <w:rPr>
                      <w:color w:val="auto"/>
                      <w:sz w:val="24"/>
                    </w:rPr>
                  </w:pPr>
                  <w:r>
                    <w:rPr>
                      <w:color w:val="auto"/>
                      <w:sz w:val="24"/>
                    </w:rPr>
                    <w:t>一般工业固体废物</w:t>
                  </w:r>
                </w:p>
              </w:tc>
              <w:tc>
                <w:tcPr>
                  <w:tcW w:w="947" w:type="pct"/>
                  <w:vAlign w:val="center"/>
                </w:tcPr>
                <w:p w14:paraId="685E18BB">
                  <w:pPr>
                    <w:jc w:val="center"/>
                    <w:rPr>
                      <w:color w:val="auto"/>
                      <w:sz w:val="24"/>
                    </w:rPr>
                  </w:pPr>
                  <w:r>
                    <w:rPr>
                      <w:color w:val="auto"/>
                      <w:sz w:val="24"/>
                    </w:rPr>
                    <w:t>表示一般工业固体废物贮存、处置场</w:t>
                  </w:r>
                </w:p>
              </w:tc>
            </w:tr>
          </w:tbl>
          <w:p w14:paraId="70ED9E8E">
            <w:pPr>
              <w:adjustRightInd w:val="0"/>
              <w:snapToGrid w:val="0"/>
              <w:spacing w:line="360" w:lineRule="auto"/>
              <w:jc w:val="center"/>
              <w:rPr>
                <w:color w:val="auto"/>
                <w:sz w:val="24"/>
              </w:rPr>
            </w:pPr>
          </w:p>
        </w:tc>
      </w:tr>
    </w:tbl>
    <w:p w14:paraId="3A509DB7">
      <w:pPr>
        <w:pStyle w:val="30"/>
        <w:jc w:val="center"/>
        <w:outlineLvl w:val="0"/>
        <w:rPr>
          <w:rFonts w:ascii="Times New Roman" w:hAnsi="Times New Roman"/>
          <w:snapToGrid w:val="0"/>
          <w:color w:val="auto"/>
          <w:sz w:val="30"/>
          <w:szCs w:val="30"/>
        </w:rPr>
      </w:pPr>
      <w:r>
        <w:rPr>
          <w:rFonts w:ascii="Times New Roman" w:hAnsi="Times New Roman"/>
          <w:snapToGrid w:val="0"/>
          <w:color w:val="auto"/>
        </w:rPr>
        <w:br w:type="page"/>
      </w:r>
      <w:bookmarkStart w:id="16" w:name="_Toc23776"/>
      <w:bookmarkStart w:id="17" w:name="_Toc7756"/>
      <w:r>
        <w:rPr>
          <w:rFonts w:ascii="Times New Roman" w:hAnsi="Times New Roman"/>
          <w:snapToGrid w:val="0"/>
          <w:color w:val="auto"/>
          <w:sz w:val="30"/>
          <w:szCs w:val="30"/>
        </w:rPr>
        <w:t>六、结论</w:t>
      </w:r>
      <w:bookmarkEnd w:id="16"/>
      <w:bookmarkEnd w:id="17"/>
    </w:p>
    <w:tbl>
      <w:tblPr>
        <w:tblStyle w:val="35"/>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9160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027C02EF">
            <w:pPr>
              <w:spacing w:line="360" w:lineRule="auto"/>
              <w:ind w:firstLine="480" w:firstLineChars="200"/>
              <w:rPr>
                <w:color w:val="auto"/>
                <w:sz w:val="24"/>
              </w:rPr>
            </w:pPr>
            <w:r>
              <w:rPr>
                <w:color w:val="auto"/>
                <w:sz w:val="24"/>
              </w:rPr>
              <w:t>项目符合国家产业政策要求，符合</w:t>
            </w:r>
            <w:r>
              <w:rPr>
                <w:rFonts w:hint="eastAsia"/>
                <w:color w:val="auto"/>
                <w:sz w:val="24"/>
              </w:rPr>
              <w:t>佳木斯市</w:t>
            </w:r>
            <w:r>
              <w:rPr>
                <w:color w:val="auto"/>
                <w:sz w:val="24"/>
              </w:rPr>
              <w:t>“</w:t>
            </w:r>
            <w:r>
              <w:rPr>
                <w:rFonts w:hint="eastAsia"/>
                <w:color w:val="auto"/>
                <w:sz w:val="24"/>
              </w:rPr>
              <w:t>生态环境分区管控要求</w:t>
            </w:r>
            <w:r>
              <w:rPr>
                <w:color w:val="auto"/>
                <w:sz w:val="24"/>
              </w:rPr>
              <w:t>”及其他环保政策相关规定，选址合理，污染防治措施合理有效，污染物能够达标排放，对周围环境影响较小。在采纳本报告表所提出的污染治理，并在各种污染治理措施落实良好的前提下，从环保角度考虑，本项目建设可行。</w:t>
            </w:r>
          </w:p>
          <w:p w14:paraId="565224B9">
            <w:pPr>
              <w:spacing w:line="360" w:lineRule="auto"/>
              <w:rPr>
                <w:color w:val="auto"/>
                <w:sz w:val="24"/>
              </w:rPr>
            </w:pPr>
          </w:p>
        </w:tc>
      </w:tr>
    </w:tbl>
    <w:p w14:paraId="089C47B4">
      <w:pPr>
        <w:rPr>
          <w:color w:val="auto"/>
        </w:rPr>
        <w:sectPr>
          <w:pgSz w:w="11906" w:h="16838"/>
          <w:pgMar w:top="1701" w:right="1531" w:bottom="1701" w:left="1531" w:header="851" w:footer="851" w:gutter="0"/>
          <w:cols w:space="720" w:num="1"/>
          <w:docGrid w:linePitch="312" w:charSpace="0"/>
        </w:sectPr>
      </w:pPr>
    </w:p>
    <w:p w14:paraId="48829E99">
      <w:pPr>
        <w:pStyle w:val="30"/>
        <w:adjustRightInd w:val="0"/>
        <w:snapToGrid w:val="0"/>
        <w:spacing w:before="0" w:beforeAutospacing="0" w:after="0" w:afterAutospacing="0"/>
        <w:outlineLvl w:val="0"/>
        <w:rPr>
          <w:rFonts w:ascii="Times New Roman" w:hAnsi="Times New Roman"/>
          <w:snapToGrid w:val="0"/>
          <w:color w:val="auto"/>
          <w:sz w:val="32"/>
          <w:szCs w:val="32"/>
        </w:rPr>
      </w:pPr>
      <w:bookmarkStart w:id="18" w:name="_Toc19871"/>
      <w:bookmarkStart w:id="19" w:name="_Toc32602"/>
      <w:r>
        <w:rPr>
          <w:rFonts w:ascii="Times New Roman" w:hAnsi="Times New Roman"/>
          <w:snapToGrid w:val="0"/>
          <w:color w:val="auto"/>
          <w:sz w:val="32"/>
          <w:szCs w:val="32"/>
        </w:rPr>
        <w:t>附表</w:t>
      </w:r>
      <w:bookmarkEnd w:id="18"/>
      <w:bookmarkEnd w:id="19"/>
    </w:p>
    <w:p w14:paraId="61D8CB17">
      <w:pPr>
        <w:pStyle w:val="30"/>
        <w:adjustRightInd w:val="0"/>
        <w:snapToGrid w:val="0"/>
        <w:spacing w:before="0" w:beforeAutospacing="0" w:after="0" w:afterAutospacing="0"/>
        <w:jc w:val="center"/>
        <w:outlineLvl w:val="0"/>
        <w:rPr>
          <w:rFonts w:ascii="Times New Roman" w:hAnsi="Times New Roman"/>
          <w:snapToGrid w:val="0"/>
          <w:color w:val="auto"/>
          <w:sz w:val="38"/>
          <w:szCs w:val="38"/>
        </w:rPr>
      </w:pPr>
      <w:bookmarkStart w:id="20" w:name="_Toc6072"/>
      <w:bookmarkStart w:id="21" w:name="_Toc18819"/>
      <w:bookmarkStart w:id="22" w:name="_Toc29567"/>
      <w:r>
        <w:rPr>
          <w:rFonts w:ascii="Times New Roman" w:hAnsi="Times New Roman"/>
          <w:snapToGrid w:val="0"/>
          <w:color w:val="auto"/>
          <w:sz w:val="38"/>
          <w:szCs w:val="38"/>
        </w:rPr>
        <w:t>建设项目污染物排放量汇总表</w:t>
      </w:r>
      <w:bookmarkEnd w:id="20"/>
      <w:bookmarkEnd w:id="21"/>
      <w:bookmarkEnd w:id="22"/>
    </w:p>
    <w:tbl>
      <w:tblPr>
        <w:tblStyle w:val="35"/>
        <w:tblW w:w="138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2112"/>
        <w:gridCol w:w="1794"/>
        <w:gridCol w:w="1881"/>
        <w:gridCol w:w="1724"/>
        <w:gridCol w:w="1947"/>
        <w:gridCol w:w="1632"/>
        <w:gridCol w:w="1447"/>
      </w:tblGrid>
      <w:tr w14:paraId="4DE9A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98" w:type="dxa"/>
            <w:tcBorders>
              <w:tl2br w:val="single" w:color="auto" w:sz="4" w:space="0"/>
            </w:tcBorders>
            <w:tcMar>
              <w:left w:w="28" w:type="dxa"/>
              <w:right w:w="28" w:type="dxa"/>
            </w:tcMar>
            <w:vAlign w:val="center"/>
          </w:tcPr>
          <w:p w14:paraId="7EE3D411">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项目</w:t>
            </w:r>
          </w:p>
          <w:p w14:paraId="02A1C6B1">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分类</w:t>
            </w:r>
          </w:p>
        </w:tc>
        <w:tc>
          <w:tcPr>
            <w:tcW w:w="2112" w:type="dxa"/>
            <w:tcMar>
              <w:left w:w="28" w:type="dxa"/>
              <w:right w:w="28" w:type="dxa"/>
            </w:tcMar>
            <w:vAlign w:val="center"/>
          </w:tcPr>
          <w:p w14:paraId="2DC6B829">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污染物名称</w:t>
            </w:r>
          </w:p>
        </w:tc>
        <w:tc>
          <w:tcPr>
            <w:tcW w:w="1794" w:type="dxa"/>
            <w:tcMar>
              <w:left w:w="28" w:type="dxa"/>
              <w:right w:w="28" w:type="dxa"/>
            </w:tcMar>
            <w:vAlign w:val="center"/>
          </w:tcPr>
          <w:p w14:paraId="76774A1E">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现有工程</w:t>
            </w:r>
          </w:p>
          <w:p w14:paraId="74E25BAB">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kern w:val="2"/>
                <w:szCs w:val="21"/>
              </w:rPr>
              <w:t>①</w:t>
            </w:r>
            <w:r>
              <w:rPr>
                <w:rFonts w:ascii="Times New Roman"/>
                <w:snapToGrid w:val="0"/>
                <w:color w:val="auto"/>
                <w:spacing w:val="-6"/>
                <w:kern w:val="21"/>
                <w:szCs w:val="21"/>
              </w:rPr>
              <w:fldChar w:fldCharType="end"/>
            </w:r>
          </w:p>
        </w:tc>
        <w:tc>
          <w:tcPr>
            <w:tcW w:w="1881" w:type="dxa"/>
            <w:tcMar>
              <w:left w:w="28" w:type="dxa"/>
              <w:right w:w="28" w:type="dxa"/>
            </w:tcMar>
            <w:vAlign w:val="center"/>
          </w:tcPr>
          <w:p w14:paraId="591FCD69">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在建工程</w:t>
            </w:r>
          </w:p>
          <w:p w14:paraId="771194DE">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ascii="Times New Roman"/>
                <w:color w:val="auto"/>
                <w:kern w:val="2"/>
                <w:szCs w:val="21"/>
              </w:rPr>
              <w:t>③</w:t>
            </w:r>
            <w:r>
              <w:rPr>
                <w:rFonts w:ascii="Times New Roman"/>
                <w:snapToGrid w:val="0"/>
                <w:color w:val="auto"/>
                <w:spacing w:val="-6"/>
                <w:kern w:val="21"/>
                <w:szCs w:val="21"/>
              </w:rPr>
              <w:fldChar w:fldCharType="end"/>
            </w:r>
          </w:p>
        </w:tc>
        <w:tc>
          <w:tcPr>
            <w:tcW w:w="1724" w:type="dxa"/>
            <w:tcMar>
              <w:left w:w="28" w:type="dxa"/>
              <w:right w:w="28" w:type="dxa"/>
            </w:tcMar>
            <w:vAlign w:val="center"/>
          </w:tcPr>
          <w:p w14:paraId="5C897E71">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本项目</w:t>
            </w:r>
          </w:p>
          <w:p w14:paraId="5C25C075">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ascii="Times New Roman"/>
                <w:color w:val="auto"/>
                <w:kern w:val="2"/>
                <w:szCs w:val="21"/>
              </w:rPr>
              <w:t>④</w:t>
            </w:r>
            <w:r>
              <w:rPr>
                <w:rFonts w:ascii="Times New Roman"/>
                <w:snapToGrid w:val="0"/>
                <w:color w:val="auto"/>
                <w:spacing w:val="-6"/>
                <w:kern w:val="21"/>
                <w:szCs w:val="21"/>
              </w:rPr>
              <w:fldChar w:fldCharType="end"/>
            </w:r>
          </w:p>
        </w:tc>
        <w:tc>
          <w:tcPr>
            <w:tcW w:w="1947" w:type="dxa"/>
            <w:tcMar>
              <w:left w:w="28" w:type="dxa"/>
              <w:right w:w="28" w:type="dxa"/>
            </w:tcMar>
            <w:vAlign w:val="center"/>
          </w:tcPr>
          <w:p w14:paraId="0DF49B71">
            <w:pPr>
              <w:pStyle w:val="56"/>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以新带老削减量</w:t>
            </w:r>
          </w:p>
          <w:p w14:paraId="6EE45CDC">
            <w:pPr>
              <w:pStyle w:val="56"/>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（新建项目不填）</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ascii="Times New Roman"/>
                <w:color w:val="auto"/>
                <w:kern w:val="2"/>
                <w:szCs w:val="21"/>
              </w:rPr>
              <w:t>⑤</w:t>
            </w:r>
            <w:r>
              <w:rPr>
                <w:rFonts w:ascii="Times New Roman"/>
                <w:snapToGrid w:val="0"/>
                <w:color w:val="auto"/>
                <w:spacing w:val="-16"/>
                <w:kern w:val="21"/>
                <w:szCs w:val="21"/>
              </w:rPr>
              <w:fldChar w:fldCharType="end"/>
            </w:r>
          </w:p>
        </w:tc>
        <w:tc>
          <w:tcPr>
            <w:tcW w:w="1632" w:type="dxa"/>
            <w:tcMar>
              <w:left w:w="28" w:type="dxa"/>
              <w:right w:w="28" w:type="dxa"/>
            </w:tcMar>
            <w:vAlign w:val="center"/>
          </w:tcPr>
          <w:p w14:paraId="04E6D22D">
            <w:pPr>
              <w:pStyle w:val="56"/>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本项目建成后</w:t>
            </w:r>
          </w:p>
          <w:p w14:paraId="4C7AABC1">
            <w:pPr>
              <w:pStyle w:val="56"/>
              <w:spacing w:beforeLines="0" w:afterLines="0" w:line="240" w:lineRule="auto"/>
              <w:rPr>
                <w:rFonts w:ascii="Times New Roman"/>
                <w:snapToGrid w:val="0"/>
                <w:color w:val="auto"/>
                <w:spacing w:val="-16"/>
                <w:kern w:val="21"/>
                <w:szCs w:val="21"/>
              </w:rPr>
            </w:pPr>
            <w:r>
              <w:rPr>
                <w:rFonts w:ascii="Times New Roman"/>
                <w:snapToGrid w:val="0"/>
                <w:color w:val="auto"/>
                <w:spacing w:val="-16"/>
                <w:kern w:val="21"/>
                <w:szCs w:val="21"/>
              </w:rPr>
              <w:t>全厂排放量（固体废物产生量）</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kern w:val="2"/>
                <w:szCs w:val="21"/>
              </w:rPr>
              <w:t>⑥</w:t>
            </w:r>
            <w:r>
              <w:rPr>
                <w:rFonts w:ascii="Times New Roman"/>
                <w:snapToGrid w:val="0"/>
                <w:color w:val="auto"/>
                <w:spacing w:val="-16"/>
                <w:kern w:val="21"/>
                <w:szCs w:val="21"/>
              </w:rPr>
              <w:fldChar w:fldCharType="end"/>
            </w:r>
          </w:p>
        </w:tc>
        <w:tc>
          <w:tcPr>
            <w:tcW w:w="1447" w:type="dxa"/>
            <w:tcMar>
              <w:left w:w="28" w:type="dxa"/>
              <w:right w:w="28" w:type="dxa"/>
            </w:tcMar>
            <w:vAlign w:val="center"/>
          </w:tcPr>
          <w:p w14:paraId="1971BFB5">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t>变化量</w:t>
            </w:r>
          </w:p>
          <w:p w14:paraId="626F9015">
            <w:pPr>
              <w:pStyle w:val="56"/>
              <w:spacing w:beforeLines="0" w:afterLines="0" w:line="240" w:lineRule="auto"/>
              <w:rPr>
                <w:rFonts w:ascii="Times New Roman"/>
                <w:snapToGrid w:val="0"/>
                <w:color w:val="auto"/>
                <w:spacing w:val="-6"/>
                <w:kern w:val="21"/>
                <w:szCs w:val="21"/>
              </w:rPr>
            </w:pP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ascii="Times New Roman"/>
                <w:color w:val="auto"/>
                <w:kern w:val="2"/>
                <w:szCs w:val="21"/>
              </w:rPr>
              <w:t>⑦</w:t>
            </w:r>
            <w:r>
              <w:rPr>
                <w:rFonts w:ascii="Times New Roman"/>
                <w:snapToGrid w:val="0"/>
                <w:color w:val="auto"/>
                <w:spacing w:val="-6"/>
                <w:kern w:val="21"/>
                <w:szCs w:val="21"/>
              </w:rPr>
              <w:fldChar w:fldCharType="end"/>
            </w:r>
          </w:p>
        </w:tc>
      </w:tr>
      <w:tr w14:paraId="6E4BC0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98" w:type="dxa"/>
            <w:vMerge w:val="restart"/>
            <w:vAlign w:val="center"/>
          </w:tcPr>
          <w:p w14:paraId="18EF011E">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废气</w:t>
            </w:r>
          </w:p>
        </w:tc>
        <w:tc>
          <w:tcPr>
            <w:tcW w:w="2112" w:type="dxa"/>
            <w:vAlign w:val="center"/>
          </w:tcPr>
          <w:p w14:paraId="6F4E00B0">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颗粒物</w:t>
            </w:r>
          </w:p>
        </w:tc>
        <w:tc>
          <w:tcPr>
            <w:tcW w:w="1794" w:type="dxa"/>
            <w:vAlign w:val="center"/>
          </w:tcPr>
          <w:p w14:paraId="6696C280">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881" w:type="dxa"/>
            <w:shd w:val="clear" w:color="auto" w:fill="auto"/>
            <w:vAlign w:val="center"/>
          </w:tcPr>
          <w:p w14:paraId="5BE3DD0D">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24" w:type="dxa"/>
            <w:vAlign w:val="center"/>
          </w:tcPr>
          <w:p w14:paraId="49088436">
            <w:pPr>
              <w:pStyle w:val="56"/>
              <w:spacing w:beforeLines="0" w:afterLines="0" w:line="240" w:lineRule="auto"/>
              <w:rPr>
                <w:color w:val="auto"/>
              </w:rPr>
            </w:pPr>
            <w:r>
              <w:rPr>
                <w:rFonts w:hint="eastAsia" w:ascii="Times New Roman"/>
                <w:snapToGrid w:val="0"/>
                <w:color w:val="auto"/>
                <w:kern w:val="21"/>
                <w:szCs w:val="21"/>
                <w:lang w:eastAsia="zh-CN"/>
              </w:rPr>
              <w:t>1.717</w:t>
            </w:r>
            <w:r>
              <w:rPr>
                <w:rFonts w:ascii="Times New Roman"/>
                <w:snapToGrid w:val="0"/>
                <w:color w:val="auto"/>
                <w:kern w:val="21"/>
                <w:szCs w:val="21"/>
              </w:rPr>
              <w:t>t/a</w:t>
            </w:r>
          </w:p>
        </w:tc>
        <w:tc>
          <w:tcPr>
            <w:tcW w:w="1947" w:type="dxa"/>
            <w:shd w:val="clear" w:color="auto" w:fill="auto"/>
            <w:vAlign w:val="center"/>
          </w:tcPr>
          <w:p w14:paraId="042B18E7">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632" w:type="dxa"/>
            <w:vAlign w:val="center"/>
          </w:tcPr>
          <w:p w14:paraId="4E063E97">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1.717</w:t>
            </w:r>
            <w:r>
              <w:rPr>
                <w:rFonts w:ascii="Times New Roman"/>
                <w:snapToGrid w:val="0"/>
                <w:color w:val="auto"/>
                <w:kern w:val="21"/>
                <w:szCs w:val="21"/>
              </w:rPr>
              <w:t>t/a</w:t>
            </w:r>
          </w:p>
        </w:tc>
        <w:tc>
          <w:tcPr>
            <w:tcW w:w="1447" w:type="dxa"/>
            <w:vAlign w:val="center"/>
          </w:tcPr>
          <w:p w14:paraId="6A95450A">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1.717</w:t>
            </w:r>
            <w:r>
              <w:rPr>
                <w:rFonts w:ascii="Times New Roman"/>
                <w:snapToGrid w:val="0"/>
                <w:color w:val="auto"/>
                <w:kern w:val="21"/>
                <w:szCs w:val="21"/>
              </w:rPr>
              <w:t>t/a</w:t>
            </w:r>
          </w:p>
        </w:tc>
      </w:tr>
      <w:tr w14:paraId="66635E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98" w:type="dxa"/>
            <w:vMerge w:val="continue"/>
            <w:vAlign w:val="center"/>
          </w:tcPr>
          <w:p w14:paraId="2950549F">
            <w:pPr>
              <w:pStyle w:val="56"/>
              <w:spacing w:beforeLines="0" w:afterLines="0" w:line="240" w:lineRule="auto"/>
              <w:rPr>
                <w:rFonts w:ascii="Times New Roman"/>
                <w:snapToGrid w:val="0"/>
                <w:color w:val="auto"/>
                <w:kern w:val="21"/>
                <w:szCs w:val="21"/>
              </w:rPr>
            </w:pPr>
          </w:p>
        </w:tc>
        <w:tc>
          <w:tcPr>
            <w:tcW w:w="2112" w:type="dxa"/>
            <w:vAlign w:val="center"/>
          </w:tcPr>
          <w:p w14:paraId="056EE85D">
            <w:pPr>
              <w:pStyle w:val="56"/>
              <w:spacing w:beforeLines="0" w:afterLines="0" w:line="240" w:lineRule="auto"/>
              <w:rPr>
                <w:rFonts w:ascii="Times New Roman"/>
                <w:snapToGrid w:val="0"/>
                <w:color w:val="auto"/>
                <w:kern w:val="21"/>
                <w:szCs w:val="21"/>
              </w:rPr>
            </w:pPr>
            <w:r>
              <w:rPr>
                <w:rFonts w:ascii="Times New Roman"/>
                <w:color w:val="auto"/>
                <w:szCs w:val="21"/>
                <w:lang w:bidi="ar"/>
              </w:rPr>
              <w:t>SO</w:t>
            </w:r>
            <w:r>
              <w:rPr>
                <w:rFonts w:ascii="Times New Roman"/>
                <w:color w:val="auto"/>
                <w:szCs w:val="21"/>
                <w:vertAlign w:val="subscript"/>
                <w:lang w:bidi="ar"/>
              </w:rPr>
              <w:t>2</w:t>
            </w:r>
          </w:p>
        </w:tc>
        <w:tc>
          <w:tcPr>
            <w:tcW w:w="1794" w:type="dxa"/>
            <w:vAlign w:val="center"/>
          </w:tcPr>
          <w:p w14:paraId="062AB901">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881" w:type="dxa"/>
            <w:shd w:val="clear" w:color="auto" w:fill="auto"/>
            <w:vAlign w:val="center"/>
          </w:tcPr>
          <w:p w14:paraId="663DEA45">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24" w:type="dxa"/>
            <w:vAlign w:val="center"/>
          </w:tcPr>
          <w:p w14:paraId="1A355A28">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1.30</w:t>
            </w:r>
            <w:r>
              <w:rPr>
                <w:rFonts w:ascii="Times New Roman"/>
                <w:snapToGrid w:val="0"/>
                <w:color w:val="auto"/>
                <w:kern w:val="21"/>
                <w:szCs w:val="21"/>
              </w:rPr>
              <w:t>t/a</w:t>
            </w:r>
          </w:p>
        </w:tc>
        <w:tc>
          <w:tcPr>
            <w:tcW w:w="1947" w:type="dxa"/>
            <w:shd w:val="clear" w:color="auto" w:fill="auto"/>
            <w:vAlign w:val="center"/>
          </w:tcPr>
          <w:p w14:paraId="690229D0">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632" w:type="dxa"/>
            <w:vAlign w:val="center"/>
          </w:tcPr>
          <w:p w14:paraId="088B78D6">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1.30</w:t>
            </w:r>
            <w:r>
              <w:rPr>
                <w:rFonts w:ascii="Times New Roman"/>
                <w:snapToGrid w:val="0"/>
                <w:color w:val="auto"/>
                <w:kern w:val="21"/>
                <w:szCs w:val="21"/>
              </w:rPr>
              <w:t>t/a</w:t>
            </w:r>
          </w:p>
        </w:tc>
        <w:tc>
          <w:tcPr>
            <w:tcW w:w="1447" w:type="dxa"/>
            <w:vAlign w:val="center"/>
          </w:tcPr>
          <w:p w14:paraId="56047C2A">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1.30</w:t>
            </w:r>
            <w:r>
              <w:rPr>
                <w:rFonts w:ascii="Times New Roman"/>
                <w:snapToGrid w:val="0"/>
                <w:color w:val="auto"/>
                <w:kern w:val="21"/>
                <w:szCs w:val="21"/>
              </w:rPr>
              <w:t>t/a</w:t>
            </w:r>
          </w:p>
        </w:tc>
      </w:tr>
      <w:tr w14:paraId="61ACEB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98" w:type="dxa"/>
            <w:vMerge w:val="continue"/>
            <w:vAlign w:val="center"/>
          </w:tcPr>
          <w:p w14:paraId="595D0900">
            <w:pPr>
              <w:pStyle w:val="56"/>
              <w:spacing w:beforeLines="0" w:afterLines="0" w:line="240" w:lineRule="auto"/>
              <w:rPr>
                <w:rFonts w:ascii="Times New Roman"/>
                <w:snapToGrid w:val="0"/>
                <w:color w:val="auto"/>
                <w:kern w:val="21"/>
                <w:szCs w:val="21"/>
              </w:rPr>
            </w:pPr>
          </w:p>
        </w:tc>
        <w:tc>
          <w:tcPr>
            <w:tcW w:w="2112" w:type="dxa"/>
            <w:vAlign w:val="center"/>
          </w:tcPr>
          <w:p w14:paraId="5F50E491">
            <w:pPr>
              <w:pStyle w:val="56"/>
              <w:spacing w:beforeLines="0" w:afterLines="0" w:line="240" w:lineRule="auto"/>
              <w:rPr>
                <w:rFonts w:ascii="Times New Roman"/>
                <w:snapToGrid w:val="0"/>
                <w:color w:val="auto"/>
                <w:kern w:val="21"/>
                <w:szCs w:val="21"/>
              </w:rPr>
            </w:pPr>
            <w:r>
              <w:rPr>
                <w:rFonts w:ascii="Times New Roman"/>
                <w:color w:val="auto"/>
                <w:szCs w:val="21"/>
                <w:lang w:bidi="ar"/>
              </w:rPr>
              <w:t>NO</w:t>
            </w:r>
            <w:r>
              <w:rPr>
                <w:rFonts w:ascii="Times New Roman"/>
                <w:color w:val="auto"/>
                <w:szCs w:val="21"/>
                <w:vertAlign w:val="subscript"/>
                <w:lang w:bidi="ar"/>
              </w:rPr>
              <w:t>X</w:t>
            </w:r>
          </w:p>
        </w:tc>
        <w:tc>
          <w:tcPr>
            <w:tcW w:w="1794" w:type="dxa"/>
            <w:vAlign w:val="center"/>
          </w:tcPr>
          <w:p w14:paraId="2E4088AB">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881" w:type="dxa"/>
            <w:shd w:val="clear" w:color="auto" w:fill="auto"/>
            <w:vAlign w:val="center"/>
          </w:tcPr>
          <w:p w14:paraId="72EC587D">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24" w:type="dxa"/>
            <w:vAlign w:val="center"/>
          </w:tcPr>
          <w:p w14:paraId="531186A3">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1.55</w:t>
            </w:r>
            <w:r>
              <w:rPr>
                <w:rFonts w:hint="eastAsia" w:ascii="Times New Roman"/>
                <w:snapToGrid w:val="0"/>
                <w:color w:val="auto"/>
                <w:kern w:val="21"/>
                <w:szCs w:val="21"/>
              </w:rPr>
              <w:t>t</w:t>
            </w:r>
            <w:r>
              <w:rPr>
                <w:rFonts w:ascii="Times New Roman"/>
                <w:snapToGrid w:val="0"/>
                <w:color w:val="auto"/>
                <w:kern w:val="21"/>
                <w:szCs w:val="21"/>
              </w:rPr>
              <w:t>/a</w:t>
            </w:r>
          </w:p>
        </w:tc>
        <w:tc>
          <w:tcPr>
            <w:tcW w:w="1947" w:type="dxa"/>
            <w:shd w:val="clear" w:color="auto" w:fill="auto"/>
            <w:vAlign w:val="center"/>
          </w:tcPr>
          <w:p w14:paraId="2C5A8211">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632" w:type="dxa"/>
            <w:vAlign w:val="center"/>
          </w:tcPr>
          <w:p w14:paraId="2FAFCF38">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1.55</w:t>
            </w:r>
            <w:r>
              <w:rPr>
                <w:rFonts w:hint="eastAsia" w:ascii="Times New Roman"/>
                <w:snapToGrid w:val="0"/>
                <w:color w:val="auto"/>
                <w:kern w:val="21"/>
                <w:szCs w:val="21"/>
              </w:rPr>
              <w:t>t</w:t>
            </w:r>
            <w:r>
              <w:rPr>
                <w:rFonts w:ascii="Times New Roman"/>
                <w:snapToGrid w:val="0"/>
                <w:color w:val="auto"/>
                <w:kern w:val="21"/>
                <w:szCs w:val="21"/>
              </w:rPr>
              <w:t>/a</w:t>
            </w:r>
          </w:p>
        </w:tc>
        <w:tc>
          <w:tcPr>
            <w:tcW w:w="1447" w:type="dxa"/>
            <w:vAlign w:val="center"/>
          </w:tcPr>
          <w:p w14:paraId="67E8310A">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1.55</w:t>
            </w:r>
            <w:r>
              <w:rPr>
                <w:rFonts w:hint="eastAsia" w:ascii="Times New Roman"/>
                <w:snapToGrid w:val="0"/>
                <w:color w:val="auto"/>
                <w:kern w:val="21"/>
                <w:szCs w:val="21"/>
              </w:rPr>
              <w:t>t</w:t>
            </w:r>
            <w:r>
              <w:rPr>
                <w:rFonts w:ascii="Times New Roman"/>
                <w:snapToGrid w:val="0"/>
                <w:color w:val="auto"/>
                <w:kern w:val="21"/>
                <w:szCs w:val="21"/>
              </w:rPr>
              <w:t>/a</w:t>
            </w:r>
          </w:p>
        </w:tc>
      </w:tr>
      <w:tr w14:paraId="0B3FC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restart"/>
            <w:vAlign w:val="center"/>
          </w:tcPr>
          <w:p w14:paraId="29BBEF17">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固体废物</w:t>
            </w:r>
          </w:p>
        </w:tc>
        <w:tc>
          <w:tcPr>
            <w:tcW w:w="2112" w:type="dxa"/>
            <w:vAlign w:val="center"/>
          </w:tcPr>
          <w:p w14:paraId="37B15401">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热风炉收尘</w:t>
            </w:r>
          </w:p>
        </w:tc>
        <w:tc>
          <w:tcPr>
            <w:tcW w:w="1794" w:type="dxa"/>
            <w:vAlign w:val="center"/>
          </w:tcPr>
          <w:p w14:paraId="5CBC7C39">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881" w:type="dxa"/>
            <w:shd w:val="clear" w:color="auto" w:fill="auto"/>
            <w:vAlign w:val="center"/>
          </w:tcPr>
          <w:p w14:paraId="00036F61">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724" w:type="dxa"/>
            <w:vAlign w:val="center"/>
          </w:tcPr>
          <w:p w14:paraId="13EA2584">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106.68</w:t>
            </w:r>
            <w:r>
              <w:rPr>
                <w:rFonts w:ascii="Times New Roman"/>
                <w:snapToGrid w:val="0"/>
                <w:color w:val="auto"/>
                <w:kern w:val="21"/>
                <w:szCs w:val="21"/>
              </w:rPr>
              <w:t>t/a</w:t>
            </w:r>
          </w:p>
        </w:tc>
        <w:tc>
          <w:tcPr>
            <w:tcW w:w="1947" w:type="dxa"/>
            <w:shd w:val="clear" w:color="auto" w:fill="auto"/>
            <w:vAlign w:val="center"/>
          </w:tcPr>
          <w:p w14:paraId="0AAEB603">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632" w:type="dxa"/>
            <w:vAlign w:val="center"/>
          </w:tcPr>
          <w:p w14:paraId="5EEC5C20">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106.68</w:t>
            </w:r>
            <w:r>
              <w:rPr>
                <w:rFonts w:ascii="Times New Roman"/>
                <w:snapToGrid w:val="0"/>
                <w:color w:val="auto"/>
                <w:kern w:val="21"/>
                <w:szCs w:val="21"/>
              </w:rPr>
              <w:t>t/a</w:t>
            </w:r>
          </w:p>
        </w:tc>
        <w:tc>
          <w:tcPr>
            <w:tcW w:w="1447" w:type="dxa"/>
            <w:vAlign w:val="center"/>
          </w:tcPr>
          <w:p w14:paraId="2B8B1CD2">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106.68</w:t>
            </w:r>
            <w:r>
              <w:rPr>
                <w:rFonts w:ascii="Times New Roman"/>
                <w:snapToGrid w:val="0"/>
                <w:color w:val="auto"/>
                <w:kern w:val="21"/>
                <w:szCs w:val="21"/>
              </w:rPr>
              <w:t>t/a</w:t>
            </w:r>
          </w:p>
        </w:tc>
      </w:tr>
      <w:tr w14:paraId="3D8FB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5E624DAD">
            <w:pPr>
              <w:pStyle w:val="56"/>
              <w:spacing w:beforeLines="0" w:afterLines="0" w:line="240" w:lineRule="auto"/>
              <w:rPr>
                <w:rFonts w:ascii="Times New Roman"/>
                <w:snapToGrid w:val="0"/>
                <w:color w:val="auto"/>
                <w:kern w:val="21"/>
                <w:szCs w:val="21"/>
              </w:rPr>
            </w:pPr>
          </w:p>
        </w:tc>
        <w:tc>
          <w:tcPr>
            <w:tcW w:w="2112" w:type="dxa"/>
            <w:vAlign w:val="center"/>
          </w:tcPr>
          <w:p w14:paraId="7D690447">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废布袋</w:t>
            </w:r>
          </w:p>
        </w:tc>
        <w:tc>
          <w:tcPr>
            <w:tcW w:w="1794" w:type="dxa"/>
            <w:vAlign w:val="center"/>
          </w:tcPr>
          <w:p w14:paraId="06DEB8E5">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881" w:type="dxa"/>
            <w:shd w:val="clear" w:color="auto" w:fill="auto"/>
            <w:vAlign w:val="center"/>
          </w:tcPr>
          <w:p w14:paraId="68AA9583">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724" w:type="dxa"/>
            <w:vAlign w:val="center"/>
          </w:tcPr>
          <w:p w14:paraId="6CF2B867">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0.2</w:t>
            </w:r>
            <w:r>
              <w:rPr>
                <w:rFonts w:ascii="Times New Roman"/>
                <w:snapToGrid w:val="0"/>
                <w:color w:val="auto"/>
                <w:kern w:val="21"/>
                <w:szCs w:val="21"/>
              </w:rPr>
              <w:t>t/a</w:t>
            </w:r>
          </w:p>
        </w:tc>
        <w:tc>
          <w:tcPr>
            <w:tcW w:w="1947" w:type="dxa"/>
            <w:shd w:val="clear" w:color="auto" w:fill="auto"/>
            <w:vAlign w:val="center"/>
          </w:tcPr>
          <w:p w14:paraId="0ED091B0">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632" w:type="dxa"/>
            <w:vAlign w:val="center"/>
          </w:tcPr>
          <w:p w14:paraId="0E62F55B">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0.2</w:t>
            </w:r>
            <w:r>
              <w:rPr>
                <w:rFonts w:ascii="Times New Roman"/>
                <w:snapToGrid w:val="0"/>
                <w:color w:val="auto"/>
                <w:kern w:val="21"/>
                <w:szCs w:val="21"/>
              </w:rPr>
              <w:t>t/a</w:t>
            </w:r>
          </w:p>
        </w:tc>
        <w:tc>
          <w:tcPr>
            <w:tcW w:w="1447" w:type="dxa"/>
            <w:vAlign w:val="center"/>
          </w:tcPr>
          <w:p w14:paraId="6A2D1376">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0.2</w:t>
            </w:r>
            <w:r>
              <w:rPr>
                <w:rFonts w:ascii="Times New Roman"/>
                <w:snapToGrid w:val="0"/>
                <w:color w:val="auto"/>
                <w:kern w:val="21"/>
                <w:szCs w:val="21"/>
              </w:rPr>
              <w:t>t/a</w:t>
            </w:r>
          </w:p>
        </w:tc>
      </w:tr>
      <w:tr w14:paraId="605E0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5D284236">
            <w:pPr>
              <w:pStyle w:val="56"/>
              <w:spacing w:beforeLines="0" w:afterLines="0" w:line="240" w:lineRule="auto"/>
              <w:rPr>
                <w:rFonts w:ascii="Times New Roman"/>
                <w:snapToGrid w:val="0"/>
                <w:color w:val="auto"/>
                <w:kern w:val="21"/>
                <w:szCs w:val="21"/>
              </w:rPr>
            </w:pPr>
          </w:p>
        </w:tc>
        <w:tc>
          <w:tcPr>
            <w:tcW w:w="2112" w:type="dxa"/>
            <w:vAlign w:val="center"/>
          </w:tcPr>
          <w:p w14:paraId="587230DB">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炉渣</w:t>
            </w:r>
          </w:p>
        </w:tc>
        <w:tc>
          <w:tcPr>
            <w:tcW w:w="1794" w:type="dxa"/>
            <w:vAlign w:val="center"/>
          </w:tcPr>
          <w:p w14:paraId="68742BC6">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881" w:type="dxa"/>
            <w:shd w:val="clear" w:color="auto" w:fill="auto"/>
            <w:vAlign w:val="center"/>
          </w:tcPr>
          <w:p w14:paraId="5260E323">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24" w:type="dxa"/>
            <w:vAlign w:val="center"/>
          </w:tcPr>
          <w:p w14:paraId="7A58DB4B">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221.93</w:t>
            </w:r>
            <w:r>
              <w:rPr>
                <w:rFonts w:ascii="Times New Roman"/>
                <w:snapToGrid w:val="0"/>
                <w:color w:val="auto"/>
                <w:kern w:val="21"/>
                <w:szCs w:val="21"/>
              </w:rPr>
              <w:t>t/a</w:t>
            </w:r>
          </w:p>
        </w:tc>
        <w:tc>
          <w:tcPr>
            <w:tcW w:w="1947" w:type="dxa"/>
            <w:shd w:val="clear" w:color="auto" w:fill="auto"/>
            <w:vAlign w:val="center"/>
          </w:tcPr>
          <w:p w14:paraId="46E71A2E">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632" w:type="dxa"/>
            <w:vAlign w:val="center"/>
          </w:tcPr>
          <w:p w14:paraId="281EB4AA">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221.93</w:t>
            </w:r>
            <w:r>
              <w:rPr>
                <w:rFonts w:ascii="Times New Roman"/>
                <w:snapToGrid w:val="0"/>
                <w:color w:val="auto"/>
                <w:kern w:val="21"/>
                <w:szCs w:val="21"/>
              </w:rPr>
              <w:t>t/a</w:t>
            </w:r>
          </w:p>
        </w:tc>
        <w:tc>
          <w:tcPr>
            <w:tcW w:w="1447" w:type="dxa"/>
            <w:vAlign w:val="center"/>
          </w:tcPr>
          <w:p w14:paraId="6A6C6A1E">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eastAsia="zh-CN"/>
              </w:rPr>
              <w:t>221.93</w:t>
            </w:r>
            <w:r>
              <w:rPr>
                <w:rFonts w:ascii="Times New Roman"/>
                <w:snapToGrid w:val="0"/>
                <w:color w:val="auto"/>
                <w:kern w:val="21"/>
                <w:szCs w:val="21"/>
              </w:rPr>
              <w:t>t/a</w:t>
            </w:r>
          </w:p>
        </w:tc>
      </w:tr>
      <w:tr w14:paraId="55E916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570FA5B7">
            <w:pPr>
              <w:pStyle w:val="56"/>
              <w:spacing w:beforeLines="0" w:afterLines="0" w:line="240" w:lineRule="auto"/>
              <w:rPr>
                <w:rFonts w:ascii="Times New Roman"/>
                <w:snapToGrid w:val="0"/>
                <w:color w:val="auto"/>
                <w:kern w:val="21"/>
                <w:szCs w:val="21"/>
              </w:rPr>
            </w:pPr>
          </w:p>
        </w:tc>
        <w:tc>
          <w:tcPr>
            <w:tcW w:w="2112" w:type="dxa"/>
            <w:vAlign w:val="center"/>
          </w:tcPr>
          <w:p w14:paraId="2F2C4496">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烘干塔收尘</w:t>
            </w:r>
          </w:p>
        </w:tc>
        <w:tc>
          <w:tcPr>
            <w:tcW w:w="1794" w:type="dxa"/>
            <w:vAlign w:val="center"/>
          </w:tcPr>
          <w:p w14:paraId="63BAFC85">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881" w:type="dxa"/>
            <w:shd w:val="clear" w:color="auto" w:fill="auto"/>
            <w:vAlign w:val="center"/>
          </w:tcPr>
          <w:p w14:paraId="50B047D8">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724" w:type="dxa"/>
            <w:vAlign w:val="center"/>
          </w:tcPr>
          <w:p w14:paraId="26171010">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1.65</w:t>
            </w:r>
            <w:r>
              <w:rPr>
                <w:rFonts w:ascii="Times New Roman"/>
                <w:snapToGrid w:val="0"/>
                <w:color w:val="auto"/>
                <w:kern w:val="21"/>
                <w:szCs w:val="21"/>
              </w:rPr>
              <w:t>t/a</w:t>
            </w:r>
          </w:p>
        </w:tc>
        <w:tc>
          <w:tcPr>
            <w:tcW w:w="1947" w:type="dxa"/>
            <w:shd w:val="clear" w:color="auto" w:fill="auto"/>
            <w:vAlign w:val="center"/>
          </w:tcPr>
          <w:p w14:paraId="53ECEF77">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632" w:type="dxa"/>
            <w:vAlign w:val="center"/>
          </w:tcPr>
          <w:p w14:paraId="7FC531C9">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1.65</w:t>
            </w:r>
            <w:r>
              <w:rPr>
                <w:rFonts w:ascii="Times New Roman"/>
                <w:snapToGrid w:val="0"/>
                <w:color w:val="auto"/>
                <w:kern w:val="21"/>
                <w:szCs w:val="21"/>
              </w:rPr>
              <w:t>t/a</w:t>
            </w:r>
          </w:p>
        </w:tc>
        <w:tc>
          <w:tcPr>
            <w:tcW w:w="1447" w:type="dxa"/>
            <w:vAlign w:val="center"/>
          </w:tcPr>
          <w:p w14:paraId="4D727E79">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1.65</w:t>
            </w:r>
            <w:r>
              <w:rPr>
                <w:rFonts w:ascii="Times New Roman"/>
                <w:snapToGrid w:val="0"/>
                <w:color w:val="auto"/>
                <w:kern w:val="21"/>
                <w:szCs w:val="21"/>
              </w:rPr>
              <w:t>t/a</w:t>
            </w:r>
          </w:p>
        </w:tc>
      </w:tr>
      <w:tr w14:paraId="68D05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255ACCA6">
            <w:pPr>
              <w:pStyle w:val="56"/>
              <w:spacing w:beforeLines="0" w:afterLines="0" w:line="240" w:lineRule="auto"/>
              <w:rPr>
                <w:rFonts w:ascii="Times New Roman"/>
                <w:snapToGrid w:val="0"/>
                <w:color w:val="auto"/>
                <w:kern w:val="21"/>
                <w:szCs w:val="21"/>
              </w:rPr>
            </w:pPr>
          </w:p>
        </w:tc>
        <w:tc>
          <w:tcPr>
            <w:tcW w:w="2112" w:type="dxa"/>
            <w:vAlign w:val="center"/>
          </w:tcPr>
          <w:p w14:paraId="1761D606">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筛分杂质</w:t>
            </w:r>
          </w:p>
        </w:tc>
        <w:tc>
          <w:tcPr>
            <w:tcW w:w="1794" w:type="dxa"/>
            <w:vAlign w:val="center"/>
          </w:tcPr>
          <w:p w14:paraId="6EFBA379">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881" w:type="dxa"/>
            <w:shd w:val="clear" w:color="auto" w:fill="auto"/>
            <w:vAlign w:val="center"/>
          </w:tcPr>
          <w:p w14:paraId="0CF95593">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724" w:type="dxa"/>
            <w:vAlign w:val="center"/>
          </w:tcPr>
          <w:p w14:paraId="5DA93E54">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20</w:t>
            </w:r>
            <w:r>
              <w:rPr>
                <w:rFonts w:ascii="Times New Roman"/>
                <w:snapToGrid w:val="0"/>
                <w:color w:val="auto"/>
                <w:kern w:val="21"/>
                <w:szCs w:val="21"/>
              </w:rPr>
              <w:t>t/a</w:t>
            </w:r>
          </w:p>
        </w:tc>
        <w:tc>
          <w:tcPr>
            <w:tcW w:w="1947" w:type="dxa"/>
            <w:shd w:val="clear" w:color="auto" w:fill="auto"/>
            <w:vAlign w:val="center"/>
          </w:tcPr>
          <w:p w14:paraId="25C2F4F8">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632" w:type="dxa"/>
            <w:vAlign w:val="center"/>
          </w:tcPr>
          <w:p w14:paraId="38B6C802">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20</w:t>
            </w:r>
            <w:r>
              <w:rPr>
                <w:rFonts w:ascii="Times New Roman"/>
                <w:snapToGrid w:val="0"/>
                <w:color w:val="auto"/>
                <w:kern w:val="21"/>
                <w:szCs w:val="21"/>
              </w:rPr>
              <w:t>t/a</w:t>
            </w:r>
          </w:p>
        </w:tc>
        <w:tc>
          <w:tcPr>
            <w:tcW w:w="1447" w:type="dxa"/>
            <w:vAlign w:val="center"/>
          </w:tcPr>
          <w:p w14:paraId="47261224">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20</w:t>
            </w:r>
            <w:r>
              <w:rPr>
                <w:rFonts w:ascii="Times New Roman"/>
                <w:snapToGrid w:val="0"/>
                <w:color w:val="auto"/>
                <w:kern w:val="21"/>
                <w:szCs w:val="21"/>
              </w:rPr>
              <w:t>t/a</w:t>
            </w:r>
          </w:p>
        </w:tc>
      </w:tr>
      <w:tr w14:paraId="634A3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32989D1E">
            <w:pPr>
              <w:pStyle w:val="56"/>
              <w:spacing w:beforeLines="0" w:afterLines="0" w:line="240" w:lineRule="auto"/>
              <w:rPr>
                <w:rFonts w:ascii="Times New Roman"/>
                <w:snapToGrid w:val="0"/>
                <w:color w:val="auto"/>
                <w:kern w:val="21"/>
                <w:szCs w:val="21"/>
              </w:rPr>
            </w:pPr>
          </w:p>
        </w:tc>
        <w:tc>
          <w:tcPr>
            <w:tcW w:w="2112" w:type="dxa"/>
            <w:vAlign w:val="center"/>
          </w:tcPr>
          <w:p w14:paraId="39EBCAEC">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筛分收尘</w:t>
            </w:r>
          </w:p>
        </w:tc>
        <w:tc>
          <w:tcPr>
            <w:tcW w:w="1794" w:type="dxa"/>
            <w:vAlign w:val="center"/>
          </w:tcPr>
          <w:p w14:paraId="14BB4DAA">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881" w:type="dxa"/>
            <w:shd w:val="clear" w:color="auto" w:fill="auto"/>
            <w:vAlign w:val="center"/>
          </w:tcPr>
          <w:p w14:paraId="493D85FB">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24" w:type="dxa"/>
            <w:vAlign w:val="center"/>
          </w:tcPr>
          <w:p w14:paraId="09786F53">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2.723‬</w:t>
            </w:r>
            <w:r>
              <w:rPr>
                <w:rFonts w:hint="eastAsia" w:ascii="Times New Roman"/>
                <w:snapToGrid w:val="0"/>
                <w:color w:val="auto"/>
                <w:kern w:val="21"/>
                <w:szCs w:val="21"/>
              </w:rPr>
              <w:t>t/a</w:t>
            </w:r>
          </w:p>
        </w:tc>
        <w:tc>
          <w:tcPr>
            <w:tcW w:w="1947" w:type="dxa"/>
            <w:shd w:val="clear" w:color="auto" w:fill="auto"/>
            <w:vAlign w:val="center"/>
          </w:tcPr>
          <w:p w14:paraId="55A2F400">
            <w:pPr>
              <w:pStyle w:val="56"/>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632" w:type="dxa"/>
            <w:vAlign w:val="center"/>
          </w:tcPr>
          <w:p w14:paraId="13B5B19B">
            <w:pPr>
              <w:jc w:val="center"/>
              <w:rPr>
                <w:snapToGrid w:val="0"/>
                <w:color w:val="auto"/>
                <w:kern w:val="21"/>
                <w:szCs w:val="21"/>
              </w:rPr>
            </w:pPr>
            <w:r>
              <w:rPr>
                <w:rFonts w:hint="eastAsia"/>
                <w:snapToGrid w:val="0"/>
                <w:color w:val="auto"/>
                <w:kern w:val="21"/>
                <w:szCs w:val="21"/>
                <w:lang w:val="en-US" w:eastAsia="zh-CN"/>
              </w:rPr>
              <w:t>2.723‬</w:t>
            </w:r>
            <w:r>
              <w:rPr>
                <w:rFonts w:hint="eastAsia"/>
                <w:snapToGrid w:val="0"/>
                <w:color w:val="auto"/>
                <w:kern w:val="21"/>
                <w:szCs w:val="21"/>
              </w:rPr>
              <w:t>t/a</w:t>
            </w:r>
          </w:p>
        </w:tc>
        <w:tc>
          <w:tcPr>
            <w:tcW w:w="1447" w:type="dxa"/>
            <w:vAlign w:val="center"/>
          </w:tcPr>
          <w:p w14:paraId="0C3268A6">
            <w:pPr>
              <w:jc w:val="center"/>
              <w:rPr>
                <w:snapToGrid w:val="0"/>
                <w:color w:val="auto"/>
                <w:kern w:val="21"/>
                <w:szCs w:val="21"/>
              </w:rPr>
            </w:pPr>
            <w:r>
              <w:rPr>
                <w:rFonts w:hint="eastAsia"/>
                <w:snapToGrid w:val="0"/>
                <w:color w:val="auto"/>
                <w:kern w:val="21"/>
                <w:szCs w:val="21"/>
                <w:lang w:val="en-US" w:eastAsia="zh-CN"/>
              </w:rPr>
              <w:t>2.723‬</w:t>
            </w:r>
            <w:r>
              <w:rPr>
                <w:rFonts w:hint="eastAsia"/>
                <w:snapToGrid w:val="0"/>
                <w:color w:val="auto"/>
                <w:kern w:val="21"/>
                <w:szCs w:val="21"/>
              </w:rPr>
              <w:t>t/a</w:t>
            </w:r>
          </w:p>
        </w:tc>
      </w:tr>
      <w:tr w14:paraId="7270C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98" w:type="dxa"/>
            <w:vAlign w:val="center"/>
          </w:tcPr>
          <w:p w14:paraId="5239D3F8">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危险废物</w:t>
            </w:r>
          </w:p>
        </w:tc>
        <w:tc>
          <w:tcPr>
            <w:tcW w:w="2112" w:type="dxa"/>
            <w:vAlign w:val="center"/>
          </w:tcPr>
          <w:p w14:paraId="44451D11">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794" w:type="dxa"/>
            <w:vAlign w:val="center"/>
          </w:tcPr>
          <w:p w14:paraId="39BFE2B2">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881" w:type="dxa"/>
            <w:shd w:val="clear" w:color="auto" w:fill="auto"/>
            <w:vAlign w:val="center"/>
          </w:tcPr>
          <w:p w14:paraId="09D8DBD0">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724" w:type="dxa"/>
            <w:vAlign w:val="center"/>
          </w:tcPr>
          <w:p w14:paraId="36A44AAA">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947" w:type="dxa"/>
            <w:shd w:val="clear" w:color="auto" w:fill="auto"/>
            <w:vAlign w:val="center"/>
          </w:tcPr>
          <w:p w14:paraId="54B5A8E9">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632" w:type="dxa"/>
            <w:vAlign w:val="center"/>
          </w:tcPr>
          <w:p w14:paraId="446CB4B6">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447" w:type="dxa"/>
            <w:vAlign w:val="center"/>
          </w:tcPr>
          <w:p w14:paraId="3E6AC7BE">
            <w:pPr>
              <w:pStyle w:val="56"/>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r>
    </w:tbl>
    <w:p w14:paraId="061E7E13">
      <w:pPr>
        <w:pStyle w:val="56"/>
        <w:spacing w:before="192" w:beforeLines="80" w:after="24"/>
        <w:jc w:val="left"/>
        <w:rPr>
          <w:rFonts w:ascii="Times New Roman"/>
          <w:snapToGrid w:val="0"/>
          <w:color w:val="auto"/>
          <w:spacing w:val="-6"/>
          <w:kern w:val="21"/>
          <w:szCs w:val="21"/>
        </w:rPr>
      </w:pPr>
      <w:r>
        <w:rPr>
          <w:rFonts w:ascii="Times New Roman"/>
          <w:snapToGrid w:val="0"/>
          <w:color w:val="auto"/>
          <w:kern w:val="21"/>
          <w:szCs w:val="21"/>
        </w:rPr>
        <w:t>注：</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szCs w:val="21"/>
        </w:rPr>
        <w:t>①</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ascii="Times New Roman"/>
          <w:color w:val="auto"/>
          <w:szCs w:val="21"/>
        </w:rPr>
        <w:t>③</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ascii="Times New Roman"/>
          <w:color w:val="auto"/>
          <w:szCs w:val="21"/>
        </w:rPr>
        <w:t>④</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ascii="Times New Roman"/>
          <w:color w:val="auto"/>
          <w:szCs w:val="21"/>
        </w:rPr>
        <w:t>⑤</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ascii="Times New Roman"/>
          <w:color w:val="auto"/>
          <w:szCs w:val="21"/>
        </w:rPr>
        <w:t>⑦</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szCs w:val="21"/>
        </w:rPr>
        <w:t>①</w:t>
      </w:r>
      <w:r>
        <w:rPr>
          <w:rFonts w:ascii="Times New Roman"/>
          <w:snapToGrid w:val="0"/>
          <w:color w:val="auto"/>
          <w:spacing w:val="-6"/>
          <w:kern w:val="21"/>
          <w:szCs w:val="21"/>
        </w:rPr>
        <w:fldChar w:fldCharType="end"/>
      </w:r>
    </w:p>
    <w:p w14:paraId="6AC466AF">
      <w:pPr>
        <w:rPr>
          <w:b/>
          <w:bCs/>
          <w:color w:val="auto"/>
          <w:kern w:val="0"/>
          <w:szCs w:val="21"/>
        </w:rPr>
      </w:pPr>
      <w:r>
        <w:rPr>
          <w:b/>
          <w:bCs/>
          <w:color w:val="auto"/>
          <w:kern w:val="0"/>
          <w:szCs w:val="21"/>
        </w:rPr>
        <w:br w:type="page"/>
      </w:r>
    </w:p>
    <w:p w14:paraId="4310475E">
      <w:pPr>
        <w:spacing w:line="360" w:lineRule="auto"/>
        <w:rPr>
          <w:b/>
          <w:bCs/>
          <w:color w:val="auto"/>
          <w:kern w:val="0"/>
          <w:szCs w:val="21"/>
        </w:rPr>
        <w:sectPr>
          <w:footerReference r:id="rId6" w:type="default"/>
          <w:pgSz w:w="16838" w:h="11906" w:orient="landscape"/>
          <w:pgMar w:top="1701" w:right="1531" w:bottom="1701" w:left="1531" w:header="851" w:footer="851" w:gutter="0"/>
          <w:cols w:space="720" w:num="1"/>
          <w:docGrid w:linePitch="312" w:charSpace="0"/>
        </w:sectPr>
      </w:pPr>
    </w:p>
    <w:p w14:paraId="259608E3">
      <w:pPr>
        <w:pageBreakBefore/>
        <w:spacing w:line="360" w:lineRule="auto"/>
        <w:jc w:val="left"/>
        <w:outlineLvl w:val="0"/>
        <w:rPr>
          <w:b/>
          <w:bCs/>
          <w:color w:val="auto"/>
          <w:kern w:val="0"/>
          <w:szCs w:val="21"/>
        </w:rPr>
      </w:pPr>
      <w:bookmarkStart w:id="23" w:name="_Toc28396"/>
      <w:bookmarkStart w:id="24" w:name="_Toc5806"/>
      <w:r>
        <w:rPr>
          <w:b/>
          <w:bCs/>
          <w:color w:val="auto"/>
          <w:kern w:val="0"/>
          <w:szCs w:val="21"/>
        </w:rPr>
        <w:t>附件1营业执照</w:t>
      </w:r>
      <w:bookmarkEnd w:id="23"/>
      <w:bookmarkEnd w:id="24"/>
    </w:p>
    <w:p w14:paraId="3D041662">
      <w:pPr>
        <w:jc w:val="left"/>
        <w:rPr>
          <w:color w:val="auto"/>
        </w:rPr>
      </w:pPr>
    </w:p>
    <w:p w14:paraId="3D418FC0">
      <w:pPr>
        <w:jc w:val="center"/>
        <w:rPr>
          <w:color w:val="auto"/>
        </w:rPr>
        <w:sectPr>
          <w:pgSz w:w="16838" w:h="11906" w:orient="landscape"/>
          <w:pgMar w:top="1701" w:right="1531" w:bottom="1701" w:left="1531" w:header="851" w:footer="851" w:gutter="0"/>
          <w:cols w:space="720" w:num="1"/>
          <w:docGrid w:linePitch="312" w:charSpace="0"/>
        </w:sectPr>
      </w:pPr>
      <w:r>
        <w:rPr>
          <w:color w:val="auto"/>
        </w:rPr>
        <w:drawing>
          <wp:inline distT="0" distB="0" distL="114300" distR="114300">
            <wp:extent cx="6899275" cy="4936490"/>
            <wp:effectExtent l="0" t="0" r="15875" b="16510"/>
            <wp:docPr id="37" name="图片 8" descr="C:/Users/Administrator/Desktop/桦川县恒恒升水稻种植专业合作社营业执照.png桦川县恒恒升水稻种植专业合作社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descr="C:/Users/Administrator/Desktop/桦川县恒恒升水稻种植专业合作社营业执照.png桦川县恒恒升水稻种植专业合作社营业执照"/>
                    <pic:cNvPicPr>
                      <a:picLocks noChangeAspect="1"/>
                    </pic:cNvPicPr>
                  </pic:nvPicPr>
                  <pic:blipFill>
                    <a:blip r:embed="rId63"/>
                    <a:srcRect l="2476" r="2476"/>
                    <a:stretch>
                      <a:fillRect/>
                    </a:stretch>
                  </pic:blipFill>
                  <pic:spPr>
                    <a:xfrm>
                      <a:off x="0" y="0"/>
                      <a:ext cx="6899275" cy="4936490"/>
                    </a:xfrm>
                    <a:prstGeom prst="rect">
                      <a:avLst/>
                    </a:prstGeom>
                    <a:noFill/>
                    <a:ln>
                      <a:noFill/>
                    </a:ln>
                  </pic:spPr>
                </pic:pic>
              </a:graphicData>
            </a:graphic>
          </wp:inline>
        </w:drawing>
      </w:r>
    </w:p>
    <w:p w14:paraId="3CABD56F">
      <w:pPr>
        <w:spacing w:line="360" w:lineRule="auto"/>
        <w:outlineLvl w:val="0"/>
        <w:rPr>
          <w:b/>
          <w:bCs/>
          <w:color w:val="auto"/>
          <w:kern w:val="0"/>
          <w:szCs w:val="21"/>
        </w:rPr>
      </w:pPr>
      <w:bookmarkStart w:id="25" w:name="_Toc10935"/>
      <w:bookmarkStart w:id="26" w:name="_Toc11087"/>
      <w:bookmarkStart w:id="27" w:name="_Toc7647"/>
      <w:r>
        <w:rPr>
          <w:b/>
          <w:bCs/>
          <w:color w:val="auto"/>
          <w:kern w:val="0"/>
          <w:szCs w:val="21"/>
        </w:rPr>
        <w:t>附件</w:t>
      </w:r>
      <w:r>
        <w:rPr>
          <w:rFonts w:hint="eastAsia"/>
          <w:b/>
          <w:bCs/>
          <w:color w:val="auto"/>
          <w:kern w:val="0"/>
          <w:szCs w:val="21"/>
        </w:rPr>
        <w:t>2</w:t>
      </w:r>
      <w:r>
        <w:rPr>
          <w:b/>
          <w:bCs/>
          <w:color w:val="auto"/>
          <w:kern w:val="0"/>
          <w:szCs w:val="21"/>
        </w:rPr>
        <w:t>土地</w:t>
      </w:r>
      <w:bookmarkEnd w:id="25"/>
      <w:r>
        <w:rPr>
          <w:b/>
          <w:bCs/>
          <w:color w:val="auto"/>
          <w:kern w:val="0"/>
          <w:szCs w:val="21"/>
        </w:rPr>
        <w:t>性质证明</w:t>
      </w:r>
      <w:bookmarkEnd w:id="26"/>
    </w:p>
    <w:p w14:paraId="2F3AF8A2">
      <w:pPr>
        <w:spacing w:line="360" w:lineRule="auto"/>
        <w:jc w:val="center"/>
        <w:rPr>
          <w:b/>
          <w:bCs/>
          <w:color w:val="auto"/>
          <w:kern w:val="0"/>
          <w:szCs w:val="21"/>
        </w:rPr>
      </w:pPr>
      <w:r>
        <w:rPr>
          <w:b/>
          <w:bCs/>
          <w:color w:val="auto"/>
          <w:kern w:val="0"/>
          <w:szCs w:val="21"/>
        </w:rPr>
        <w:drawing>
          <wp:inline distT="0" distB="0" distL="114300" distR="114300">
            <wp:extent cx="4463415" cy="7934960"/>
            <wp:effectExtent l="0" t="0" r="13335" b="8890"/>
            <wp:docPr id="31" name="图片 31"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片3"/>
                    <pic:cNvPicPr>
                      <a:picLocks noChangeAspect="1"/>
                    </pic:cNvPicPr>
                  </pic:nvPicPr>
                  <pic:blipFill>
                    <a:blip r:embed="rId64"/>
                    <a:stretch>
                      <a:fillRect/>
                    </a:stretch>
                  </pic:blipFill>
                  <pic:spPr>
                    <a:xfrm>
                      <a:off x="0" y="0"/>
                      <a:ext cx="4463415" cy="7934960"/>
                    </a:xfrm>
                    <a:prstGeom prst="rect">
                      <a:avLst/>
                    </a:prstGeom>
                  </pic:spPr>
                </pic:pic>
              </a:graphicData>
            </a:graphic>
          </wp:inline>
        </w:drawing>
      </w:r>
    </w:p>
    <w:p w14:paraId="5AD31B5A">
      <w:pPr>
        <w:jc w:val="center"/>
        <w:rPr>
          <w:color w:val="auto"/>
        </w:rPr>
      </w:pPr>
      <w:r>
        <w:rPr>
          <w:color w:val="auto"/>
        </w:rPr>
        <w:drawing>
          <wp:inline distT="0" distB="0" distL="114300" distR="114300">
            <wp:extent cx="4841240" cy="8608695"/>
            <wp:effectExtent l="0" t="0" r="16510" b="1905"/>
            <wp:docPr id="38" name="图片 38"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图片4"/>
                    <pic:cNvPicPr>
                      <a:picLocks noChangeAspect="1"/>
                    </pic:cNvPicPr>
                  </pic:nvPicPr>
                  <pic:blipFill>
                    <a:blip r:embed="rId65"/>
                    <a:stretch>
                      <a:fillRect/>
                    </a:stretch>
                  </pic:blipFill>
                  <pic:spPr>
                    <a:xfrm>
                      <a:off x="0" y="0"/>
                      <a:ext cx="4841240" cy="8608695"/>
                    </a:xfrm>
                    <a:prstGeom prst="rect">
                      <a:avLst/>
                    </a:prstGeom>
                  </pic:spPr>
                </pic:pic>
              </a:graphicData>
            </a:graphic>
          </wp:inline>
        </w:drawing>
      </w:r>
      <w:r>
        <w:rPr>
          <w:rFonts w:hint="eastAsia"/>
          <w:color w:val="auto"/>
        </w:rPr>
        <w:drawing>
          <wp:inline distT="0" distB="0" distL="114300" distR="114300">
            <wp:extent cx="5753735" cy="4324350"/>
            <wp:effectExtent l="0" t="0" r="18415" b="0"/>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66"/>
                    <a:stretch>
                      <a:fillRect/>
                    </a:stretch>
                  </pic:blipFill>
                  <pic:spPr>
                    <a:xfrm>
                      <a:off x="0" y="0"/>
                      <a:ext cx="5753735" cy="4324350"/>
                    </a:xfrm>
                    <a:prstGeom prst="rect">
                      <a:avLst/>
                    </a:prstGeom>
                  </pic:spPr>
                </pic:pic>
              </a:graphicData>
            </a:graphic>
          </wp:inline>
        </w:drawing>
      </w:r>
    </w:p>
    <w:p w14:paraId="1B700CD1">
      <w:pPr>
        <w:tabs>
          <w:tab w:val="left" w:pos="707"/>
        </w:tabs>
        <w:jc w:val="left"/>
        <w:rPr>
          <w:color w:val="auto"/>
        </w:rPr>
        <w:sectPr>
          <w:pgSz w:w="11906" w:h="16838"/>
          <w:pgMar w:top="1418" w:right="1418" w:bottom="1418" w:left="1418" w:header="851" w:footer="1208" w:gutter="0"/>
          <w:cols w:space="720" w:num="1"/>
          <w:docGrid w:type="lines" w:linePitch="312" w:charSpace="0"/>
        </w:sectPr>
      </w:pPr>
    </w:p>
    <w:bookmarkEnd w:id="27"/>
    <w:p w14:paraId="43A50628">
      <w:pPr>
        <w:pStyle w:val="2"/>
        <w:tabs>
          <w:tab w:val="left" w:pos="3600"/>
        </w:tabs>
        <w:spacing w:line="360" w:lineRule="auto"/>
        <w:rPr>
          <w:rFonts w:eastAsia="宋体"/>
          <w:color w:val="auto"/>
          <w:sz w:val="21"/>
          <w:szCs w:val="21"/>
        </w:rPr>
      </w:pPr>
      <w:bookmarkStart w:id="28" w:name="_Toc15311"/>
      <w:bookmarkStart w:id="29" w:name="_Toc20207"/>
      <w:r>
        <w:rPr>
          <w:rFonts w:eastAsia="宋体"/>
          <w:color w:val="auto"/>
          <w:sz w:val="21"/>
          <w:szCs w:val="21"/>
        </w:rPr>
        <w:t>附件</w:t>
      </w:r>
      <w:r>
        <w:rPr>
          <w:rFonts w:hint="eastAsia" w:eastAsia="宋体"/>
          <w:color w:val="auto"/>
          <w:sz w:val="21"/>
          <w:szCs w:val="21"/>
        </w:rPr>
        <w:t>3现状引用</w:t>
      </w:r>
      <w:r>
        <w:rPr>
          <w:rFonts w:eastAsia="宋体"/>
          <w:color w:val="auto"/>
          <w:sz w:val="21"/>
          <w:szCs w:val="21"/>
        </w:rPr>
        <w:t>检测报告</w:t>
      </w:r>
      <w:bookmarkEnd w:id="28"/>
      <w:bookmarkEnd w:id="29"/>
    </w:p>
    <w:p w14:paraId="573FFDDD">
      <w:pPr>
        <w:jc w:val="left"/>
        <w:rPr>
          <w:color w:val="auto"/>
        </w:rPr>
      </w:pPr>
      <w:r>
        <w:rPr>
          <w:rFonts w:hint="eastAsia"/>
          <w:color w:val="auto"/>
        </w:rPr>
        <w:drawing>
          <wp:inline distT="0" distB="0" distL="114300" distR="114300">
            <wp:extent cx="5758815" cy="8121015"/>
            <wp:effectExtent l="0" t="0" r="13335" b="13335"/>
            <wp:docPr id="40" name="图片 40" descr="ZYJC202504112 桦川县金龙粮食贸易有限公司建设项目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ZYJC202504112 桦川县金龙粮食贸易有限公司建设项目_00"/>
                    <pic:cNvPicPr>
                      <a:picLocks noChangeAspect="1"/>
                    </pic:cNvPicPr>
                  </pic:nvPicPr>
                  <pic:blipFill>
                    <a:blip r:embed="rId67"/>
                    <a:stretch>
                      <a:fillRect/>
                    </a:stretch>
                  </pic:blipFill>
                  <pic:spPr>
                    <a:xfrm>
                      <a:off x="0" y="0"/>
                      <a:ext cx="5758815" cy="8121015"/>
                    </a:xfrm>
                    <a:prstGeom prst="rect">
                      <a:avLst/>
                    </a:prstGeom>
                  </pic:spPr>
                </pic:pic>
              </a:graphicData>
            </a:graphic>
          </wp:inline>
        </w:drawing>
      </w:r>
      <w:r>
        <w:rPr>
          <w:rFonts w:hint="eastAsia"/>
          <w:color w:val="auto"/>
        </w:rPr>
        <w:drawing>
          <wp:inline distT="0" distB="0" distL="114300" distR="114300">
            <wp:extent cx="5758815" cy="8110855"/>
            <wp:effectExtent l="0" t="0" r="13335" b="4445"/>
            <wp:docPr id="39" name="图片 39" descr="ZYJC202504112 桦川县金龙粮食贸易有限公司建设项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ZYJC202504112 桦川县金龙粮食贸易有限公司建设项目_01"/>
                    <pic:cNvPicPr>
                      <a:picLocks noChangeAspect="1"/>
                    </pic:cNvPicPr>
                  </pic:nvPicPr>
                  <pic:blipFill>
                    <a:blip r:embed="rId68"/>
                    <a:stretch>
                      <a:fillRect/>
                    </a:stretch>
                  </pic:blipFill>
                  <pic:spPr>
                    <a:xfrm>
                      <a:off x="0" y="0"/>
                      <a:ext cx="5758815" cy="8110855"/>
                    </a:xfrm>
                    <a:prstGeom prst="rect">
                      <a:avLst/>
                    </a:prstGeom>
                  </pic:spPr>
                </pic:pic>
              </a:graphicData>
            </a:graphic>
          </wp:inline>
        </w:drawing>
      </w:r>
      <w:r>
        <w:rPr>
          <w:rFonts w:hint="eastAsia"/>
          <w:color w:val="auto"/>
        </w:rPr>
        <w:drawing>
          <wp:inline distT="0" distB="0" distL="114300" distR="114300">
            <wp:extent cx="5758815" cy="8121015"/>
            <wp:effectExtent l="0" t="0" r="13335" b="13335"/>
            <wp:docPr id="33" name="图片 33" descr="ZYJC202504112 桦川县金龙粮食贸易有限公司建设项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ZYJC202504112 桦川县金龙粮食贸易有限公司建设项目_02"/>
                    <pic:cNvPicPr>
                      <a:picLocks noChangeAspect="1"/>
                    </pic:cNvPicPr>
                  </pic:nvPicPr>
                  <pic:blipFill>
                    <a:blip r:embed="rId69"/>
                    <a:stretch>
                      <a:fillRect/>
                    </a:stretch>
                  </pic:blipFill>
                  <pic:spPr>
                    <a:xfrm>
                      <a:off x="0" y="0"/>
                      <a:ext cx="5758815" cy="8121015"/>
                    </a:xfrm>
                    <a:prstGeom prst="rect">
                      <a:avLst/>
                    </a:prstGeom>
                  </pic:spPr>
                </pic:pic>
              </a:graphicData>
            </a:graphic>
          </wp:inline>
        </w:drawing>
      </w:r>
      <w:r>
        <w:rPr>
          <w:rFonts w:hint="eastAsia"/>
          <w:color w:val="auto"/>
        </w:rPr>
        <w:drawing>
          <wp:inline distT="0" distB="0" distL="114300" distR="114300">
            <wp:extent cx="5758815" cy="8121015"/>
            <wp:effectExtent l="0" t="0" r="13335" b="13335"/>
            <wp:docPr id="32" name="图片 32" descr="ZYJC202504112 桦川县金龙粮食贸易有限公司建设项目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ZYJC202504112 桦川县金龙粮食贸易有限公司建设项目_03"/>
                    <pic:cNvPicPr>
                      <a:picLocks noChangeAspect="1"/>
                    </pic:cNvPicPr>
                  </pic:nvPicPr>
                  <pic:blipFill>
                    <a:blip r:embed="rId70"/>
                    <a:stretch>
                      <a:fillRect/>
                    </a:stretch>
                  </pic:blipFill>
                  <pic:spPr>
                    <a:xfrm>
                      <a:off x="0" y="0"/>
                      <a:ext cx="5758815" cy="8121015"/>
                    </a:xfrm>
                    <a:prstGeom prst="rect">
                      <a:avLst/>
                    </a:prstGeom>
                  </pic:spPr>
                </pic:pic>
              </a:graphicData>
            </a:graphic>
          </wp:inline>
        </w:drawing>
      </w:r>
    </w:p>
    <w:p w14:paraId="10D75A65">
      <w:pPr>
        <w:rPr>
          <w:color w:val="auto"/>
        </w:rPr>
      </w:pPr>
      <w:r>
        <w:rPr>
          <w:color w:val="auto"/>
        </w:rPr>
        <w:br w:type="page"/>
      </w:r>
    </w:p>
    <w:p w14:paraId="0B3B821F">
      <w:pPr>
        <w:pStyle w:val="53"/>
        <w:ind w:firstLine="0" w:firstLineChars="0"/>
        <w:jc w:val="left"/>
        <w:outlineLvl w:val="0"/>
        <w:rPr>
          <w:rFonts w:ascii="Times New Roman" w:hAnsi="Times New Roman" w:cs="Times New Roman"/>
          <w:b/>
          <w:color w:val="auto"/>
          <w:sz w:val="21"/>
          <w:szCs w:val="21"/>
        </w:rPr>
      </w:pPr>
      <w:bookmarkStart w:id="30" w:name="_Toc22099"/>
      <w:bookmarkStart w:id="31" w:name="_Toc21317"/>
      <w:r>
        <w:rPr>
          <w:rFonts w:ascii="Times New Roman" w:hAnsi="Times New Roman" w:cs="Times New Roman"/>
          <w:b/>
          <w:color w:val="auto"/>
          <w:sz w:val="21"/>
          <w:szCs w:val="21"/>
        </w:rPr>
        <w:t>附件</w:t>
      </w:r>
      <w:r>
        <w:rPr>
          <w:rFonts w:hint="eastAsia" w:ascii="Times New Roman" w:hAnsi="Times New Roman" w:cs="Times New Roman"/>
          <w:b/>
          <w:color w:val="auto"/>
          <w:sz w:val="21"/>
          <w:szCs w:val="21"/>
        </w:rPr>
        <w:t>4</w:t>
      </w:r>
      <w:r>
        <w:rPr>
          <w:rFonts w:ascii="Times New Roman" w:hAnsi="Times New Roman" w:cs="Times New Roman"/>
          <w:b/>
          <w:color w:val="auto"/>
          <w:sz w:val="21"/>
          <w:szCs w:val="21"/>
        </w:rPr>
        <w:t>燃料检测报告</w:t>
      </w:r>
      <w:bookmarkEnd w:id="30"/>
      <w:bookmarkEnd w:id="31"/>
    </w:p>
    <w:p w14:paraId="7CA74A00">
      <w:pPr>
        <w:pStyle w:val="53"/>
        <w:ind w:firstLine="0" w:firstLineChars="0"/>
        <w:jc w:val="left"/>
        <w:rPr>
          <w:rFonts w:ascii="Times New Roman" w:hAnsi="Times New Roman" w:cs="Times New Roman"/>
          <w:b/>
          <w:color w:val="auto"/>
          <w:sz w:val="44"/>
          <w:szCs w:val="44"/>
        </w:rPr>
      </w:pPr>
      <w:r>
        <w:rPr>
          <w:color w:val="auto"/>
        </w:rPr>
        <w:drawing>
          <wp:inline distT="0" distB="0" distL="114300" distR="114300">
            <wp:extent cx="5516245" cy="7451725"/>
            <wp:effectExtent l="0" t="0" r="635" b="635"/>
            <wp:docPr id="15" name="图片 20" descr="69f9ed97e2504044ba3c642e679eb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descr="69f9ed97e2504044ba3c642e679ebe3"/>
                    <pic:cNvPicPr>
                      <a:picLocks noChangeAspect="1"/>
                    </pic:cNvPicPr>
                  </pic:nvPicPr>
                  <pic:blipFill>
                    <a:blip r:embed="rId71"/>
                    <a:stretch>
                      <a:fillRect/>
                    </a:stretch>
                  </pic:blipFill>
                  <pic:spPr>
                    <a:xfrm>
                      <a:off x="0" y="0"/>
                      <a:ext cx="5516245" cy="7451725"/>
                    </a:xfrm>
                    <a:prstGeom prst="rect">
                      <a:avLst/>
                    </a:prstGeom>
                    <a:noFill/>
                    <a:ln w="9525">
                      <a:noFill/>
                    </a:ln>
                  </pic:spPr>
                </pic:pic>
              </a:graphicData>
            </a:graphic>
          </wp:inline>
        </w:drawing>
      </w:r>
    </w:p>
    <w:p w14:paraId="100D1EDA">
      <w:pPr>
        <w:rPr>
          <w:color w:val="auto"/>
        </w:rPr>
        <w:sectPr>
          <w:pgSz w:w="11906" w:h="16838"/>
          <w:pgMar w:top="1418" w:right="1418" w:bottom="1418" w:left="1418" w:header="851" w:footer="1208" w:gutter="0"/>
          <w:cols w:space="720" w:num="1"/>
          <w:docGrid w:type="lines" w:linePitch="312" w:charSpace="0"/>
        </w:sectPr>
      </w:pPr>
      <w:r>
        <w:rPr>
          <w:b/>
          <w:color w:val="auto"/>
          <w:sz w:val="44"/>
          <w:szCs w:val="44"/>
        </w:rPr>
        <w:br w:type="page"/>
      </w:r>
    </w:p>
    <w:p w14:paraId="578F0717">
      <w:pPr>
        <w:jc w:val="left"/>
        <w:outlineLvl w:val="0"/>
        <w:rPr>
          <w:b/>
          <w:color w:val="auto"/>
          <w:szCs w:val="21"/>
        </w:rPr>
      </w:pPr>
      <w:bookmarkStart w:id="32" w:name="_Toc15661"/>
      <w:bookmarkStart w:id="33" w:name="_Toc3352"/>
      <w:r>
        <w:rPr>
          <w:b/>
          <w:color w:val="auto"/>
          <w:szCs w:val="21"/>
        </w:rPr>
        <w:t>附件</w:t>
      </w:r>
      <w:r>
        <w:rPr>
          <w:rFonts w:hint="eastAsia"/>
          <w:b/>
          <w:color w:val="auto"/>
          <w:szCs w:val="21"/>
        </w:rPr>
        <w:t>5</w:t>
      </w:r>
      <w:r>
        <w:rPr>
          <w:b/>
          <w:color w:val="auto"/>
          <w:szCs w:val="21"/>
        </w:rPr>
        <w:t>总量计算说明</w:t>
      </w:r>
      <w:bookmarkEnd w:id="32"/>
      <w:bookmarkEnd w:id="33"/>
    </w:p>
    <w:p w14:paraId="45D5C0CF">
      <w:pPr>
        <w:pStyle w:val="50"/>
        <w:spacing w:line="360" w:lineRule="auto"/>
        <w:ind w:firstLine="482" w:firstLineChars="200"/>
        <w:jc w:val="left"/>
        <w:rPr>
          <w:rFonts w:ascii="Times New Roman" w:hAnsi="Times New Roman" w:cs="Times New Roman"/>
          <w:b/>
          <w:bCs/>
          <w:color w:val="auto"/>
        </w:rPr>
      </w:pPr>
      <w:r>
        <w:rPr>
          <w:rFonts w:ascii="Times New Roman" w:hAnsi="Times New Roman" w:cs="Times New Roman"/>
          <w:b/>
          <w:bCs/>
          <w:color w:val="auto"/>
        </w:rPr>
        <w:t>1、正常工况排放</w:t>
      </w:r>
    </w:p>
    <w:p w14:paraId="050AC042">
      <w:pPr>
        <w:pStyle w:val="108"/>
        <w:spacing w:line="360" w:lineRule="auto"/>
        <w:ind w:firstLine="480" w:firstLineChars="200"/>
        <w:rPr>
          <w:rFonts w:ascii="Times New Roman"/>
          <w:bCs/>
          <w:color w:val="auto"/>
          <w:kern w:val="2"/>
          <w:sz w:val="24"/>
          <w:szCs w:val="24"/>
        </w:rPr>
      </w:pPr>
      <w:r>
        <w:rPr>
          <w:rFonts w:ascii="Times New Roman"/>
          <w:bCs/>
          <w:color w:val="auto"/>
          <w:kern w:val="2"/>
          <w:sz w:val="24"/>
          <w:szCs w:val="24"/>
        </w:rPr>
        <w:t>（1）</w:t>
      </w:r>
      <w:r>
        <w:rPr>
          <w:rFonts w:hint="eastAsia" w:ascii="Times New Roman"/>
          <w:bCs/>
          <w:color w:val="auto"/>
          <w:kern w:val="2"/>
          <w:sz w:val="24"/>
          <w:szCs w:val="24"/>
          <w:lang w:val="en-US" w:eastAsia="zh-CN"/>
        </w:rPr>
        <w:t>热风炉</w:t>
      </w:r>
      <w:r>
        <w:rPr>
          <w:rFonts w:ascii="Times New Roman"/>
          <w:bCs/>
          <w:color w:val="auto"/>
          <w:kern w:val="2"/>
          <w:sz w:val="24"/>
          <w:szCs w:val="24"/>
        </w:rPr>
        <w:t>烟气</w:t>
      </w:r>
    </w:p>
    <w:p w14:paraId="391E71C2">
      <w:pPr>
        <w:spacing w:line="360" w:lineRule="auto"/>
        <w:ind w:firstLine="480" w:firstLineChars="200"/>
        <w:rPr>
          <w:color w:val="auto"/>
          <w:sz w:val="24"/>
        </w:rPr>
      </w:pPr>
      <w:r>
        <w:rPr>
          <w:color w:val="auto"/>
          <w:sz w:val="24"/>
        </w:rPr>
        <w:t>本项目生物质热风炉废气污染物颗粒物、SO</w:t>
      </w:r>
      <w:r>
        <w:rPr>
          <w:color w:val="auto"/>
          <w:sz w:val="24"/>
          <w:vertAlign w:val="subscript"/>
        </w:rPr>
        <w:t>2</w:t>
      </w:r>
      <w:r>
        <w:rPr>
          <w:color w:val="auto"/>
          <w:sz w:val="24"/>
        </w:rPr>
        <w:t>产生量根据《污染源源强核算技术指南 锅炉》（HJ991-2018）中物料衡算法计算，锅炉出口NOx产生浓度无法估算，故氮氧化物采用系数法核算（无实测值无法采用类比法，无法用物料衡算）。</w:t>
      </w:r>
    </w:p>
    <w:p w14:paraId="5CBFB2F1">
      <w:pPr>
        <w:spacing w:line="360" w:lineRule="auto"/>
        <w:ind w:left="480"/>
        <w:rPr>
          <w:color w:val="auto"/>
          <w:sz w:val="24"/>
        </w:rPr>
      </w:pPr>
      <w:r>
        <w:rPr>
          <w:color w:val="auto"/>
          <w:sz w:val="24"/>
        </w:rPr>
        <w:t>①烟气量</w:t>
      </w:r>
    </w:p>
    <w:p w14:paraId="3E39C9B4">
      <w:pPr>
        <w:spacing w:line="360" w:lineRule="auto"/>
        <w:ind w:firstLine="480" w:firstLineChars="200"/>
        <w:rPr>
          <w:color w:val="auto"/>
          <w:sz w:val="24"/>
        </w:rPr>
      </w:pPr>
      <w:r>
        <w:rPr>
          <w:color w:val="auto"/>
          <w:sz w:val="24"/>
        </w:rPr>
        <w:t>本项目理论空气量采用《污染源源强核算技术指南 锅炉》（HJ991-2018）附录C中C.2有元素成分分析时理论空气量进行计算，公式如下：</w:t>
      </w:r>
    </w:p>
    <w:p w14:paraId="70C2C96B">
      <w:pPr>
        <w:spacing w:line="360" w:lineRule="auto"/>
        <w:jc w:val="center"/>
        <w:rPr>
          <w:color w:val="auto"/>
          <w:sz w:val="24"/>
        </w:rPr>
      </w:pPr>
      <w:r>
        <w:rPr>
          <w:color w:val="auto"/>
          <w:sz w:val="24"/>
        </w:rPr>
        <w:fldChar w:fldCharType="begin"/>
      </w:r>
      <w:r>
        <w:rPr>
          <w:color w:val="auto"/>
        </w:rPr>
        <w:instrText xml:space="preserve"> INCLUDEPICTURE "D:\\xwechat_files\\wxid_6g7dluu70dil22_5ed2\\msg\\admin\\AppData\\Local\\Temp\\ksohtml23920\\wps1.png" \* MERGEFORMAT </w:instrText>
      </w:r>
      <w:r>
        <w:rPr>
          <w:color w:val="auto"/>
          <w:sz w:val="24"/>
        </w:rPr>
        <w:fldChar w:fldCharType="separate"/>
      </w:r>
      <w:r>
        <w:rPr>
          <w:color w:val="auto"/>
          <w:sz w:val="24"/>
        </w:rPr>
        <w:drawing>
          <wp:inline distT="0" distB="0" distL="114300" distR="114300">
            <wp:extent cx="3448050" cy="323850"/>
            <wp:effectExtent l="0" t="0" r="0" b="0"/>
            <wp:docPr id="6" name="图片 19"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wps1"/>
                    <pic:cNvPicPr>
                      <a:picLocks noChangeAspect="1"/>
                    </pic:cNvPicPr>
                  </pic:nvPicPr>
                  <pic:blipFill>
                    <a:blip r:embed="rId34"/>
                    <a:stretch>
                      <a:fillRect/>
                    </a:stretch>
                  </pic:blipFill>
                  <pic:spPr>
                    <a:xfrm>
                      <a:off x="0" y="0"/>
                      <a:ext cx="3448050" cy="323850"/>
                    </a:xfrm>
                    <a:prstGeom prst="rect">
                      <a:avLst/>
                    </a:prstGeom>
                    <a:noFill/>
                    <a:ln>
                      <a:noFill/>
                    </a:ln>
                  </pic:spPr>
                </pic:pic>
              </a:graphicData>
            </a:graphic>
          </wp:inline>
        </w:drawing>
      </w:r>
      <w:r>
        <w:rPr>
          <w:color w:val="auto"/>
          <w:sz w:val="24"/>
        </w:rPr>
        <w:fldChar w:fldCharType="end"/>
      </w:r>
    </w:p>
    <w:p w14:paraId="27AF9730">
      <w:pPr>
        <w:spacing w:line="360" w:lineRule="auto"/>
        <w:ind w:firstLine="480" w:firstLineChars="200"/>
        <w:rPr>
          <w:color w:val="auto"/>
          <w:sz w:val="24"/>
        </w:rPr>
      </w:pPr>
      <w:r>
        <w:rPr>
          <w:color w:val="auto"/>
          <w:sz w:val="24"/>
        </w:rPr>
        <w:t>式中：</w:t>
      </w:r>
    </w:p>
    <w:p w14:paraId="06425595">
      <w:pPr>
        <w:spacing w:line="360" w:lineRule="auto"/>
        <w:ind w:firstLine="480" w:firstLineChars="200"/>
        <w:rPr>
          <w:color w:val="auto"/>
          <w:sz w:val="24"/>
        </w:rPr>
      </w:pPr>
      <w:r>
        <w:rPr>
          <w:color w:val="auto"/>
          <w:sz w:val="24"/>
        </w:rPr>
        <w:t>V</w:t>
      </w:r>
      <w:r>
        <w:rPr>
          <w:color w:val="auto"/>
          <w:sz w:val="24"/>
          <w:vertAlign w:val="subscript"/>
        </w:rPr>
        <w:t>0</w:t>
      </w:r>
      <w:r>
        <w:rPr>
          <w:color w:val="auto"/>
          <w:sz w:val="24"/>
        </w:rPr>
        <w:t>——理论空气量，m</w:t>
      </w:r>
      <w:r>
        <w:rPr>
          <w:color w:val="auto"/>
          <w:sz w:val="24"/>
          <w:vertAlign w:val="superscript"/>
        </w:rPr>
        <w:t>3</w:t>
      </w:r>
      <w:r>
        <w:rPr>
          <w:color w:val="auto"/>
          <w:sz w:val="24"/>
        </w:rPr>
        <w:t>/kg；</w:t>
      </w:r>
    </w:p>
    <w:p w14:paraId="6B8C460E">
      <w:pPr>
        <w:spacing w:line="360" w:lineRule="auto"/>
        <w:ind w:firstLine="480" w:firstLineChars="200"/>
        <w:rPr>
          <w:color w:val="auto"/>
          <w:sz w:val="24"/>
        </w:rPr>
      </w:pPr>
      <w:r>
        <w:rPr>
          <w:color w:val="auto"/>
          <w:sz w:val="24"/>
        </w:rPr>
        <w:t>Car——收到基碳的质量分数，%，本次评价取值</w:t>
      </w:r>
      <w:r>
        <w:rPr>
          <w:rFonts w:hint="eastAsia"/>
          <w:color w:val="auto"/>
          <w:sz w:val="24"/>
        </w:rPr>
        <w:t>39.79</w:t>
      </w:r>
      <w:r>
        <w:rPr>
          <w:color w:val="auto"/>
          <w:sz w:val="24"/>
        </w:rPr>
        <w:t>；</w:t>
      </w:r>
    </w:p>
    <w:p w14:paraId="3302A5C4">
      <w:pPr>
        <w:spacing w:line="360" w:lineRule="auto"/>
        <w:ind w:firstLine="480" w:firstLineChars="200"/>
        <w:rPr>
          <w:color w:val="auto"/>
          <w:sz w:val="24"/>
        </w:rPr>
      </w:pPr>
      <w:r>
        <w:rPr>
          <w:color w:val="auto"/>
          <w:sz w:val="24"/>
        </w:rPr>
        <w:t>Har——收到基氢的质量分数，%，本次评价取值</w:t>
      </w:r>
      <w:r>
        <w:rPr>
          <w:rFonts w:hint="eastAsia"/>
          <w:color w:val="auto"/>
          <w:sz w:val="24"/>
        </w:rPr>
        <w:t>4.42</w:t>
      </w:r>
      <w:r>
        <w:rPr>
          <w:color w:val="auto"/>
          <w:sz w:val="24"/>
        </w:rPr>
        <w:t>；</w:t>
      </w:r>
    </w:p>
    <w:p w14:paraId="3FE225CF">
      <w:pPr>
        <w:spacing w:line="360" w:lineRule="auto"/>
        <w:ind w:firstLine="480" w:firstLineChars="200"/>
        <w:rPr>
          <w:color w:val="auto"/>
          <w:sz w:val="24"/>
        </w:rPr>
      </w:pPr>
      <w:r>
        <w:rPr>
          <w:color w:val="auto"/>
          <w:sz w:val="24"/>
        </w:rPr>
        <w:t>Oar——收到基氧的质量分数，%，本次评价取值</w:t>
      </w:r>
      <w:r>
        <w:rPr>
          <w:rFonts w:hint="eastAsia"/>
          <w:color w:val="auto"/>
          <w:sz w:val="24"/>
        </w:rPr>
        <w:t>35.54；</w:t>
      </w:r>
    </w:p>
    <w:p w14:paraId="12ABB017">
      <w:pPr>
        <w:spacing w:line="360" w:lineRule="auto"/>
        <w:ind w:firstLine="480" w:firstLineChars="200"/>
        <w:rPr>
          <w:color w:val="auto"/>
          <w:sz w:val="24"/>
        </w:rPr>
      </w:pPr>
      <w:r>
        <w:rPr>
          <w:color w:val="auto"/>
          <w:sz w:val="24"/>
        </w:rPr>
        <w:t>Sar——收到基硫的质量分数，%，本次评价取值0.07；</w:t>
      </w:r>
    </w:p>
    <w:p w14:paraId="256B5B23">
      <w:pPr>
        <w:spacing w:line="360" w:lineRule="auto"/>
        <w:ind w:firstLine="480" w:firstLineChars="200"/>
        <w:rPr>
          <w:color w:val="auto"/>
          <w:sz w:val="24"/>
        </w:rPr>
      </w:pPr>
      <w:r>
        <w:rPr>
          <w:rFonts w:hint="eastAsia"/>
          <w:color w:val="auto"/>
          <w:sz w:val="24"/>
        </w:rPr>
        <w:t>经计算，V</w:t>
      </w:r>
      <w:r>
        <w:rPr>
          <w:rFonts w:hint="eastAsia"/>
          <w:color w:val="auto"/>
          <w:sz w:val="24"/>
          <w:vertAlign w:val="subscript"/>
        </w:rPr>
        <w:t>0</w:t>
      </w:r>
      <w:r>
        <w:rPr>
          <w:rFonts w:hint="eastAsia"/>
          <w:color w:val="auto"/>
          <w:sz w:val="24"/>
        </w:rPr>
        <w:t>=3.53m</w:t>
      </w:r>
      <w:r>
        <w:rPr>
          <w:rFonts w:hint="eastAsia"/>
          <w:color w:val="auto"/>
          <w:sz w:val="24"/>
          <w:vertAlign w:val="superscript"/>
        </w:rPr>
        <w:t>3</w:t>
      </w:r>
      <w:r>
        <w:rPr>
          <w:rFonts w:hint="eastAsia"/>
          <w:color w:val="auto"/>
          <w:sz w:val="24"/>
        </w:rPr>
        <w:t>/kg。</w:t>
      </w:r>
    </w:p>
    <w:p w14:paraId="0DF69B64">
      <w:pPr>
        <w:spacing w:line="360" w:lineRule="auto"/>
        <w:ind w:firstLine="480" w:firstLineChars="200"/>
        <w:rPr>
          <w:color w:val="auto"/>
          <w:sz w:val="24"/>
        </w:rPr>
      </w:pPr>
      <w:r>
        <w:rPr>
          <w:rFonts w:hint="eastAsia"/>
          <w:color w:val="auto"/>
          <w:sz w:val="24"/>
        </w:rPr>
        <w:t>生物质热风炉</w:t>
      </w:r>
      <w:r>
        <w:rPr>
          <w:color w:val="auto"/>
          <w:sz w:val="24"/>
        </w:rPr>
        <w:t>烟气排放量采用《污染源源强核算技术指南 锅炉》（HJ991-2018）附录C中C.3锅炉中实际燃烧过程是在过量空气系数α＞1的条件下进行的，1kg固体或液体燃料产生的烟气排放量可用下式计算：</w:t>
      </w:r>
    </w:p>
    <w:p w14:paraId="4AE932C0">
      <w:pPr>
        <w:pStyle w:val="50"/>
        <w:rPr>
          <w:rFonts w:ascii="Times New Roman" w:cs="Times New Roman"/>
          <w:color w:val="auto"/>
        </w:rPr>
      </w:pPr>
      <w:r>
        <w:rPr>
          <w:rFonts w:ascii="Times New Roman"/>
          <w:color w:val="auto"/>
        </w:rPr>
        <w:drawing>
          <wp:inline distT="0" distB="0" distL="114300" distR="114300">
            <wp:extent cx="2387600" cy="915670"/>
            <wp:effectExtent l="0" t="0" r="12700" b="17780"/>
            <wp:docPr id="1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0"/>
                    <pic:cNvPicPr>
                      <a:picLocks noChangeAspect="1"/>
                    </pic:cNvPicPr>
                  </pic:nvPicPr>
                  <pic:blipFill>
                    <a:blip r:embed="rId35"/>
                    <a:stretch>
                      <a:fillRect/>
                    </a:stretch>
                  </pic:blipFill>
                  <pic:spPr>
                    <a:xfrm>
                      <a:off x="0" y="0"/>
                      <a:ext cx="2387600" cy="915670"/>
                    </a:xfrm>
                    <a:prstGeom prst="rect">
                      <a:avLst/>
                    </a:prstGeom>
                    <a:noFill/>
                    <a:ln>
                      <a:noFill/>
                    </a:ln>
                  </pic:spPr>
                </pic:pic>
              </a:graphicData>
            </a:graphic>
          </wp:inline>
        </w:drawing>
      </w:r>
    </w:p>
    <w:p w14:paraId="4C86A8B5">
      <w:pPr>
        <w:spacing w:line="360" w:lineRule="auto"/>
        <w:ind w:firstLine="480" w:firstLineChars="200"/>
        <w:rPr>
          <w:color w:val="auto"/>
          <w:sz w:val="24"/>
        </w:rPr>
      </w:pPr>
      <w:r>
        <w:rPr>
          <w:color w:val="auto"/>
          <w:sz w:val="24"/>
        </w:rPr>
        <w:t>式中：</w:t>
      </w:r>
    </w:p>
    <w:p w14:paraId="6F5718D8">
      <w:pPr>
        <w:spacing w:line="360" w:lineRule="auto"/>
        <w:ind w:firstLine="480" w:firstLineChars="200"/>
        <w:rPr>
          <w:color w:val="auto"/>
          <w:sz w:val="24"/>
        </w:rPr>
      </w:pPr>
      <w:r>
        <w:rPr>
          <w:color w:val="auto"/>
          <w:sz w:val="24"/>
        </w:rPr>
        <w:t>V</w:t>
      </w:r>
      <w:r>
        <w:rPr>
          <w:color w:val="auto"/>
          <w:sz w:val="24"/>
          <w:vertAlign w:val="subscript"/>
        </w:rPr>
        <w:t>g</w:t>
      </w:r>
      <w:r>
        <w:rPr>
          <w:color w:val="auto"/>
          <w:sz w:val="24"/>
        </w:rPr>
        <w:t>——干烟气排放量，m</w:t>
      </w:r>
      <w:r>
        <w:rPr>
          <w:color w:val="auto"/>
          <w:sz w:val="24"/>
          <w:vertAlign w:val="superscript"/>
        </w:rPr>
        <w:t>3</w:t>
      </w:r>
      <w:r>
        <w:rPr>
          <w:color w:val="auto"/>
          <w:sz w:val="24"/>
        </w:rPr>
        <w:t>/kg；</w:t>
      </w:r>
    </w:p>
    <w:p w14:paraId="1769AD8A">
      <w:pPr>
        <w:spacing w:line="360" w:lineRule="auto"/>
        <w:ind w:firstLine="480" w:firstLineChars="200"/>
        <w:rPr>
          <w:color w:val="auto"/>
          <w:sz w:val="24"/>
        </w:rPr>
      </w:pPr>
      <w:r>
        <w:rPr>
          <w:color w:val="auto"/>
          <w:sz w:val="24"/>
        </w:rPr>
        <w:t>V</w:t>
      </w:r>
      <w:r>
        <w:rPr>
          <w:color w:val="auto"/>
          <w:sz w:val="24"/>
          <w:vertAlign w:val="subscript"/>
        </w:rPr>
        <w:t>RO2</w:t>
      </w:r>
      <w:r>
        <w:rPr>
          <w:color w:val="auto"/>
          <w:sz w:val="24"/>
        </w:rPr>
        <w:t>——烟气中二氧化碳和二氧化硫容积之和，m</w:t>
      </w:r>
      <w:r>
        <w:rPr>
          <w:color w:val="auto"/>
          <w:sz w:val="24"/>
          <w:vertAlign w:val="superscript"/>
        </w:rPr>
        <w:t>3</w:t>
      </w:r>
      <w:r>
        <w:rPr>
          <w:color w:val="auto"/>
          <w:sz w:val="24"/>
        </w:rPr>
        <w:t>/kg；</w:t>
      </w:r>
    </w:p>
    <w:p w14:paraId="64346A2B">
      <w:pPr>
        <w:spacing w:line="360" w:lineRule="auto"/>
        <w:ind w:firstLine="480" w:firstLineChars="200"/>
        <w:rPr>
          <w:color w:val="auto"/>
          <w:sz w:val="24"/>
        </w:rPr>
      </w:pPr>
      <w:r>
        <w:rPr>
          <w:color w:val="auto"/>
          <w:sz w:val="24"/>
        </w:rPr>
        <w:t>C</w:t>
      </w:r>
      <w:r>
        <w:rPr>
          <w:color w:val="auto"/>
          <w:sz w:val="24"/>
          <w:vertAlign w:val="subscript"/>
        </w:rPr>
        <w:t>ar</w:t>
      </w:r>
      <w:r>
        <w:rPr>
          <w:color w:val="auto"/>
          <w:sz w:val="24"/>
        </w:rPr>
        <w:t>——收到基碳的质量分数，%，根据燃料成分分析为</w:t>
      </w:r>
      <w:r>
        <w:rPr>
          <w:rFonts w:hint="eastAsia"/>
          <w:color w:val="auto"/>
          <w:sz w:val="24"/>
        </w:rPr>
        <w:t>39.79</w:t>
      </w:r>
      <w:r>
        <w:rPr>
          <w:color w:val="auto"/>
          <w:sz w:val="24"/>
        </w:rPr>
        <w:t>；</w:t>
      </w:r>
    </w:p>
    <w:p w14:paraId="26821CC7">
      <w:pPr>
        <w:spacing w:line="360" w:lineRule="auto"/>
        <w:ind w:firstLine="480" w:firstLineChars="200"/>
        <w:rPr>
          <w:color w:val="auto"/>
          <w:sz w:val="24"/>
        </w:rPr>
      </w:pPr>
      <w:r>
        <w:rPr>
          <w:color w:val="auto"/>
          <w:sz w:val="24"/>
        </w:rPr>
        <w:t>S</w:t>
      </w:r>
      <w:r>
        <w:rPr>
          <w:color w:val="auto"/>
          <w:sz w:val="24"/>
          <w:vertAlign w:val="subscript"/>
        </w:rPr>
        <w:t>ar</w:t>
      </w:r>
      <w:r>
        <w:rPr>
          <w:color w:val="auto"/>
          <w:sz w:val="24"/>
        </w:rPr>
        <w:t>——收到基硫的质量分数，%，根据燃料成分分析为0.07；</w:t>
      </w:r>
    </w:p>
    <w:p w14:paraId="64CE0BBF">
      <w:pPr>
        <w:spacing w:line="360" w:lineRule="auto"/>
        <w:ind w:firstLine="480" w:firstLineChars="200"/>
        <w:rPr>
          <w:color w:val="auto"/>
          <w:sz w:val="24"/>
        </w:rPr>
      </w:pPr>
      <w:r>
        <w:rPr>
          <w:color w:val="auto"/>
          <w:sz w:val="24"/>
        </w:rPr>
        <w:t>V</w:t>
      </w:r>
      <w:r>
        <w:rPr>
          <w:color w:val="auto"/>
          <w:sz w:val="24"/>
          <w:vertAlign w:val="subscript"/>
        </w:rPr>
        <w:t>N2</w:t>
      </w:r>
      <w:r>
        <w:rPr>
          <w:color w:val="auto"/>
          <w:sz w:val="24"/>
        </w:rPr>
        <w:t>——烟气中氮气，m</w:t>
      </w:r>
      <w:r>
        <w:rPr>
          <w:color w:val="auto"/>
          <w:sz w:val="24"/>
          <w:vertAlign w:val="superscript"/>
        </w:rPr>
        <w:t>3</w:t>
      </w:r>
      <w:r>
        <w:rPr>
          <w:color w:val="auto"/>
          <w:sz w:val="24"/>
        </w:rPr>
        <w:t>/kg；</w:t>
      </w:r>
    </w:p>
    <w:p w14:paraId="6F2842B3">
      <w:pPr>
        <w:spacing w:line="360" w:lineRule="auto"/>
        <w:ind w:firstLine="480" w:firstLineChars="200"/>
        <w:rPr>
          <w:color w:val="auto"/>
          <w:sz w:val="24"/>
        </w:rPr>
      </w:pPr>
      <w:r>
        <w:rPr>
          <w:color w:val="auto"/>
          <w:sz w:val="24"/>
        </w:rPr>
        <w:t>α——</w:t>
      </w:r>
      <w:r>
        <w:rPr>
          <w:rFonts w:hint="eastAsia"/>
          <w:color w:val="auto"/>
          <w:sz w:val="24"/>
        </w:rPr>
        <w:t>过量空气系数，燃料燃烧时实际空气供给量与理论空气需要量之比值，本项目取1.7</w:t>
      </w:r>
      <w:r>
        <w:rPr>
          <w:color w:val="auto"/>
          <w:sz w:val="24"/>
        </w:rPr>
        <w:t>。</w:t>
      </w:r>
    </w:p>
    <w:p w14:paraId="58937A1E">
      <w:pPr>
        <w:spacing w:line="360" w:lineRule="auto"/>
        <w:ind w:firstLine="480" w:firstLineChars="200"/>
        <w:rPr>
          <w:color w:val="auto"/>
          <w:sz w:val="24"/>
        </w:rPr>
      </w:pPr>
      <w:r>
        <w:rPr>
          <w:color w:val="auto"/>
          <w:sz w:val="24"/>
        </w:rPr>
        <w:t>N</w:t>
      </w:r>
      <w:r>
        <w:rPr>
          <w:color w:val="auto"/>
          <w:sz w:val="24"/>
          <w:vertAlign w:val="subscript"/>
        </w:rPr>
        <w:t>ar</w:t>
      </w:r>
      <w:r>
        <w:rPr>
          <w:color w:val="auto"/>
          <w:sz w:val="24"/>
        </w:rPr>
        <w:t>——收到基氮的质量分数，%，根据燃料成分分析为</w:t>
      </w:r>
      <w:r>
        <w:rPr>
          <w:rFonts w:hint="eastAsia"/>
          <w:color w:val="auto"/>
          <w:sz w:val="24"/>
        </w:rPr>
        <w:t>0.35</w:t>
      </w:r>
      <w:r>
        <w:rPr>
          <w:color w:val="auto"/>
          <w:sz w:val="24"/>
        </w:rPr>
        <w:t>。</w:t>
      </w:r>
    </w:p>
    <w:p w14:paraId="05194C55">
      <w:pPr>
        <w:spacing w:line="360" w:lineRule="auto"/>
        <w:ind w:firstLine="480" w:firstLineChars="200"/>
        <w:rPr>
          <w:color w:val="auto"/>
          <w:sz w:val="24"/>
        </w:rPr>
      </w:pPr>
      <w:r>
        <w:rPr>
          <w:rFonts w:hint="eastAsia"/>
          <w:color w:val="auto"/>
          <w:sz w:val="24"/>
        </w:rPr>
        <w:t>经计算，</w:t>
      </w:r>
      <w:r>
        <w:rPr>
          <w:color w:val="auto"/>
          <w:sz w:val="24"/>
        </w:rPr>
        <w:t>V</w:t>
      </w:r>
      <w:r>
        <w:rPr>
          <w:rFonts w:hint="eastAsia"/>
          <w:color w:val="auto"/>
          <w:sz w:val="24"/>
          <w:vertAlign w:val="subscript"/>
        </w:rPr>
        <w:t>0</w:t>
      </w:r>
      <w:r>
        <w:rPr>
          <w:rFonts w:hint="eastAsia"/>
          <w:color w:val="auto"/>
          <w:sz w:val="24"/>
        </w:rPr>
        <w:t>=3.53</w:t>
      </w:r>
      <w:r>
        <w:rPr>
          <w:color w:val="auto"/>
          <w:sz w:val="24"/>
        </w:rPr>
        <w:t>m</w:t>
      </w:r>
      <w:r>
        <w:rPr>
          <w:color w:val="auto"/>
          <w:sz w:val="24"/>
          <w:vertAlign w:val="superscript"/>
        </w:rPr>
        <w:t>3</w:t>
      </w:r>
      <w:r>
        <w:rPr>
          <w:color w:val="auto"/>
          <w:sz w:val="24"/>
        </w:rPr>
        <w:t>/kg，V</w:t>
      </w:r>
      <w:r>
        <w:rPr>
          <w:color w:val="auto"/>
          <w:sz w:val="24"/>
          <w:vertAlign w:val="subscript"/>
        </w:rPr>
        <w:t>g</w:t>
      </w:r>
      <w:r>
        <w:rPr>
          <w:rFonts w:hint="eastAsia"/>
          <w:color w:val="auto"/>
          <w:sz w:val="24"/>
        </w:rPr>
        <w:t>=6.00</w:t>
      </w:r>
      <w:r>
        <w:rPr>
          <w:color w:val="auto"/>
          <w:sz w:val="24"/>
        </w:rPr>
        <w:t>m</w:t>
      </w:r>
      <w:r>
        <w:rPr>
          <w:color w:val="auto"/>
          <w:sz w:val="24"/>
          <w:vertAlign w:val="superscript"/>
        </w:rPr>
        <w:t>3</w:t>
      </w:r>
      <w:r>
        <w:rPr>
          <w:color w:val="auto"/>
          <w:sz w:val="24"/>
        </w:rPr>
        <w:t>/kg</w:t>
      </w:r>
      <w:r>
        <w:rPr>
          <w:rFonts w:hint="eastAsia"/>
          <w:color w:val="auto"/>
          <w:sz w:val="24"/>
        </w:rPr>
        <w:t>。本项目2个360万kcal/h的生物质热风炉年用生物质量为</w:t>
      </w:r>
      <w:r>
        <w:rPr>
          <w:rFonts w:hint="eastAsia"/>
          <w:color w:val="auto"/>
          <w:kern w:val="0"/>
          <w:sz w:val="24"/>
          <w:lang w:eastAsia="zh-CN"/>
        </w:rPr>
        <w:t>2181</w:t>
      </w:r>
      <w:r>
        <w:rPr>
          <w:rFonts w:hint="eastAsia"/>
          <w:color w:val="auto"/>
          <w:kern w:val="0"/>
          <w:sz w:val="24"/>
        </w:rPr>
        <w:t>t，则锅炉烟气量为</w:t>
      </w:r>
      <w:r>
        <w:rPr>
          <w:rFonts w:hint="eastAsia"/>
          <w:color w:val="auto"/>
          <w:kern w:val="0"/>
          <w:sz w:val="24"/>
          <w:lang w:eastAsia="zh-CN"/>
        </w:rPr>
        <w:t>1.31</w:t>
      </w:r>
      <w:r>
        <w:rPr>
          <w:color w:val="auto"/>
          <w:sz w:val="24"/>
        </w:rPr>
        <w:t>×10</w:t>
      </w:r>
      <w:r>
        <w:rPr>
          <w:rFonts w:hint="eastAsia"/>
          <w:color w:val="auto"/>
          <w:sz w:val="24"/>
          <w:vertAlign w:val="superscript"/>
        </w:rPr>
        <w:t>7</w:t>
      </w:r>
      <w:r>
        <w:rPr>
          <w:color w:val="auto"/>
          <w:sz w:val="24"/>
        </w:rPr>
        <w:t>m</w:t>
      </w:r>
      <w:r>
        <w:rPr>
          <w:color w:val="auto"/>
          <w:sz w:val="24"/>
          <w:vertAlign w:val="superscript"/>
        </w:rPr>
        <w:t>3</w:t>
      </w:r>
      <w:r>
        <w:rPr>
          <w:color w:val="auto"/>
          <w:sz w:val="24"/>
        </w:rPr>
        <w:t>/a。</w:t>
      </w:r>
    </w:p>
    <w:p w14:paraId="19DE6103">
      <w:pPr>
        <w:spacing w:line="360" w:lineRule="auto"/>
        <w:ind w:firstLine="480" w:firstLineChars="200"/>
        <w:rPr>
          <w:color w:val="auto"/>
          <w:sz w:val="24"/>
          <w:vertAlign w:val="subscript"/>
        </w:rPr>
      </w:pPr>
      <w:r>
        <w:rPr>
          <w:color w:val="auto"/>
          <w:sz w:val="24"/>
        </w:rPr>
        <w:t>②SO</w:t>
      </w:r>
      <w:r>
        <w:rPr>
          <w:color w:val="auto"/>
          <w:sz w:val="24"/>
          <w:vertAlign w:val="subscript"/>
        </w:rPr>
        <w:t>2</w:t>
      </w:r>
    </w:p>
    <w:p w14:paraId="430E2710">
      <w:pPr>
        <w:spacing w:line="360" w:lineRule="auto"/>
        <w:ind w:firstLine="480" w:firstLineChars="200"/>
        <w:rPr>
          <w:color w:val="auto"/>
          <w:sz w:val="24"/>
        </w:rPr>
      </w:pPr>
      <w:r>
        <w:rPr>
          <w:color w:val="auto"/>
          <w:sz w:val="24"/>
        </w:rPr>
        <w:t>SO</w:t>
      </w:r>
      <w:r>
        <w:rPr>
          <w:color w:val="auto"/>
          <w:sz w:val="24"/>
          <w:vertAlign w:val="subscript"/>
        </w:rPr>
        <w:t>2</w:t>
      </w:r>
      <w:r>
        <w:rPr>
          <w:color w:val="auto"/>
          <w:sz w:val="24"/>
        </w:rPr>
        <w:t>排放量按如下公式计算：</w:t>
      </w:r>
    </w:p>
    <w:p w14:paraId="5E276E44">
      <w:pPr>
        <w:spacing w:line="360" w:lineRule="auto"/>
        <w:jc w:val="center"/>
        <w:rPr>
          <w:color w:val="auto"/>
          <w:sz w:val="24"/>
        </w:rPr>
      </w:pPr>
      <w:r>
        <w:rPr>
          <w:color w:val="auto"/>
          <w:position w:val="-24"/>
          <w:szCs w:val="21"/>
        </w:rPr>
        <w:object>
          <v:shape id="_x0000_i1045" o:spt="75" type="#_x0000_t75" style="height:38.55pt;width:250.05pt;" o:ole="t" filled="f" o:preferrelative="t" stroked="f" coordsize="21600,21600">
            <v:path/>
            <v:fill on="f" focussize="0,0"/>
            <v:stroke on="f" joinstyle="miter"/>
            <v:imagedata r:id="rId37" o:title=""/>
            <o:lock v:ext="edit" aspectratio="t"/>
            <w10:wrap type="none"/>
            <w10:anchorlock/>
          </v:shape>
          <o:OLEObject Type="Embed" ProgID="Equation.3" ShapeID="_x0000_i1045" DrawAspect="Content" ObjectID="_1468075745" r:id="rId72">
            <o:LockedField>false</o:LockedField>
          </o:OLEObject>
        </w:object>
      </w:r>
    </w:p>
    <w:p w14:paraId="460EC639">
      <w:pPr>
        <w:spacing w:line="360" w:lineRule="auto"/>
        <w:ind w:firstLine="960" w:firstLineChars="400"/>
        <w:rPr>
          <w:color w:val="auto"/>
          <w:sz w:val="24"/>
        </w:rPr>
      </w:pPr>
      <w:r>
        <w:rPr>
          <w:color w:val="auto"/>
          <w:sz w:val="24"/>
        </w:rPr>
        <w:t>式中：</w:t>
      </w:r>
    </w:p>
    <w:p w14:paraId="4C5BE32C">
      <w:pPr>
        <w:spacing w:line="360" w:lineRule="auto"/>
        <w:ind w:firstLine="480" w:firstLineChars="200"/>
        <w:rPr>
          <w:color w:val="auto"/>
          <w:sz w:val="24"/>
        </w:rPr>
      </w:pPr>
      <w:r>
        <w:rPr>
          <w:color w:val="auto"/>
          <w:sz w:val="24"/>
        </w:rPr>
        <w:t>E</w:t>
      </w:r>
      <w:r>
        <w:rPr>
          <w:color w:val="auto"/>
          <w:sz w:val="24"/>
          <w:vertAlign w:val="subscript"/>
        </w:rPr>
        <w:t>SO2</w:t>
      </w:r>
      <w:r>
        <w:rPr>
          <w:color w:val="auto"/>
          <w:sz w:val="24"/>
        </w:rPr>
        <w:t>——核算时段内二氧化硫排放量，t，本项目核算时段取1a；</w:t>
      </w:r>
    </w:p>
    <w:p w14:paraId="51000435">
      <w:pPr>
        <w:spacing w:line="360" w:lineRule="auto"/>
        <w:ind w:firstLine="480" w:firstLineChars="200"/>
        <w:rPr>
          <w:color w:val="auto"/>
          <w:sz w:val="24"/>
        </w:rPr>
      </w:pPr>
      <w:r>
        <w:rPr>
          <w:color w:val="auto"/>
          <w:sz w:val="24"/>
        </w:rPr>
        <w:t>R——核算时段内锅炉燃料耗量，</w:t>
      </w:r>
      <w:r>
        <w:rPr>
          <w:rFonts w:hint="eastAsia"/>
          <w:color w:val="auto"/>
          <w:sz w:val="24"/>
        </w:rPr>
        <w:t>本项目2台</w:t>
      </w:r>
      <w:r>
        <w:rPr>
          <w:rFonts w:hint="eastAsia"/>
          <w:color w:val="auto"/>
          <w:sz w:val="24"/>
          <w:lang w:eastAsia="zh-CN"/>
        </w:rPr>
        <w:t>360万kcal/h</w:t>
      </w:r>
      <w:r>
        <w:rPr>
          <w:rFonts w:hint="eastAsia"/>
          <w:color w:val="auto"/>
          <w:sz w:val="24"/>
        </w:rPr>
        <w:t>生物质热风炉年用生物质量为</w:t>
      </w:r>
      <w:r>
        <w:rPr>
          <w:rFonts w:hint="eastAsia"/>
          <w:color w:val="auto"/>
          <w:kern w:val="0"/>
          <w:sz w:val="24"/>
          <w:lang w:eastAsia="zh-CN"/>
        </w:rPr>
        <w:t>2181</w:t>
      </w:r>
      <w:r>
        <w:rPr>
          <w:rFonts w:hint="eastAsia"/>
          <w:color w:val="auto"/>
          <w:kern w:val="0"/>
          <w:sz w:val="24"/>
        </w:rPr>
        <w:t>t</w:t>
      </w:r>
      <w:r>
        <w:rPr>
          <w:color w:val="auto"/>
          <w:sz w:val="24"/>
        </w:rPr>
        <w:t>。</w:t>
      </w:r>
    </w:p>
    <w:p w14:paraId="37508AE7">
      <w:pPr>
        <w:spacing w:line="360" w:lineRule="auto"/>
        <w:ind w:firstLine="480" w:firstLineChars="200"/>
        <w:rPr>
          <w:color w:val="auto"/>
          <w:sz w:val="24"/>
        </w:rPr>
      </w:pPr>
      <w:r>
        <w:rPr>
          <w:color w:val="auto"/>
          <w:sz w:val="24"/>
        </w:rPr>
        <w:t>Sar——收到基硫的质量分数，%，根据燃料成分分析为0.07；</w:t>
      </w:r>
    </w:p>
    <w:p w14:paraId="50AA59AC">
      <w:pPr>
        <w:spacing w:line="360" w:lineRule="auto"/>
        <w:ind w:firstLine="480" w:firstLineChars="200"/>
        <w:rPr>
          <w:color w:val="auto"/>
          <w:sz w:val="24"/>
        </w:rPr>
      </w:pPr>
      <w:r>
        <w:rPr>
          <w:color w:val="auto"/>
          <w:sz w:val="24"/>
        </w:rPr>
        <w:t>q</w:t>
      </w:r>
      <w:r>
        <w:rPr>
          <w:color w:val="auto"/>
          <w:sz w:val="24"/>
          <w:vertAlign w:val="subscript"/>
        </w:rPr>
        <w:t>4</w:t>
      </w:r>
      <w:r>
        <w:rPr>
          <w:color w:val="auto"/>
          <w:sz w:val="24"/>
        </w:rPr>
        <w:t>——锅炉机械不完全燃烧热损失，%，本项目取</w:t>
      </w:r>
      <w:r>
        <w:rPr>
          <w:rFonts w:hint="eastAsia"/>
          <w:color w:val="auto"/>
          <w:sz w:val="24"/>
        </w:rPr>
        <w:t>15</w:t>
      </w:r>
      <w:r>
        <w:rPr>
          <w:color w:val="auto"/>
          <w:sz w:val="24"/>
        </w:rPr>
        <w:t>；</w:t>
      </w:r>
    </w:p>
    <w:p w14:paraId="223AAE46">
      <w:pPr>
        <w:spacing w:line="360" w:lineRule="auto"/>
        <w:ind w:firstLine="480" w:firstLineChars="200"/>
        <w:rPr>
          <w:color w:val="auto"/>
          <w:sz w:val="24"/>
        </w:rPr>
      </w:pPr>
      <w:r>
        <w:rPr>
          <w:color w:val="auto"/>
          <w:sz w:val="24"/>
        </w:rPr>
        <w:t>η</w:t>
      </w:r>
      <w:r>
        <w:rPr>
          <w:color w:val="auto"/>
          <w:sz w:val="24"/>
          <w:vertAlign w:val="subscript"/>
        </w:rPr>
        <w:t>s</w:t>
      </w:r>
      <w:r>
        <w:rPr>
          <w:color w:val="auto"/>
          <w:sz w:val="24"/>
        </w:rPr>
        <w:t>——脱硫效率，%，本项目取0；</w:t>
      </w:r>
    </w:p>
    <w:p w14:paraId="36DA68A4">
      <w:pPr>
        <w:spacing w:line="360" w:lineRule="auto"/>
        <w:ind w:firstLine="480" w:firstLineChars="200"/>
        <w:rPr>
          <w:color w:val="auto"/>
          <w:sz w:val="24"/>
        </w:rPr>
      </w:pPr>
      <w:r>
        <w:rPr>
          <w:color w:val="auto"/>
          <w:sz w:val="24"/>
        </w:rPr>
        <w:t>K——燃料中的硫燃烧后氧化成二氧化硫的份额，量纲一的量，本项目取0.5；</w:t>
      </w:r>
    </w:p>
    <w:p w14:paraId="3DEBC9FA">
      <w:pPr>
        <w:spacing w:line="360" w:lineRule="auto"/>
        <w:ind w:firstLine="480" w:firstLineChars="200"/>
        <w:rPr>
          <w:color w:val="auto"/>
          <w:sz w:val="24"/>
        </w:rPr>
      </w:pPr>
      <w:r>
        <w:rPr>
          <w:rFonts w:hint="eastAsia"/>
          <w:color w:val="auto"/>
          <w:sz w:val="24"/>
        </w:rPr>
        <w:t>经计算，2台</w:t>
      </w:r>
      <w:r>
        <w:rPr>
          <w:rFonts w:hint="eastAsia"/>
          <w:color w:val="auto"/>
          <w:sz w:val="24"/>
          <w:lang w:eastAsia="zh-CN"/>
        </w:rPr>
        <w:t>360万kcal/h</w:t>
      </w:r>
      <w:r>
        <w:rPr>
          <w:rFonts w:hint="eastAsia"/>
          <w:color w:val="auto"/>
          <w:sz w:val="24"/>
        </w:rPr>
        <w:t>生物质热风炉二氧化硫排放量</w:t>
      </w:r>
      <w:r>
        <w:rPr>
          <w:rFonts w:hint="eastAsia"/>
          <w:color w:val="auto"/>
          <w:sz w:val="24"/>
          <w:lang w:eastAsia="zh-CN"/>
        </w:rPr>
        <w:t>1.30</w:t>
      </w:r>
      <w:r>
        <w:rPr>
          <w:rFonts w:hint="eastAsia"/>
          <w:color w:val="auto"/>
          <w:sz w:val="24"/>
        </w:rPr>
        <w:t>t/a。</w:t>
      </w:r>
    </w:p>
    <w:p w14:paraId="405BE4D2">
      <w:pPr>
        <w:spacing w:line="360" w:lineRule="auto"/>
        <w:ind w:firstLine="480" w:firstLineChars="200"/>
        <w:rPr>
          <w:color w:val="auto"/>
          <w:sz w:val="24"/>
        </w:rPr>
      </w:pPr>
      <w:r>
        <w:rPr>
          <w:color w:val="auto"/>
          <w:sz w:val="24"/>
        </w:rPr>
        <w:t>③颗粒物（烟尘）</w:t>
      </w:r>
    </w:p>
    <w:p w14:paraId="224F4222">
      <w:pPr>
        <w:spacing w:line="360" w:lineRule="auto"/>
        <w:ind w:firstLine="480" w:firstLineChars="200"/>
        <w:rPr>
          <w:color w:val="auto"/>
          <w:sz w:val="24"/>
        </w:rPr>
      </w:pPr>
      <w:r>
        <w:rPr>
          <w:color w:val="auto"/>
          <w:sz w:val="24"/>
        </w:rPr>
        <w:t>颗粒物排放量按如下公式计算：</w:t>
      </w:r>
    </w:p>
    <w:p w14:paraId="17DFCB2D">
      <w:pPr>
        <w:widowControl/>
        <w:spacing w:line="360" w:lineRule="auto"/>
        <w:jc w:val="center"/>
        <w:rPr>
          <w:color w:val="auto"/>
          <w:sz w:val="24"/>
        </w:rPr>
      </w:pPr>
      <w:r>
        <w:rPr>
          <w:color w:val="auto"/>
          <w:position w:val="-54"/>
          <w:szCs w:val="21"/>
        </w:rPr>
        <w:object>
          <v:shape id="_x0000_i1046" o:spt="75" type="#_x0000_t75" style="height:66.5pt;width:147.8pt;" o:ole="t" filled="f" o:preferrelative="t" stroked="f" coordsize="21600,21600">
            <v:path/>
            <v:fill on="f" focussize="0,0"/>
            <v:stroke on="f" joinstyle="miter"/>
            <v:imagedata r:id="rId39" o:title=""/>
            <o:lock v:ext="edit" aspectratio="t"/>
            <w10:wrap type="none"/>
            <w10:anchorlock/>
          </v:shape>
          <o:OLEObject Type="Embed" ProgID="Equation.3" ShapeID="_x0000_i1046" DrawAspect="Content" ObjectID="_1468075746" r:id="rId73">
            <o:LockedField>false</o:LockedField>
          </o:OLEObject>
        </w:object>
      </w:r>
    </w:p>
    <w:p w14:paraId="69EC591F">
      <w:pPr>
        <w:spacing w:line="360" w:lineRule="auto"/>
        <w:ind w:firstLine="480" w:firstLineChars="200"/>
        <w:rPr>
          <w:color w:val="auto"/>
          <w:sz w:val="24"/>
        </w:rPr>
      </w:pPr>
      <w:r>
        <w:rPr>
          <w:color w:val="auto"/>
          <w:sz w:val="24"/>
        </w:rPr>
        <w:t>式中：E</w:t>
      </w:r>
      <w:r>
        <w:rPr>
          <w:color w:val="auto"/>
          <w:sz w:val="24"/>
          <w:vertAlign w:val="subscript"/>
        </w:rPr>
        <w:t>A</w:t>
      </w:r>
      <w:r>
        <w:rPr>
          <w:color w:val="auto"/>
          <w:sz w:val="24"/>
        </w:rPr>
        <w:t>——核算时段内颗粒物（烟尘）排放量，t，本项目核算时段取1a；</w:t>
      </w:r>
    </w:p>
    <w:p w14:paraId="51C80C68">
      <w:pPr>
        <w:spacing w:line="360" w:lineRule="auto"/>
        <w:ind w:firstLine="480" w:firstLineChars="200"/>
        <w:rPr>
          <w:color w:val="auto"/>
          <w:sz w:val="24"/>
        </w:rPr>
      </w:pPr>
      <w:r>
        <w:rPr>
          <w:color w:val="auto"/>
          <w:sz w:val="24"/>
        </w:rPr>
        <w:t>R——核算时段内锅炉燃料耗量，本项目</w:t>
      </w:r>
      <w:r>
        <w:rPr>
          <w:rFonts w:hint="eastAsia"/>
          <w:color w:val="auto"/>
          <w:sz w:val="24"/>
        </w:rPr>
        <w:t>2台</w:t>
      </w:r>
      <w:r>
        <w:rPr>
          <w:rFonts w:hint="eastAsia"/>
          <w:color w:val="auto"/>
          <w:sz w:val="24"/>
          <w:lang w:eastAsia="zh-CN"/>
        </w:rPr>
        <w:t>360万kcal/h</w:t>
      </w:r>
      <w:r>
        <w:rPr>
          <w:color w:val="auto"/>
          <w:sz w:val="24"/>
        </w:rPr>
        <w:t>生物质热风炉年用生物质量为</w:t>
      </w:r>
      <w:r>
        <w:rPr>
          <w:rFonts w:hint="eastAsia"/>
          <w:color w:val="auto"/>
          <w:sz w:val="24"/>
          <w:lang w:eastAsia="zh-CN"/>
        </w:rPr>
        <w:t>2181</w:t>
      </w:r>
      <w:r>
        <w:rPr>
          <w:color w:val="auto"/>
          <w:kern w:val="0"/>
          <w:sz w:val="24"/>
        </w:rPr>
        <w:t>t</w:t>
      </w:r>
      <w:r>
        <w:rPr>
          <w:color w:val="auto"/>
          <w:sz w:val="24"/>
        </w:rPr>
        <w:t>。</w:t>
      </w:r>
    </w:p>
    <w:p w14:paraId="120D5F4F">
      <w:pPr>
        <w:spacing w:line="360" w:lineRule="auto"/>
        <w:ind w:firstLine="480" w:firstLineChars="200"/>
        <w:rPr>
          <w:color w:val="auto"/>
          <w:sz w:val="24"/>
        </w:rPr>
      </w:pPr>
      <w:r>
        <w:rPr>
          <w:color w:val="auto"/>
          <w:sz w:val="24"/>
        </w:rPr>
        <w:t>Aar——收到基灰分的质量分数，%，根据燃料成分分析为</w:t>
      </w:r>
      <w:r>
        <w:rPr>
          <w:rFonts w:hint="eastAsia"/>
          <w:color w:val="auto"/>
          <w:sz w:val="24"/>
          <w:lang w:eastAsia="zh-CN"/>
        </w:rPr>
        <w:t>8.83</w:t>
      </w:r>
      <w:r>
        <w:rPr>
          <w:color w:val="auto"/>
          <w:sz w:val="24"/>
        </w:rPr>
        <w:t>；</w:t>
      </w:r>
    </w:p>
    <w:p w14:paraId="3F29910C">
      <w:pPr>
        <w:spacing w:line="360" w:lineRule="auto"/>
        <w:ind w:firstLine="480" w:firstLineChars="200"/>
        <w:rPr>
          <w:color w:val="auto"/>
          <w:sz w:val="24"/>
        </w:rPr>
      </w:pPr>
      <w:r>
        <w:rPr>
          <w:color w:val="auto"/>
          <w:sz w:val="24"/>
        </w:rPr>
        <w:t>d</w:t>
      </w:r>
      <w:r>
        <w:rPr>
          <w:color w:val="auto"/>
          <w:sz w:val="24"/>
          <w:vertAlign w:val="subscript"/>
        </w:rPr>
        <w:t>fh</w:t>
      </w:r>
      <w:r>
        <w:rPr>
          <w:color w:val="auto"/>
          <w:sz w:val="24"/>
        </w:rPr>
        <w:t>——锅炉烟气带出的飞灰份额，%，</w:t>
      </w:r>
      <w:r>
        <w:rPr>
          <w:bCs/>
          <w:color w:val="auto"/>
          <w:sz w:val="24"/>
        </w:rPr>
        <w:t>（链条炉排灰分份额为10%-20%，燃生物质时飞灰份额加30%，本项目取</w:t>
      </w:r>
      <w:r>
        <w:rPr>
          <w:rFonts w:hint="eastAsia"/>
          <w:bCs/>
          <w:color w:val="auto"/>
          <w:sz w:val="24"/>
          <w:lang w:val="en-US" w:eastAsia="zh-CN"/>
        </w:rPr>
        <w:t>20</w:t>
      </w:r>
      <w:r>
        <w:rPr>
          <w:bCs/>
          <w:color w:val="auto"/>
          <w:sz w:val="24"/>
        </w:rPr>
        <w:t>%，则最终灰分份额取</w:t>
      </w:r>
      <w:r>
        <w:rPr>
          <w:rFonts w:hint="eastAsia"/>
          <w:bCs/>
          <w:color w:val="auto"/>
          <w:sz w:val="24"/>
          <w:lang w:val="en-US" w:eastAsia="zh-CN"/>
        </w:rPr>
        <w:t>50</w:t>
      </w:r>
      <w:r>
        <w:rPr>
          <w:bCs/>
          <w:color w:val="auto"/>
          <w:sz w:val="24"/>
        </w:rPr>
        <w:t>%）</w:t>
      </w:r>
      <w:r>
        <w:rPr>
          <w:color w:val="auto"/>
          <w:sz w:val="24"/>
        </w:rPr>
        <w:t>；</w:t>
      </w:r>
    </w:p>
    <w:p w14:paraId="2F1DD211">
      <w:pPr>
        <w:spacing w:line="360" w:lineRule="auto"/>
        <w:ind w:firstLine="480" w:firstLineChars="200"/>
        <w:rPr>
          <w:color w:val="auto"/>
          <w:sz w:val="24"/>
        </w:rPr>
      </w:pPr>
      <w:r>
        <w:rPr>
          <w:color w:val="auto"/>
          <w:sz w:val="24"/>
        </w:rPr>
        <w:t>η</w:t>
      </w:r>
      <w:r>
        <w:rPr>
          <w:color w:val="auto"/>
          <w:sz w:val="24"/>
          <w:vertAlign w:val="subscript"/>
        </w:rPr>
        <w:t>c</w:t>
      </w:r>
      <w:r>
        <w:rPr>
          <w:color w:val="auto"/>
          <w:sz w:val="24"/>
        </w:rPr>
        <w:t>——综合除尘效率，99.7%；</w:t>
      </w:r>
    </w:p>
    <w:p w14:paraId="6C7CC8A0">
      <w:pPr>
        <w:spacing w:line="360" w:lineRule="auto"/>
        <w:ind w:firstLine="480" w:firstLineChars="200"/>
        <w:rPr>
          <w:color w:val="auto"/>
          <w:sz w:val="24"/>
        </w:rPr>
      </w:pPr>
      <w:r>
        <w:rPr>
          <w:color w:val="auto"/>
          <w:sz w:val="24"/>
        </w:rPr>
        <w:t>C</w:t>
      </w:r>
      <w:r>
        <w:rPr>
          <w:color w:val="auto"/>
          <w:sz w:val="24"/>
          <w:vertAlign w:val="subscript"/>
        </w:rPr>
        <w:t>fh</w:t>
      </w:r>
      <w:r>
        <w:rPr>
          <w:color w:val="auto"/>
          <w:sz w:val="24"/>
        </w:rPr>
        <w:t>——飞灰中的可燃物含量，%，本次取值10；</w:t>
      </w:r>
    </w:p>
    <w:p w14:paraId="77D1C936">
      <w:pPr>
        <w:spacing w:line="360" w:lineRule="auto"/>
        <w:ind w:left="1199" w:leftChars="228" w:hanging="720" w:hangingChars="300"/>
        <w:jc w:val="left"/>
        <w:rPr>
          <w:color w:val="auto"/>
          <w:sz w:val="24"/>
        </w:rPr>
      </w:pPr>
      <w:r>
        <w:rPr>
          <w:rFonts w:hint="eastAsia"/>
          <w:color w:val="auto"/>
          <w:sz w:val="24"/>
        </w:rPr>
        <w:t>经计算，本项目2台</w:t>
      </w:r>
      <w:r>
        <w:rPr>
          <w:rFonts w:hint="eastAsia"/>
          <w:color w:val="auto"/>
          <w:sz w:val="24"/>
          <w:lang w:eastAsia="zh-CN"/>
        </w:rPr>
        <w:t>360万kcal/h</w:t>
      </w:r>
      <w:r>
        <w:rPr>
          <w:rFonts w:hint="eastAsia"/>
          <w:color w:val="auto"/>
          <w:sz w:val="24"/>
        </w:rPr>
        <w:t>生物质热风炉颗粒物排放量</w:t>
      </w:r>
      <w:r>
        <w:rPr>
          <w:color w:val="auto"/>
          <w:sz w:val="24"/>
        </w:rPr>
        <w:t>E</w:t>
      </w:r>
      <w:r>
        <w:rPr>
          <w:color w:val="auto"/>
          <w:sz w:val="24"/>
          <w:vertAlign w:val="subscript"/>
        </w:rPr>
        <w:t>A</w:t>
      </w:r>
      <w:r>
        <w:rPr>
          <w:rFonts w:hint="eastAsia"/>
          <w:color w:val="auto"/>
          <w:sz w:val="24"/>
        </w:rPr>
        <w:t>=</w:t>
      </w:r>
      <w:r>
        <w:rPr>
          <w:rFonts w:hint="eastAsia"/>
          <w:color w:val="auto"/>
          <w:sz w:val="24"/>
          <w:lang w:eastAsia="zh-CN"/>
        </w:rPr>
        <w:t>2181</w:t>
      </w:r>
      <w:r>
        <w:rPr>
          <w:rFonts w:hint="eastAsia"/>
          <w:color w:val="auto"/>
          <w:sz w:val="24"/>
        </w:rPr>
        <w:t>*</w:t>
      </w:r>
      <w:r>
        <w:rPr>
          <w:rFonts w:hint="eastAsia"/>
          <w:color w:val="auto"/>
          <w:sz w:val="24"/>
          <w:lang w:eastAsia="zh-CN"/>
        </w:rPr>
        <w:t>8.83</w:t>
      </w:r>
      <w:r>
        <w:rPr>
          <w:rFonts w:hint="eastAsia"/>
          <w:color w:val="auto"/>
          <w:sz w:val="24"/>
        </w:rPr>
        <w:t>/100*</w:t>
      </w:r>
      <w:r>
        <w:rPr>
          <w:rFonts w:hint="eastAsia"/>
          <w:color w:val="auto"/>
          <w:sz w:val="24"/>
          <w:lang w:val="en-US" w:eastAsia="zh-CN"/>
        </w:rPr>
        <w:t>50</w:t>
      </w:r>
      <w:r>
        <w:rPr>
          <w:rFonts w:hint="eastAsia"/>
          <w:color w:val="auto"/>
          <w:sz w:val="24"/>
        </w:rPr>
        <w:t>/100*(1-0.997)/(1-0.1)=</w:t>
      </w:r>
      <w:r>
        <w:rPr>
          <w:rFonts w:hint="eastAsia"/>
          <w:color w:val="auto"/>
          <w:sz w:val="24"/>
          <w:lang w:eastAsia="zh-CN"/>
        </w:rPr>
        <w:t>0.32</w:t>
      </w:r>
      <w:r>
        <w:rPr>
          <w:rFonts w:hint="eastAsia"/>
          <w:color w:val="auto"/>
          <w:sz w:val="24"/>
        </w:rPr>
        <w:t>t/a</w:t>
      </w:r>
    </w:p>
    <w:p w14:paraId="3CD8A2B2">
      <w:pPr>
        <w:spacing w:line="360" w:lineRule="auto"/>
        <w:ind w:firstLine="480" w:firstLineChars="200"/>
        <w:rPr>
          <w:color w:val="auto"/>
          <w:sz w:val="24"/>
        </w:rPr>
      </w:pPr>
      <w:r>
        <w:rPr>
          <w:color w:val="auto"/>
          <w:sz w:val="24"/>
        </w:rPr>
        <w:t>④NOx</w:t>
      </w:r>
    </w:p>
    <w:p w14:paraId="5AA91791">
      <w:pPr>
        <w:spacing w:line="360" w:lineRule="auto"/>
        <w:ind w:firstLine="480" w:firstLineChars="200"/>
        <w:rPr>
          <w:color w:val="auto"/>
          <w:sz w:val="24"/>
        </w:rPr>
      </w:pPr>
      <w:r>
        <w:rPr>
          <w:color w:val="auto"/>
          <w:sz w:val="24"/>
        </w:rPr>
        <w:t>在《排污许可证申请与核发技术规范 工业炉窑》（HJ1121-2020）中氮氧化物没有物料衡算法，本项目氮氧化物排放量采用产排污系数法。根据《排污许可证申请与核发技术规范 锅炉》（HJ 953-2018）中附录F.4燃生物质工业锅炉的废气产排污系数，可知烟气</w:t>
      </w:r>
      <w:r>
        <w:rPr>
          <w:rFonts w:hint="eastAsia"/>
          <w:color w:val="auto"/>
          <w:sz w:val="24"/>
          <w:lang w:val="en-US" w:eastAsia="zh-CN"/>
        </w:rPr>
        <w:t>采用烟气再循环低氮燃烧技术</w:t>
      </w:r>
      <w:r>
        <w:rPr>
          <w:color w:val="auto"/>
          <w:sz w:val="24"/>
        </w:rPr>
        <w:t>处理的氮氧化物排污系数为0.71千克/吨－燃料</w:t>
      </w:r>
      <w:r>
        <w:rPr>
          <w:rFonts w:hint="eastAsia"/>
          <w:color w:val="auto"/>
          <w:sz w:val="24"/>
        </w:rPr>
        <w:t>（按照该规范，氮氧化物直排产污系数为1.02</w:t>
      </w:r>
      <w:r>
        <w:rPr>
          <w:color w:val="auto"/>
          <w:sz w:val="24"/>
        </w:rPr>
        <w:t>千克/吨－燃料</w:t>
      </w:r>
      <w:r>
        <w:rPr>
          <w:rFonts w:hint="eastAsia"/>
          <w:color w:val="auto"/>
          <w:sz w:val="24"/>
        </w:rPr>
        <w:t>，故氮氧化物处理效率按照30.39%计）</w:t>
      </w:r>
      <w:r>
        <w:rPr>
          <w:color w:val="auto"/>
          <w:sz w:val="24"/>
        </w:rPr>
        <w:t>。</w:t>
      </w:r>
    </w:p>
    <w:p w14:paraId="6ECA658B">
      <w:pPr>
        <w:spacing w:line="360" w:lineRule="auto"/>
        <w:ind w:firstLine="420" w:firstLineChars="200"/>
        <w:jc w:val="center"/>
        <w:rPr>
          <w:color w:val="auto"/>
          <w:sz w:val="24"/>
        </w:rPr>
      </w:pPr>
      <w:r>
        <w:rPr>
          <w:color w:val="auto"/>
        </w:rPr>
        <w:drawing>
          <wp:inline distT="0" distB="0" distL="114300" distR="114300">
            <wp:extent cx="2322830" cy="567055"/>
            <wp:effectExtent l="0" t="0" r="1270" b="4445"/>
            <wp:docPr id="1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pic:cNvPicPr>
                      <a:picLocks noChangeAspect="1"/>
                    </pic:cNvPicPr>
                  </pic:nvPicPr>
                  <pic:blipFill>
                    <a:blip r:embed="rId40"/>
                    <a:stretch>
                      <a:fillRect/>
                    </a:stretch>
                  </pic:blipFill>
                  <pic:spPr>
                    <a:xfrm>
                      <a:off x="0" y="0"/>
                      <a:ext cx="2322830" cy="567055"/>
                    </a:xfrm>
                    <a:prstGeom prst="rect">
                      <a:avLst/>
                    </a:prstGeom>
                    <a:noFill/>
                    <a:ln>
                      <a:noFill/>
                    </a:ln>
                  </pic:spPr>
                </pic:pic>
              </a:graphicData>
            </a:graphic>
          </wp:inline>
        </w:drawing>
      </w:r>
    </w:p>
    <w:p w14:paraId="640CA2B3">
      <w:pPr>
        <w:pStyle w:val="68"/>
        <w:spacing w:beforeLines="0" w:afterLines="0" w:line="360" w:lineRule="auto"/>
        <w:ind w:firstLine="480"/>
        <w:jc w:val="left"/>
        <w:rPr>
          <w:color w:val="auto"/>
        </w:rPr>
      </w:pPr>
      <w:r>
        <w:rPr>
          <w:color w:val="auto"/>
        </w:rPr>
        <w:t>式中：</w:t>
      </w:r>
    </w:p>
    <w:p w14:paraId="0FF7B4A9">
      <w:pPr>
        <w:pStyle w:val="68"/>
        <w:spacing w:beforeLines="0" w:afterLines="0" w:line="360" w:lineRule="auto"/>
        <w:ind w:firstLine="480"/>
        <w:jc w:val="left"/>
        <w:rPr>
          <w:color w:val="auto"/>
        </w:rPr>
      </w:pPr>
      <w:r>
        <w:rPr>
          <w:color w:val="auto"/>
        </w:rPr>
        <w:t>Ej—核算时段内第j种污染物排放量，t；</w:t>
      </w:r>
    </w:p>
    <w:p w14:paraId="1A56054C">
      <w:pPr>
        <w:pStyle w:val="68"/>
        <w:spacing w:beforeLines="0" w:afterLines="0" w:line="360" w:lineRule="auto"/>
        <w:ind w:firstLine="480"/>
        <w:jc w:val="left"/>
        <w:rPr>
          <w:color w:val="auto"/>
        </w:rPr>
      </w:pPr>
      <w:r>
        <w:rPr>
          <w:color w:val="auto"/>
        </w:rPr>
        <w:t>R—核算时段内燃料耗量，t；本项目取</w:t>
      </w:r>
      <w:r>
        <w:rPr>
          <w:rFonts w:hint="eastAsia"/>
          <w:color w:val="auto"/>
          <w:lang w:eastAsia="zh-CN"/>
        </w:rPr>
        <w:t>2181</w:t>
      </w:r>
      <w:r>
        <w:rPr>
          <w:color w:val="auto"/>
        </w:rPr>
        <w:t>；</w:t>
      </w:r>
    </w:p>
    <w:p w14:paraId="57F2DC6C">
      <w:pPr>
        <w:pStyle w:val="68"/>
        <w:spacing w:beforeLines="0" w:afterLines="0" w:line="360" w:lineRule="auto"/>
        <w:ind w:firstLine="480"/>
        <w:jc w:val="left"/>
        <w:rPr>
          <w:color w:val="auto"/>
        </w:rPr>
      </w:pPr>
      <w:r>
        <w:rPr>
          <w:color w:val="auto"/>
        </w:rPr>
        <w:t>βj—产污系数，kg/t，参见《排污许可申请与核发技术规范 锅炉》（HJ953），氮氧化物取1.02千克/吨-燃料；</w:t>
      </w:r>
    </w:p>
    <w:p w14:paraId="24E084F2">
      <w:pPr>
        <w:pStyle w:val="68"/>
        <w:spacing w:beforeLines="0" w:afterLines="0" w:line="360" w:lineRule="auto"/>
        <w:ind w:firstLine="480"/>
        <w:jc w:val="left"/>
        <w:rPr>
          <w:color w:val="auto"/>
        </w:rPr>
      </w:pPr>
      <w:r>
        <w:rPr>
          <w:color w:val="auto"/>
        </w:rPr>
        <w:t>η—污染物脱除效率，%；本次取</w:t>
      </w:r>
      <w:r>
        <w:rPr>
          <w:rFonts w:hint="eastAsia"/>
          <w:color w:val="auto"/>
        </w:rPr>
        <w:t>30.39</w:t>
      </w:r>
      <w:r>
        <w:rPr>
          <w:color w:val="auto"/>
        </w:rPr>
        <w:t>%；</w:t>
      </w:r>
    </w:p>
    <w:p w14:paraId="36139D9A">
      <w:pPr>
        <w:spacing w:line="360" w:lineRule="auto"/>
        <w:ind w:firstLine="480" w:firstLineChars="200"/>
        <w:rPr>
          <w:color w:val="auto"/>
          <w:sz w:val="24"/>
        </w:rPr>
      </w:pPr>
      <w:r>
        <w:rPr>
          <w:color w:val="auto"/>
          <w:sz w:val="24"/>
        </w:rPr>
        <w:t>经计算，本项目</w:t>
      </w:r>
      <w:r>
        <w:rPr>
          <w:rFonts w:hint="eastAsia"/>
          <w:color w:val="auto"/>
          <w:sz w:val="24"/>
        </w:rPr>
        <w:t>2台</w:t>
      </w:r>
      <w:r>
        <w:rPr>
          <w:rFonts w:hint="eastAsia"/>
          <w:color w:val="auto"/>
          <w:sz w:val="24"/>
          <w:lang w:eastAsia="zh-CN"/>
        </w:rPr>
        <w:t>360万kcal/h</w:t>
      </w:r>
      <w:r>
        <w:rPr>
          <w:rFonts w:hint="eastAsia"/>
          <w:color w:val="auto"/>
          <w:sz w:val="24"/>
        </w:rPr>
        <w:t>生物质热风炉</w:t>
      </w:r>
      <w:r>
        <w:rPr>
          <w:color w:val="auto"/>
          <w:sz w:val="24"/>
        </w:rPr>
        <w:t>中氮氧化物排放量为</w:t>
      </w:r>
      <w:r>
        <w:rPr>
          <w:rFonts w:hint="eastAsia"/>
          <w:color w:val="auto"/>
          <w:sz w:val="24"/>
          <w:lang w:eastAsia="zh-CN"/>
        </w:rPr>
        <w:t>1.55</w:t>
      </w:r>
      <w:r>
        <w:rPr>
          <w:color w:val="auto"/>
          <w:sz w:val="24"/>
        </w:rPr>
        <w:t>t/a。</w:t>
      </w:r>
    </w:p>
    <w:p w14:paraId="44088083">
      <w:pPr>
        <w:pStyle w:val="107"/>
        <w:ind w:firstLine="480"/>
        <w:rPr>
          <w:color w:val="auto"/>
          <w:sz w:val="24"/>
        </w:rPr>
      </w:pPr>
      <w:r>
        <w:rPr>
          <w:color w:val="auto"/>
          <w:sz w:val="24"/>
        </w:rPr>
        <w:t>本项目</w:t>
      </w:r>
      <w:r>
        <w:rPr>
          <w:rFonts w:hint="eastAsia"/>
          <w:color w:val="auto"/>
          <w:sz w:val="24"/>
        </w:rPr>
        <w:t>2台</w:t>
      </w:r>
      <w:r>
        <w:rPr>
          <w:rFonts w:hint="eastAsia"/>
          <w:color w:val="auto"/>
          <w:sz w:val="24"/>
          <w:lang w:eastAsia="zh-CN"/>
        </w:rPr>
        <w:t>360万kcal/h</w:t>
      </w:r>
      <w:r>
        <w:rPr>
          <w:rFonts w:hint="eastAsia"/>
          <w:color w:val="auto"/>
          <w:sz w:val="24"/>
        </w:rPr>
        <w:t>生物质热风炉产生的</w:t>
      </w:r>
      <w:r>
        <w:rPr>
          <w:bCs/>
          <w:color w:val="auto"/>
          <w:sz w:val="24"/>
        </w:rPr>
        <w:t>烟气SO</w:t>
      </w:r>
      <w:r>
        <w:rPr>
          <w:bCs/>
          <w:color w:val="auto"/>
          <w:sz w:val="24"/>
          <w:vertAlign w:val="subscript"/>
        </w:rPr>
        <w:t>2</w:t>
      </w:r>
      <w:r>
        <w:rPr>
          <w:bCs/>
          <w:color w:val="auto"/>
          <w:sz w:val="24"/>
        </w:rPr>
        <w:t>、烟（粉）尘和烟气黑度排放浓度</w:t>
      </w:r>
      <w:r>
        <w:rPr>
          <w:rFonts w:hint="eastAsia"/>
          <w:bCs/>
          <w:color w:val="auto"/>
          <w:sz w:val="24"/>
        </w:rPr>
        <w:t>均</w:t>
      </w:r>
      <w:r>
        <w:rPr>
          <w:bCs/>
          <w:color w:val="auto"/>
          <w:sz w:val="24"/>
        </w:rPr>
        <w:t>满足《工业炉窑大气污染物排放标准》（GB9078-1996）表2、表4标准。</w:t>
      </w:r>
      <w:r>
        <w:rPr>
          <w:rFonts w:hint="eastAsia"/>
          <w:color w:val="auto"/>
          <w:sz w:val="24"/>
          <w:lang w:eastAsia="zh-CN"/>
        </w:rPr>
        <w:t>360万kcal/h</w:t>
      </w:r>
      <w:r>
        <w:rPr>
          <w:rFonts w:hint="eastAsia"/>
          <w:color w:val="auto"/>
          <w:sz w:val="24"/>
        </w:rPr>
        <w:t>生物质热风炉1，</w:t>
      </w:r>
      <w:r>
        <w:rPr>
          <w:bCs/>
          <w:color w:val="auto"/>
          <w:sz w:val="24"/>
        </w:rPr>
        <w:t>烟气</w:t>
      </w:r>
      <w:r>
        <w:rPr>
          <w:color w:val="auto"/>
          <w:sz w:val="24"/>
        </w:rPr>
        <w:t>经由</w:t>
      </w:r>
      <w:r>
        <w:rPr>
          <w:rFonts w:hint="eastAsia"/>
          <w:color w:val="auto"/>
          <w:sz w:val="24"/>
        </w:rPr>
        <w:t>15</w:t>
      </w:r>
      <w:r>
        <w:rPr>
          <w:color w:val="auto"/>
          <w:sz w:val="24"/>
        </w:rPr>
        <w:t>m高烟囱（DA00</w:t>
      </w:r>
      <w:r>
        <w:rPr>
          <w:rFonts w:hint="eastAsia"/>
          <w:color w:val="auto"/>
          <w:sz w:val="24"/>
        </w:rPr>
        <w:t>1</w:t>
      </w:r>
      <w:r>
        <w:rPr>
          <w:color w:val="auto"/>
          <w:sz w:val="24"/>
        </w:rPr>
        <w:t>）排放</w:t>
      </w:r>
      <w:r>
        <w:rPr>
          <w:rFonts w:hint="eastAsia"/>
          <w:color w:val="auto"/>
          <w:sz w:val="24"/>
        </w:rPr>
        <w:t>；</w:t>
      </w:r>
      <w:r>
        <w:rPr>
          <w:rFonts w:hint="eastAsia"/>
          <w:color w:val="auto"/>
          <w:sz w:val="24"/>
          <w:lang w:eastAsia="zh-CN"/>
        </w:rPr>
        <w:t>360万kcal/h</w:t>
      </w:r>
      <w:r>
        <w:rPr>
          <w:rFonts w:hint="eastAsia"/>
          <w:color w:val="auto"/>
          <w:sz w:val="24"/>
        </w:rPr>
        <w:t>生物质热风炉2，</w:t>
      </w:r>
      <w:r>
        <w:rPr>
          <w:bCs/>
          <w:color w:val="auto"/>
          <w:sz w:val="24"/>
        </w:rPr>
        <w:t>烟气</w:t>
      </w:r>
      <w:r>
        <w:rPr>
          <w:color w:val="auto"/>
          <w:sz w:val="24"/>
        </w:rPr>
        <w:t>经由</w:t>
      </w:r>
      <w:r>
        <w:rPr>
          <w:rFonts w:hint="eastAsia"/>
          <w:color w:val="auto"/>
          <w:sz w:val="24"/>
        </w:rPr>
        <w:t>15</w:t>
      </w:r>
      <w:r>
        <w:rPr>
          <w:color w:val="auto"/>
          <w:sz w:val="24"/>
        </w:rPr>
        <w:t>m高烟囱（DA00</w:t>
      </w:r>
      <w:r>
        <w:rPr>
          <w:rFonts w:hint="eastAsia"/>
          <w:color w:val="auto"/>
          <w:sz w:val="24"/>
        </w:rPr>
        <w:t>2</w:t>
      </w:r>
      <w:r>
        <w:rPr>
          <w:color w:val="auto"/>
          <w:sz w:val="24"/>
        </w:rPr>
        <w:t>）排放。</w:t>
      </w:r>
    </w:p>
    <w:p w14:paraId="47BAE6A7">
      <w:pPr>
        <w:adjustRightInd w:val="0"/>
        <w:spacing w:line="360" w:lineRule="auto"/>
        <w:ind w:firstLine="480" w:firstLineChars="200"/>
        <w:jc w:val="left"/>
        <w:rPr>
          <w:color w:val="auto"/>
          <w:kern w:val="0"/>
          <w:sz w:val="24"/>
        </w:rPr>
      </w:pPr>
      <w:r>
        <w:rPr>
          <w:color w:val="auto"/>
          <w:kern w:val="0"/>
          <w:sz w:val="24"/>
        </w:rPr>
        <w:t>（2）无组织粉尘</w:t>
      </w:r>
    </w:p>
    <w:p w14:paraId="30E18E1F">
      <w:pPr>
        <w:widowControl/>
        <w:spacing w:line="360" w:lineRule="auto"/>
        <w:ind w:firstLine="480" w:firstLineChars="200"/>
        <w:jc w:val="left"/>
        <w:rPr>
          <w:color w:val="auto"/>
          <w:kern w:val="0"/>
          <w:sz w:val="24"/>
          <w:lang w:bidi="ar"/>
        </w:rPr>
      </w:pPr>
      <w:r>
        <w:rPr>
          <w:color w:val="auto"/>
          <w:kern w:val="0"/>
          <w:sz w:val="24"/>
          <w:lang w:bidi="ar"/>
        </w:rPr>
        <w:t>①燃料</w:t>
      </w:r>
      <w:r>
        <w:rPr>
          <w:rFonts w:hint="eastAsia"/>
          <w:color w:val="auto"/>
          <w:kern w:val="0"/>
          <w:sz w:val="24"/>
          <w:lang w:bidi="ar"/>
        </w:rPr>
        <w:t>储存</w:t>
      </w:r>
      <w:r>
        <w:rPr>
          <w:color w:val="auto"/>
          <w:kern w:val="0"/>
          <w:sz w:val="24"/>
          <w:lang w:bidi="ar"/>
        </w:rPr>
        <w:t>粉尘</w:t>
      </w:r>
    </w:p>
    <w:p w14:paraId="7C10645B">
      <w:pPr>
        <w:widowControl/>
        <w:spacing w:line="360" w:lineRule="auto"/>
        <w:ind w:firstLine="480" w:firstLineChars="200"/>
        <w:jc w:val="left"/>
        <w:rPr>
          <w:color w:val="auto"/>
          <w:kern w:val="0"/>
          <w:sz w:val="24"/>
          <w:lang w:bidi="ar"/>
        </w:rPr>
      </w:pPr>
      <w:r>
        <w:rPr>
          <w:color w:val="auto"/>
          <w:kern w:val="0"/>
          <w:sz w:val="24"/>
          <w:lang w:bidi="ar"/>
        </w:rPr>
        <w:t>本项目生物质成型燃料储存在</w:t>
      </w:r>
      <w:r>
        <w:rPr>
          <w:rFonts w:hint="eastAsia"/>
          <w:color w:val="auto"/>
          <w:kern w:val="0"/>
          <w:sz w:val="24"/>
          <w:lang w:bidi="ar"/>
        </w:rPr>
        <w:t>厂区</w:t>
      </w:r>
      <w:r>
        <w:rPr>
          <w:color w:val="auto"/>
          <w:kern w:val="0"/>
          <w:sz w:val="24"/>
          <w:lang w:bidi="ar"/>
        </w:rPr>
        <w:t>密闭</w:t>
      </w:r>
      <w:r>
        <w:rPr>
          <w:rFonts w:hint="eastAsia"/>
          <w:color w:val="auto"/>
          <w:kern w:val="0"/>
          <w:sz w:val="24"/>
          <w:lang w:bidi="ar"/>
        </w:rPr>
        <w:t>燃料间内</w:t>
      </w:r>
      <w:r>
        <w:rPr>
          <w:color w:val="auto"/>
          <w:kern w:val="0"/>
          <w:sz w:val="24"/>
          <w:lang w:bidi="ar"/>
        </w:rPr>
        <w:t>，粉尘主要为燃料堆取中产生粉尘，产生量较少，安装换气扇、定期通风，无组织粉尘通过上述措施处理后可满足《大气污染物综合排放标准》（GB16297-1996）表2无组织排放浓度限值要求。</w:t>
      </w:r>
    </w:p>
    <w:p w14:paraId="3922AB79">
      <w:pPr>
        <w:widowControl/>
        <w:spacing w:line="360" w:lineRule="auto"/>
        <w:ind w:firstLine="480" w:firstLineChars="200"/>
        <w:jc w:val="left"/>
        <w:rPr>
          <w:color w:val="auto"/>
          <w:kern w:val="0"/>
          <w:sz w:val="24"/>
          <w:lang w:bidi="ar"/>
        </w:rPr>
      </w:pPr>
      <w:r>
        <w:rPr>
          <w:color w:val="auto"/>
          <w:kern w:val="0"/>
          <w:sz w:val="24"/>
          <w:lang w:bidi="ar"/>
        </w:rPr>
        <w:t>②</w:t>
      </w:r>
      <w:r>
        <w:rPr>
          <w:rFonts w:hint="eastAsia"/>
          <w:color w:val="auto"/>
          <w:kern w:val="0"/>
          <w:sz w:val="24"/>
          <w:lang w:bidi="ar"/>
        </w:rPr>
        <w:t>卸粮废气</w:t>
      </w:r>
    </w:p>
    <w:p w14:paraId="1D4B9CD5">
      <w:pPr>
        <w:pStyle w:val="137"/>
        <w:spacing w:line="360" w:lineRule="auto"/>
        <w:ind w:firstLine="480"/>
        <w:rPr>
          <w:rFonts w:eastAsia="宋体"/>
          <w:color w:val="auto"/>
        </w:rPr>
      </w:pPr>
      <w:r>
        <w:rPr>
          <w:rFonts w:eastAsia="宋体"/>
          <w:color w:val="auto"/>
        </w:rPr>
        <w:t>本项目</w:t>
      </w:r>
      <w:r>
        <w:rPr>
          <w:rFonts w:hint="eastAsia" w:eastAsia="宋体"/>
          <w:color w:val="auto"/>
        </w:rPr>
        <w:t>原粮</w:t>
      </w:r>
      <w:r>
        <w:rPr>
          <w:rFonts w:eastAsia="宋体"/>
          <w:color w:val="auto"/>
        </w:rPr>
        <w:t>外购进场卸料到</w:t>
      </w:r>
      <w:r>
        <w:rPr>
          <w:rFonts w:hint="eastAsia" w:eastAsia="宋体"/>
          <w:color w:val="auto"/>
        </w:rPr>
        <w:t>潮粮仓</w:t>
      </w:r>
      <w:r>
        <w:rPr>
          <w:rFonts w:eastAsia="宋体"/>
          <w:color w:val="auto"/>
        </w:rPr>
        <w:t>、</w:t>
      </w:r>
      <w:r>
        <w:rPr>
          <w:rFonts w:hint="eastAsia" w:eastAsia="宋体"/>
          <w:color w:val="auto"/>
        </w:rPr>
        <w:t>烘干后的干粮</w:t>
      </w:r>
      <w:r>
        <w:rPr>
          <w:rFonts w:eastAsia="宋体"/>
          <w:color w:val="auto"/>
        </w:rPr>
        <w:t>装车运输出厂时会产生无组织粉尘。</w:t>
      </w:r>
      <w:r>
        <w:rPr>
          <w:rStyle w:val="99"/>
          <w:color w:val="auto"/>
        </w:rPr>
        <w:t>根据《污染源源强核算技术指南 准则》（HJ884-2018）中，3.11产污系数法计算本项目</w:t>
      </w:r>
      <w:r>
        <w:rPr>
          <w:rFonts w:eastAsia="宋体"/>
          <w:color w:val="auto"/>
        </w:rPr>
        <w:t>卸料粉尘排放</w:t>
      </w:r>
      <w:r>
        <w:rPr>
          <w:rStyle w:val="99"/>
          <w:color w:val="auto"/>
        </w:rPr>
        <w:t>源强。</w:t>
      </w:r>
      <w:r>
        <w:rPr>
          <w:rFonts w:eastAsia="宋体"/>
          <w:color w:val="auto"/>
        </w:rPr>
        <w:t>根据《扬尘源颗粒物排放清单编制技术指南（试行）》</w:t>
      </w:r>
      <w:r>
        <w:rPr>
          <w:rFonts w:eastAsia="宋体"/>
          <w:color w:val="auto"/>
          <w:szCs w:val="24"/>
        </w:rPr>
        <w:t>堆场的扬尘源排放量是装卸、运输引起的扬尘与堆积存放期间风蚀扬尘的加和，</w:t>
      </w:r>
      <w:r>
        <w:rPr>
          <w:rFonts w:hint="eastAsia" w:eastAsia="宋体"/>
          <w:color w:val="auto"/>
          <w:szCs w:val="24"/>
        </w:rPr>
        <w:t>应堆存至密闭的潮粮库中，故只计算</w:t>
      </w:r>
      <w:r>
        <w:rPr>
          <w:rFonts w:eastAsia="宋体"/>
          <w:color w:val="auto"/>
          <w:szCs w:val="24"/>
        </w:rPr>
        <w:t>装卸、运输引起的扬尘</w:t>
      </w:r>
      <w:r>
        <w:rPr>
          <w:rFonts w:hint="eastAsia" w:eastAsia="宋体"/>
          <w:color w:val="auto"/>
          <w:szCs w:val="24"/>
        </w:rPr>
        <w:t>，</w:t>
      </w:r>
      <w:r>
        <w:rPr>
          <w:rFonts w:eastAsia="宋体"/>
          <w:color w:val="auto"/>
          <w:szCs w:val="24"/>
        </w:rPr>
        <w:t>计算公式如下</w:t>
      </w:r>
      <w:r>
        <w:rPr>
          <w:rFonts w:hint="eastAsia" w:eastAsia="宋体"/>
          <w:color w:val="auto"/>
          <w:szCs w:val="24"/>
        </w:rPr>
        <w:t>：</w:t>
      </w:r>
    </w:p>
    <w:p w14:paraId="5201477B">
      <w:pPr>
        <w:pStyle w:val="137"/>
        <w:spacing w:line="360" w:lineRule="auto"/>
        <w:ind w:firstLine="0" w:firstLineChars="0"/>
        <w:jc w:val="center"/>
        <w:rPr>
          <w:rFonts w:eastAsia="宋体"/>
          <w:color w:val="auto"/>
        </w:rPr>
      </w:pPr>
      <w:r>
        <w:rPr>
          <w:rFonts w:eastAsia="宋体"/>
          <w:color w:val="auto"/>
        </w:rPr>
        <w:drawing>
          <wp:inline distT="0" distB="0" distL="0" distR="0">
            <wp:extent cx="2800350" cy="809625"/>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800350" cy="809625"/>
                    </a:xfrm>
                    <a:prstGeom prst="rect">
                      <a:avLst/>
                    </a:prstGeom>
                    <a:noFill/>
                    <a:ln>
                      <a:noFill/>
                    </a:ln>
                  </pic:spPr>
                </pic:pic>
              </a:graphicData>
            </a:graphic>
          </wp:inline>
        </w:drawing>
      </w:r>
    </w:p>
    <w:p w14:paraId="458B3004">
      <w:pPr>
        <w:pStyle w:val="137"/>
        <w:spacing w:line="360" w:lineRule="auto"/>
        <w:ind w:firstLine="0" w:firstLineChars="0"/>
        <w:rPr>
          <w:rFonts w:eastAsia="宋体"/>
          <w:color w:val="auto"/>
        </w:rPr>
      </w:pPr>
      <w:r>
        <w:rPr>
          <w:rFonts w:eastAsia="宋体"/>
          <w:color w:val="auto"/>
        </w:rPr>
        <w:t>式中：E</w:t>
      </w:r>
      <w:r>
        <w:rPr>
          <w:rFonts w:eastAsia="宋体"/>
          <w:color w:val="auto"/>
          <w:vertAlign w:val="subscript"/>
        </w:rPr>
        <w:t>h</w:t>
      </w:r>
      <w:r>
        <w:rPr>
          <w:rFonts w:eastAsia="宋体"/>
          <w:color w:val="auto"/>
        </w:rPr>
        <w:t>：堆场装卸扬尘的排放系数，kg/t；</w:t>
      </w:r>
    </w:p>
    <w:p w14:paraId="1A78C18D">
      <w:pPr>
        <w:pStyle w:val="137"/>
        <w:spacing w:line="360" w:lineRule="auto"/>
        <w:ind w:firstLine="480"/>
        <w:rPr>
          <w:rFonts w:eastAsia="宋体"/>
          <w:color w:val="auto"/>
        </w:rPr>
      </w:pPr>
      <w:r>
        <w:rPr>
          <w:rFonts w:eastAsia="宋体"/>
          <w:color w:val="auto"/>
        </w:rPr>
        <w:t>k</w:t>
      </w:r>
      <w:r>
        <w:rPr>
          <w:rFonts w:eastAsia="宋体"/>
          <w:color w:val="auto"/>
          <w:vertAlign w:val="subscript"/>
        </w:rPr>
        <w:t>i</w:t>
      </w:r>
      <w:r>
        <w:rPr>
          <w:rFonts w:eastAsia="宋体"/>
          <w:color w:val="auto"/>
        </w:rPr>
        <w:t>：物料的粒度乘数，根据《扬尘源颗粒物排放清单编制技术指南（试行）》中表10，TSP取0.74；</w:t>
      </w:r>
    </w:p>
    <w:p w14:paraId="756E5A45">
      <w:pPr>
        <w:pStyle w:val="137"/>
        <w:spacing w:line="360" w:lineRule="auto"/>
        <w:ind w:firstLine="480"/>
        <w:rPr>
          <w:rFonts w:eastAsia="宋体"/>
          <w:color w:val="auto"/>
        </w:rPr>
      </w:pPr>
      <w:r>
        <w:rPr>
          <w:rFonts w:eastAsia="宋体"/>
          <w:color w:val="auto"/>
        </w:rPr>
        <w:t>u：地面平均风速，m/s，取当地年平均风速</w:t>
      </w:r>
      <w:r>
        <w:rPr>
          <w:rFonts w:hint="eastAsia" w:eastAsia="宋体"/>
          <w:color w:val="auto"/>
        </w:rPr>
        <w:t>3.8</w:t>
      </w:r>
      <w:r>
        <w:rPr>
          <w:rFonts w:eastAsia="宋体"/>
          <w:color w:val="auto"/>
        </w:rPr>
        <w:t>m/s；</w:t>
      </w:r>
    </w:p>
    <w:p w14:paraId="73B5AEB1">
      <w:pPr>
        <w:pStyle w:val="137"/>
        <w:spacing w:line="360" w:lineRule="auto"/>
        <w:ind w:firstLine="480"/>
        <w:rPr>
          <w:rFonts w:eastAsia="宋体"/>
          <w:color w:val="auto"/>
        </w:rPr>
      </w:pPr>
      <w:r>
        <w:rPr>
          <w:rFonts w:eastAsia="宋体"/>
          <w:color w:val="auto"/>
        </w:rPr>
        <w:t>M：物料含水率，%。</w:t>
      </w:r>
      <w:r>
        <w:rPr>
          <w:rFonts w:hint="eastAsia" w:eastAsia="宋体"/>
          <w:color w:val="auto"/>
        </w:rPr>
        <w:t>玉米含水率30%，水稻含水率为18%</w:t>
      </w:r>
      <w:r>
        <w:rPr>
          <w:rFonts w:eastAsia="宋体"/>
          <w:color w:val="auto"/>
        </w:rPr>
        <w:t>；</w:t>
      </w:r>
    </w:p>
    <w:p w14:paraId="3916B72F">
      <w:pPr>
        <w:pStyle w:val="137"/>
        <w:spacing w:line="360" w:lineRule="auto"/>
        <w:ind w:firstLine="480"/>
        <w:rPr>
          <w:rFonts w:eastAsia="宋体"/>
          <w:color w:val="auto"/>
        </w:rPr>
      </w:pPr>
      <w:r>
        <w:rPr>
          <w:rFonts w:eastAsia="宋体"/>
          <w:color w:val="auto"/>
        </w:rPr>
        <w:t>η：污染控制技术对扬尘的去除效率，%。根据《扬尘源颗粒物排放清单编制技术指南（试行）》中表12，项目输送点位连续洒水操作，TSP控制效率为74%。</w:t>
      </w:r>
    </w:p>
    <w:p w14:paraId="70A76A1B">
      <w:pPr>
        <w:pStyle w:val="137"/>
        <w:spacing w:line="360" w:lineRule="auto"/>
        <w:ind w:firstLine="480"/>
        <w:rPr>
          <w:rFonts w:eastAsia="宋体"/>
          <w:bCs/>
          <w:color w:val="auto"/>
          <w:highlight w:val="none"/>
        </w:rPr>
      </w:pPr>
      <w:r>
        <w:rPr>
          <w:rFonts w:eastAsia="宋体"/>
          <w:bCs/>
          <w:color w:val="auto"/>
          <w:highlight w:val="none"/>
        </w:rPr>
        <w:t>经计算可知，Eh</w:t>
      </w:r>
      <w:r>
        <w:rPr>
          <w:rFonts w:hint="eastAsia" w:eastAsia="宋体"/>
          <w:bCs/>
          <w:color w:val="auto"/>
          <w:highlight w:val="none"/>
        </w:rPr>
        <w:t>玉米</w:t>
      </w:r>
      <w:r>
        <w:rPr>
          <w:rFonts w:eastAsia="宋体"/>
          <w:bCs/>
          <w:color w:val="auto"/>
          <w:highlight w:val="none"/>
        </w:rPr>
        <w:t>为0.00</w:t>
      </w:r>
      <w:r>
        <w:rPr>
          <w:rFonts w:hint="eastAsia" w:eastAsia="宋体"/>
          <w:bCs/>
          <w:color w:val="auto"/>
          <w:highlight w:val="none"/>
          <w:lang w:val="en-US" w:eastAsia="zh-CN"/>
        </w:rPr>
        <w:t>9</w:t>
      </w:r>
      <w:r>
        <w:rPr>
          <w:rFonts w:eastAsia="宋体"/>
          <w:bCs/>
          <w:color w:val="auto"/>
          <w:highlight w:val="none"/>
        </w:rPr>
        <w:t>kg/t，Eh</w:t>
      </w:r>
      <w:r>
        <w:rPr>
          <w:rFonts w:hint="eastAsia" w:eastAsia="宋体"/>
          <w:bCs/>
          <w:color w:val="auto"/>
          <w:highlight w:val="none"/>
        </w:rPr>
        <w:t>水稻</w:t>
      </w:r>
      <w:r>
        <w:rPr>
          <w:rFonts w:eastAsia="宋体"/>
          <w:bCs/>
          <w:color w:val="auto"/>
          <w:highlight w:val="none"/>
        </w:rPr>
        <w:t>为0.0</w:t>
      </w:r>
      <w:r>
        <w:rPr>
          <w:rFonts w:hint="eastAsia" w:eastAsia="宋体"/>
          <w:bCs/>
          <w:color w:val="auto"/>
          <w:highlight w:val="none"/>
          <w:lang w:val="en-US" w:eastAsia="zh-CN"/>
        </w:rPr>
        <w:t>18</w:t>
      </w:r>
      <w:r>
        <w:rPr>
          <w:rFonts w:eastAsia="宋体"/>
          <w:bCs/>
          <w:color w:val="auto"/>
          <w:highlight w:val="none"/>
        </w:rPr>
        <w:t>kg/t</w:t>
      </w:r>
      <w:r>
        <w:rPr>
          <w:rFonts w:hint="eastAsia" w:eastAsia="宋体"/>
          <w:bCs/>
          <w:color w:val="auto"/>
          <w:highlight w:val="none"/>
        </w:rPr>
        <w:t>；</w:t>
      </w:r>
    </w:p>
    <w:p w14:paraId="16D3F61F">
      <w:pPr>
        <w:pStyle w:val="68"/>
        <w:spacing w:beforeLines="0" w:afterLines="0" w:line="360" w:lineRule="auto"/>
        <w:ind w:firstLine="480"/>
        <w:jc w:val="center"/>
        <w:rPr>
          <w:color w:val="auto"/>
        </w:rPr>
      </w:pPr>
      <w:r>
        <w:rPr>
          <w:rFonts w:hint="eastAsia"/>
          <w:color w:val="auto"/>
          <w:position w:val="-28"/>
        </w:rPr>
        <w:object>
          <v:shape id="_x0000_i1047" o:spt="75" type="#_x0000_t75" style="height:34pt;width:186.95pt;" o:ole="t" filled="f" o:preferrelative="t" stroked="f" coordsize="21600,21600">
            <v:path/>
            <v:fill on="f" focussize="0,0"/>
            <v:stroke on="f" joinstyle="miter"/>
            <v:imagedata r:id="rId43" o:title=""/>
            <o:lock v:ext="edit" aspectratio="t"/>
            <w10:wrap type="none"/>
            <w10:anchorlock/>
          </v:shape>
          <o:OLEObject Type="Embed" ProgID="Equation.3" ShapeID="_x0000_i1047" DrawAspect="Content" ObjectID="_1468075747" r:id="rId74">
            <o:LockedField>false</o:LockedField>
          </o:OLEObject>
        </w:object>
      </w:r>
    </w:p>
    <w:p w14:paraId="0EA45586">
      <w:pPr>
        <w:pStyle w:val="68"/>
        <w:spacing w:beforeLines="0" w:afterLines="0" w:line="360" w:lineRule="auto"/>
        <w:ind w:firstLine="480"/>
        <w:rPr>
          <w:color w:val="auto"/>
        </w:rPr>
      </w:pPr>
      <w:r>
        <w:rPr>
          <w:color w:val="auto"/>
        </w:rPr>
        <w:t>1)Wy为堆场扬尘源中颗粒物总排放量。</w:t>
      </w:r>
    </w:p>
    <w:p w14:paraId="1CFAE584">
      <w:pPr>
        <w:pStyle w:val="68"/>
        <w:spacing w:beforeLines="0" w:afterLines="0" w:line="360" w:lineRule="auto"/>
        <w:ind w:firstLine="480"/>
        <w:rPr>
          <w:color w:val="auto"/>
        </w:rPr>
      </w:pPr>
      <w:r>
        <w:rPr>
          <w:color w:val="auto"/>
        </w:rPr>
        <w:t>2)</w:t>
      </w:r>
      <w:r>
        <w:rPr>
          <w:rFonts w:hint="eastAsia"/>
          <w:color w:val="auto"/>
        </w:rPr>
        <w:t>Eh</w:t>
      </w:r>
      <w:r>
        <w:rPr>
          <w:color w:val="auto"/>
        </w:rPr>
        <w:t>为堆场装卸运输过程的扬尘颗粒物排放系数，</w:t>
      </w:r>
      <w:r>
        <w:rPr>
          <w:bCs/>
          <w:color w:val="auto"/>
        </w:rPr>
        <w:t>Eh</w:t>
      </w:r>
      <w:r>
        <w:rPr>
          <w:rFonts w:hint="eastAsia"/>
          <w:bCs/>
          <w:color w:val="auto"/>
        </w:rPr>
        <w:t>玉米</w:t>
      </w:r>
      <w:r>
        <w:rPr>
          <w:bCs/>
          <w:color w:val="auto"/>
        </w:rPr>
        <w:t>为</w:t>
      </w:r>
      <w:r>
        <w:rPr>
          <w:rFonts w:hint="eastAsia"/>
          <w:bCs/>
          <w:color w:val="auto"/>
          <w:lang w:eastAsia="zh-CN"/>
        </w:rPr>
        <w:t>0.009</w:t>
      </w:r>
      <w:r>
        <w:rPr>
          <w:bCs/>
          <w:color w:val="auto"/>
        </w:rPr>
        <w:t>kg/t，Eh</w:t>
      </w:r>
      <w:r>
        <w:rPr>
          <w:rFonts w:hint="eastAsia"/>
          <w:bCs/>
          <w:color w:val="auto"/>
        </w:rPr>
        <w:t>水稻</w:t>
      </w:r>
      <w:r>
        <w:rPr>
          <w:bCs/>
          <w:color w:val="auto"/>
        </w:rPr>
        <w:t>为</w:t>
      </w:r>
      <w:r>
        <w:rPr>
          <w:rFonts w:hint="eastAsia"/>
          <w:bCs/>
          <w:color w:val="auto"/>
          <w:lang w:eastAsia="zh-CN"/>
        </w:rPr>
        <w:t>0.018</w:t>
      </w:r>
      <w:r>
        <w:rPr>
          <w:bCs/>
          <w:color w:val="auto"/>
        </w:rPr>
        <w:t>kg/t</w:t>
      </w:r>
      <w:r>
        <w:rPr>
          <w:rFonts w:hint="eastAsia"/>
          <w:bCs/>
          <w:color w:val="auto"/>
        </w:rPr>
        <w:t>；</w:t>
      </w:r>
    </w:p>
    <w:p w14:paraId="003DFE40">
      <w:pPr>
        <w:pStyle w:val="68"/>
        <w:spacing w:beforeLines="0" w:afterLines="0" w:line="360" w:lineRule="auto"/>
        <w:ind w:firstLine="480"/>
        <w:rPr>
          <w:color w:val="auto"/>
        </w:rPr>
      </w:pPr>
      <w:r>
        <w:rPr>
          <w:color w:val="auto"/>
        </w:rPr>
        <w:t>3)m为每年料堆物料装卸总次数。</w:t>
      </w:r>
      <w:r>
        <w:rPr>
          <w:rFonts w:hint="eastAsia"/>
          <w:color w:val="auto"/>
        </w:rPr>
        <w:t>取250次</w:t>
      </w:r>
    </w:p>
    <w:p w14:paraId="71C5221B">
      <w:pPr>
        <w:pStyle w:val="68"/>
        <w:spacing w:beforeLines="0" w:afterLines="0" w:line="360" w:lineRule="auto"/>
        <w:ind w:firstLine="480"/>
        <w:rPr>
          <w:color w:val="auto"/>
        </w:rPr>
      </w:pPr>
      <w:r>
        <w:rPr>
          <w:color w:val="auto"/>
        </w:rPr>
        <w:t>4)Gy为第i次装卸过程的物料装卸量，t。</w:t>
      </w:r>
      <w:r>
        <w:rPr>
          <w:rFonts w:hint="eastAsia"/>
          <w:color w:val="auto"/>
        </w:rPr>
        <w:t>取40</w:t>
      </w:r>
    </w:p>
    <w:p w14:paraId="11CE59DB">
      <w:pPr>
        <w:pStyle w:val="68"/>
        <w:spacing w:beforeLines="0" w:afterLines="0" w:line="360" w:lineRule="auto"/>
        <w:ind w:firstLine="480"/>
        <w:rPr>
          <w:color w:val="auto"/>
        </w:rPr>
      </w:pPr>
      <w:r>
        <w:rPr>
          <w:color w:val="auto"/>
        </w:rPr>
        <w:t>5)E</w:t>
      </w:r>
      <w:r>
        <w:rPr>
          <w:rFonts w:hint="eastAsia"/>
          <w:color w:val="auto"/>
        </w:rPr>
        <w:t>w</w:t>
      </w:r>
      <w:r>
        <w:rPr>
          <w:color w:val="auto"/>
        </w:rPr>
        <w:t>为料堆受到风蚀作用的颗粒物排放系数，kg/m</w:t>
      </w:r>
      <w:r>
        <w:rPr>
          <w:color w:val="auto"/>
          <w:vertAlign w:val="superscript"/>
        </w:rPr>
        <w:t>2</w:t>
      </w:r>
      <w:r>
        <w:rPr>
          <w:color w:val="auto"/>
        </w:rPr>
        <w:t>，</w:t>
      </w:r>
      <w:r>
        <w:rPr>
          <w:rFonts w:hint="eastAsia"/>
          <w:color w:val="auto"/>
        </w:rPr>
        <w:t>本项目料堆为密闭式储存故无需计算堆积存放期间风蚀扬尘</w:t>
      </w:r>
      <w:r>
        <w:rPr>
          <w:color w:val="auto"/>
        </w:rPr>
        <w:t>。</w:t>
      </w:r>
    </w:p>
    <w:p w14:paraId="030D24BA">
      <w:pPr>
        <w:pStyle w:val="68"/>
        <w:spacing w:beforeLines="0" w:afterLines="0" w:line="360" w:lineRule="auto"/>
        <w:ind w:firstLine="480"/>
        <w:rPr>
          <w:color w:val="auto"/>
        </w:rPr>
      </w:pPr>
      <w:r>
        <w:rPr>
          <w:color w:val="auto"/>
        </w:rPr>
        <w:t>6)Ay为料堆表面积，m</w:t>
      </w:r>
      <w:r>
        <w:rPr>
          <w:color w:val="auto"/>
          <w:vertAlign w:val="superscript"/>
        </w:rPr>
        <w:t>2</w:t>
      </w:r>
      <w:r>
        <w:rPr>
          <w:color w:val="auto"/>
        </w:rPr>
        <w:t>。</w:t>
      </w:r>
      <w:r>
        <w:rPr>
          <w:rFonts w:hint="eastAsia"/>
          <w:color w:val="auto"/>
        </w:rPr>
        <w:t>取0</w:t>
      </w:r>
    </w:p>
    <w:p w14:paraId="47B4E7BE">
      <w:pPr>
        <w:pStyle w:val="68"/>
        <w:spacing w:beforeLines="0" w:afterLines="0" w:line="360" w:lineRule="auto"/>
        <w:ind w:firstLine="480"/>
        <w:rPr>
          <w:color w:val="auto"/>
        </w:rPr>
      </w:pPr>
      <w:r>
        <w:rPr>
          <w:rFonts w:hint="eastAsia"/>
          <w:color w:val="auto"/>
        </w:rPr>
        <w:t>经计算，装卸玉米</w:t>
      </w:r>
      <w:r>
        <w:rPr>
          <w:color w:val="auto"/>
        </w:rPr>
        <w:t>粉尘</w:t>
      </w:r>
      <w:r>
        <w:rPr>
          <w:rFonts w:hint="eastAsia"/>
          <w:color w:val="auto"/>
          <w:lang w:val="en-US" w:eastAsia="zh-CN"/>
        </w:rPr>
        <w:t>排放</w:t>
      </w:r>
      <w:r>
        <w:rPr>
          <w:rFonts w:hint="eastAsia"/>
          <w:color w:val="auto"/>
        </w:rPr>
        <w:t>量为</w:t>
      </w:r>
      <w:r>
        <w:rPr>
          <w:rFonts w:hint="eastAsia"/>
          <w:color w:val="auto"/>
          <w:lang w:eastAsia="zh-CN"/>
        </w:rPr>
        <w:t>0.089</w:t>
      </w:r>
      <w:r>
        <w:rPr>
          <w:rFonts w:hint="eastAsia"/>
          <w:color w:val="auto"/>
        </w:rPr>
        <w:t>t/a，水稻</w:t>
      </w:r>
      <w:r>
        <w:rPr>
          <w:color w:val="auto"/>
        </w:rPr>
        <w:t>排放量为</w:t>
      </w:r>
      <w:r>
        <w:rPr>
          <w:rFonts w:hint="eastAsia"/>
          <w:color w:val="auto"/>
          <w:lang w:eastAsia="zh-CN"/>
        </w:rPr>
        <w:t>0.18</w:t>
      </w:r>
      <w:r>
        <w:rPr>
          <w:rFonts w:hint="eastAsia"/>
          <w:color w:val="auto"/>
        </w:rPr>
        <w:t>‬</w:t>
      </w:r>
      <w:r>
        <w:rPr>
          <w:color w:val="auto"/>
        </w:rPr>
        <w:t>t/a</w:t>
      </w:r>
      <w:r>
        <w:rPr>
          <w:rFonts w:hint="eastAsia"/>
          <w:color w:val="auto"/>
          <w:lang w:eastAsia="zh-CN"/>
        </w:rPr>
        <w:t>；</w:t>
      </w:r>
      <w:r>
        <w:rPr>
          <w:rFonts w:hint="eastAsia"/>
          <w:color w:val="auto"/>
        </w:rPr>
        <w:t>装卸粉尘</w:t>
      </w:r>
      <w:r>
        <w:rPr>
          <w:rFonts w:hint="eastAsia"/>
          <w:color w:val="auto"/>
          <w:lang w:val="en-US" w:eastAsia="zh-CN"/>
        </w:rPr>
        <w:t>玉米</w:t>
      </w:r>
      <w:r>
        <w:rPr>
          <w:rFonts w:hint="eastAsia"/>
          <w:color w:val="auto"/>
        </w:rPr>
        <w:t>产生量为</w:t>
      </w:r>
      <w:r>
        <w:rPr>
          <w:rFonts w:hint="eastAsia"/>
          <w:color w:val="auto"/>
          <w:lang w:val="en-US" w:eastAsia="zh-CN"/>
        </w:rPr>
        <w:t>0.70t/a，0.86kg/h；水稻产生量为0.34</w:t>
      </w:r>
      <w:r>
        <w:rPr>
          <w:rFonts w:hint="eastAsia"/>
          <w:color w:val="auto"/>
        </w:rPr>
        <w:t>t/a，</w:t>
      </w:r>
      <w:r>
        <w:rPr>
          <w:rFonts w:hint="eastAsia"/>
          <w:color w:val="auto"/>
          <w:lang w:val="en-US" w:eastAsia="zh-CN"/>
        </w:rPr>
        <w:t>0.42kg/h；则</w:t>
      </w:r>
      <w:r>
        <w:rPr>
          <w:rFonts w:hint="eastAsia"/>
          <w:color w:val="auto"/>
        </w:rPr>
        <w:t>装卸粉尘排放量为</w:t>
      </w:r>
      <w:r>
        <w:rPr>
          <w:rFonts w:hint="eastAsia"/>
          <w:color w:val="auto"/>
          <w:lang w:eastAsia="zh-CN"/>
        </w:rPr>
        <w:t>0.27</w:t>
      </w:r>
      <w:r>
        <w:rPr>
          <w:rFonts w:hint="eastAsia"/>
          <w:color w:val="auto"/>
        </w:rPr>
        <w:t>t/a，排放速率为</w:t>
      </w:r>
      <w:r>
        <w:rPr>
          <w:rFonts w:hint="eastAsia"/>
          <w:color w:val="auto"/>
          <w:lang w:eastAsia="zh-CN"/>
        </w:rPr>
        <w:t>0.33</w:t>
      </w:r>
      <w:r>
        <w:rPr>
          <w:rFonts w:hint="eastAsia"/>
          <w:color w:val="auto"/>
        </w:rPr>
        <w:t>kg/h</w:t>
      </w:r>
      <w:r>
        <w:rPr>
          <w:color w:val="auto"/>
        </w:rPr>
        <w:t>。</w:t>
      </w:r>
    </w:p>
    <w:p w14:paraId="5B47564E">
      <w:pPr>
        <w:widowControl/>
        <w:spacing w:line="360" w:lineRule="auto"/>
        <w:ind w:firstLine="480" w:firstLineChars="200"/>
        <w:jc w:val="both"/>
        <w:rPr>
          <w:color w:val="auto"/>
          <w:kern w:val="0"/>
          <w:sz w:val="24"/>
          <w:lang w:bidi="ar"/>
        </w:rPr>
      </w:pPr>
      <w:r>
        <w:rPr>
          <w:color w:val="auto"/>
          <w:kern w:val="0"/>
          <w:sz w:val="24"/>
          <w:lang w:bidi="ar"/>
        </w:rPr>
        <w:t>③筛分粉尘</w:t>
      </w:r>
    </w:p>
    <w:p w14:paraId="479A2A67">
      <w:pPr>
        <w:widowControl/>
        <w:spacing w:line="360" w:lineRule="auto"/>
        <w:ind w:firstLine="480" w:firstLineChars="200"/>
        <w:jc w:val="both"/>
        <w:rPr>
          <w:rFonts w:hint="eastAsia"/>
          <w:color w:val="auto"/>
          <w:kern w:val="0"/>
          <w:sz w:val="24"/>
          <w:lang w:val="en-US" w:eastAsia="zh-CN" w:bidi="ar"/>
        </w:rPr>
      </w:pPr>
      <w:r>
        <w:rPr>
          <w:rFonts w:hint="eastAsia"/>
          <w:color w:val="auto"/>
          <w:kern w:val="0"/>
          <w:sz w:val="24"/>
          <w:lang w:val="en-US" w:eastAsia="zh-CN" w:bidi="ar"/>
        </w:rPr>
        <w:t>玉米</w:t>
      </w:r>
    </w:p>
    <w:p w14:paraId="160B6619">
      <w:pPr>
        <w:widowControl/>
        <w:spacing w:line="360" w:lineRule="auto"/>
        <w:ind w:firstLine="480" w:firstLineChars="200"/>
        <w:jc w:val="both"/>
        <w:rPr>
          <w:color w:val="auto"/>
          <w:kern w:val="0"/>
          <w:sz w:val="24"/>
          <w:lang w:bidi="ar"/>
        </w:rPr>
      </w:pPr>
      <w:r>
        <w:rPr>
          <w:color w:val="auto"/>
          <w:kern w:val="0"/>
          <w:sz w:val="24"/>
          <w:lang w:bidi="ar"/>
        </w:rPr>
        <w:t>本项目烘干玉米需要进行初清，根据《逸散性工业粉尘控制技术》第五章谷物仓储中的颗粒特性，过筛工序逸散</w:t>
      </w:r>
      <w:r>
        <w:rPr>
          <w:rFonts w:hint="eastAsia"/>
          <w:color w:val="auto"/>
          <w:kern w:val="0"/>
          <w:sz w:val="24"/>
          <w:lang w:bidi="ar"/>
        </w:rPr>
        <w:t>粉</w:t>
      </w:r>
      <w:r>
        <w:rPr>
          <w:color w:val="auto"/>
          <w:kern w:val="0"/>
          <w:sz w:val="24"/>
          <w:lang w:bidi="ar"/>
        </w:rPr>
        <w:t>尘排放因子取</w:t>
      </w:r>
      <w:r>
        <w:rPr>
          <w:rFonts w:hint="eastAsia"/>
          <w:color w:val="auto"/>
          <w:kern w:val="0"/>
          <w:sz w:val="24"/>
          <w:lang w:val="en-US" w:eastAsia="zh-CN" w:bidi="ar"/>
        </w:rPr>
        <w:t>0.1</w:t>
      </w:r>
      <w:r>
        <w:rPr>
          <w:color w:val="auto"/>
          <w:kern w:val="0"/>
          <w:sz w:val="24"/>
          <w:lang w:bidi="ar"/>
        </w:rPr>
        <w:t>kg/t，筛分玉米量为</w:t>
      </w:r>
      <w:r>
        <w:rPr>
          <w:rFonts w:hint="eastAsia"/>
          <w:color w:val="auto"/>
          <w:kern w:val="0"/>
          <w:sz w:val="24"/>
          <w:lang w:bidi="ar"/>
        </w:rPr>
        <w:t>15</w:t>
      </w:r>
      <w:r>
        <w:rPr>
          <w:color w:val="auto"/>
          <w:kern w:val="0"/>
          <w:sz w:val="24"/>
          <w:lang w:bidi="ar"/>
        </w:rPr>
        <w:t>000t/a，</w:t>
      </w:r>
      <w:r>
        <w:rPr>
          <w:rFonts w:hint="eastAsia"/>
          <w:color w:val="auto"/>
          <w:kern w:val="0"/>
          <w:sz w:val="24"/>
          <w:lang w:val="en-US" w:eastAsia="zh-CN" w:bidi="ar"/>
        </w:rPr>
        <w:t>装卸过程产生的玉米粉尘量为0.70t/a，则玉米筛分总量为14999.3</w:t>
      </w:r>
      <w:r>
        <w:rPr>
          <w:rFonts w:hint="eastAsia"/>
          <w:color w:val="auto"/>
          <w:kern w:val="0"/>
          <w:sz w:val="24"/>
          <w:lang w:bidi="ar"/>
        </w:rPr>
        <w:t>‬t；</w:t>
      </w:r>
      <w:r>
        <w:rPr>
          <w:color w:val="auto"/>
          <w:kern w:val="0"/>
          <w:sz w:val="24"/>
          <w:lang w:bidi="ar"/>
        </w:rPr>
        <w:t>筛分粉尘产生量</w:t>
      </w:r>
      <w:r>
        <w:rPr>
          <w:rFonts w:hint="eastAsia"/>
          <w:color w:val="auto"/>
          <w:kern w:val="0"/>
          <w:sz w:val="24"/>
          <w:lang w:val="en-US" w:eastAsia="zh-CN" w:bidi="ar"/>
        </w:rPr>
        <w:t>约</w:t>
      </w:r>
      <w:r>
        <w:rPr>
          <w:color w:val="auto"/>
          <w:kern w:val="0"/>
          <w:sz w:val="24"/>
          <w:lang w:bidi="ar"/>
        </w:rPr>
        <w:t>为</w:t>
      </w:r>
      <w:r>
        <w:rPr>
          <w:rFonts w:hint="eastAsia"/>
          <w:color w:val="auto"/>
          <w:kern w:val="0"/>
          <w:sz w:val="24"/>
          <w:lang w:val="en-US" w:eastAsia="zh-CN" w:bidi="ar"/>
        </w:rPr>
        <w:t>1.50</w:t>
      </w:r>
      <w:r>
        <w:rPr>
          <w:color w:val="auto"/>
          <w:kern w:val="0"/>
          <w:sz w:val="24"/>
          <w:lang w:bidi="ar"/>
        </w:rPr>
        <w:t>t/a，年工作</w:t>
      </w:r>
      <w:r>
        <w:rPr>
          <w:rFonts w:hint="eastAsia"/>
          <w:color w:val="auto"/>
          <w:kern w:val="0"/>
          <w:sz w:val="24"/>
          <w:lang w:eastAsia="zh-CN" w:bidi="ar"/>
        </w:rPr>
        <w:t>204</w:t>
      </w:r>
      <w:r>
        <w:rPr>
          <w:rFonts w:hint="eastAsia"/>
          <w:color w:val="auto"/>
          <w:kern w:val="0"/>
          <w:sz w:val="24"/>
          <w:lang w:bidi="ar"/>
        </w:rPr>
        <w:t>h</w:t>
      </w:r>
      <w:r>
        <w:rPr>
          <w:color w:val="auto"/>
          <w:kern w:val="0"/>
          <w:sz w:val="24"/>
          <w:lang w:bidi="ar"/>
        </w:rPr>
        <w:t>，产生速率为</w:t>
      </w:r>
      <w:r>
        <w:rPr>
          <w:rFonts w:hint="eastAsia"/>
          <w:color w:val="auto"/>
          <w:kern w:val="0"/>
          <w:sz w:val="24"/>
          <w:lang w:eastAsia="zh-CN" w:bidi="ar"/>
        </w:rPr>
        <w:t>7.35</w:t>
      </w:r>
      <w:r>
        <w:rPr>
          <w:color w:val="auto"/>
          <w:kern w:val="0"/>
          <w:sz w:val="24"/>
          <w:lang w:bidi="ar"/>
        </w:rPr>
        <w:t>kg/h。项目清粮采用</w:t>
      </w:r>
      <w:r>
        <w:rPr>
          <w:rFonts w:hint="eastAsia"/>
          <w:color w:val="auto"/>
          <w:kern w:val="0"/>
          <w:sz w:val="24"/>
          <w:lang w:bidi="ar"/>
        </w:rPr>
        <w:t>密闭式滚筒筛</w:t>
      </w:r>
      <w:r>
        <w:rPr>
          <w:color w:val="auto"/>
          <w:kern w:val="0"/>
          <w:sz w:val="24"/>
          <w:lang w:bidi="ar"/>
        </w:rPr>
        <w:t>，</w:t>
      </w:r>
      <w:r>
        <w:rPr>
          <w:rFonts w:hint="eastAsia"/>
          <w:color w:val="auto"/>
          <w:kern w:val="0"/>
          <w:sz w:val="24"/>
          <w:lang w:bidi="ar"/>
        </w:rPr>
        <w:t>圆筒初清筛底部排风口被布袋所密封，收集除尘灰，</w:t>
      </w:r>
      <w:r>
        <w:rPr>
          <w:color w:val="auto"/>
          <w:kern w:val="0"/>
          <w:sz w:val="24"/>
          <w:lang w:bidi="ar"/>
        </w:rPr>
        <w:t>粉尘去除效率可达到99%以上，最终筛分工序</w:t>
      </w:r>
      <w:r>
        <w:rPr>
          <w:rFonts w:hint="eastAsia"/>
          <w:color w:val="auto"/>
          <w:kern w:val="0"/>
          <w:sz w:val="24"/>
          <w:lang w:val="en-US" w:eastAsia="zh-CN" w:bidi="ar"/>
        </w:rPr>
        <w:t>玉米</w:t>
      </w:r>
      <w:r>
        <w:rPr>
          <w:color w:val="auto"/>
          <w:kern w:val="0"/>
          <w:sz w:val="24"/>
          <w:lang w:bidi="ar"/>
        </w:rPr>
        <w:t>无组织粉尘排放量为</w:t>
      </w:r>
      <w:r>
        <w:rPr>
          <w:rFonts w:hint="eastAsia"/>
          <w:color w:val="auto"/>
          <w:kern w:val="0"/>
          <w:sz w:val="24"/>
          <w:lang w:val="en-US" w:eastAsia="zh-CN" w:bidi="ar"/>
        </w:rPr>
        <w:t>0.015</w:t>
      </w:r>
      <w:r>
        <w:rPr>
          <w:color w:val="auto"/>
          <w:kern w:val="0"/>
          <w:sz w:val="24"/>
          <w:lang w:bidi="ar"/>
        </w:rPr>
        <w:t>t/a，排放速率</w:t>
      </w:r>
      <w:r>
        <w:rPr>
          <w:rFonts w:hint="eastAsia"/>
          <w:color w:val="auto"/>
          <w:kern w:val="0"/>
          <w:sz w:val="24"/>
          <w:lang w:val="en-US" w:eastAsia="zh-CN" w:bidi="ar"/>
        </w:rPr>
        <w:t>约为0.07</w:t>
      </w:r>
      <w:r>
        <w:rPr>
          <w:color w:val="auto"/>
          <w:kern w:val="0"/>
          <w:sz w:val="24"/>
          <w:lang w:bidi="ar"/>
        </w:rPr>
        <w:t>kg/h。</w:t>
      </w:r>
    </w:p>
    <w:p w14:paraId="700D9E05">
      <w:pPr>
        <w:widowControl/>
        <w:spacing w:line="360" w:lineRule="auto"/>
        <w:ind w:firstLine="480" w:firstLineChars="200"/>
        <w:jc w:val="both"/>
        <w:rPr>
          <w:rFonts w:hint="eastAsia"/>
          <w:color w:val="auto"/>
          <w:kern w:val="0"/>
          <w:sz w:val="24"/>
          <w:lang w:val="en-US" w:eastAsia="zh-CN" w:bidi="ar"/>
        </w:rPr>
      </w:pPr>
      <w:r>
        <w:rPr>
          <w:rFonts w:hint="eastAsia"/>
          <w:color w:val="auto"/>
          <w:kern w:val="0"/>
          <w:sz w:val="24"/>
          <w:lang w:val="en-US" w:eastAsia="zh-CN" w:bidi="ar"/>
        </w:rPr>
        <w:t>水稻</w:t>
      </w:r>
    </w:p>
    <w:p w14:paraId="12371C3C">
      <w:pPr>
        <w:widowControl/>
        <w:spacing w:line="360" w:lineRule="auto"/>
        <w:ind w:firstLine="480" w:firstLineChars="200"/>
        <w:jc w:val="both"/>
        <w:rPr>
          <w:color w:val="auto"/>
          <w:kern w:val="0"/>
          <w:sz w:val="24"/>
          <w:lang w:bidi="ar"/>
        </w:rPr>
      </w:pPr>
      <w:r>
        <w:rPr>
          <w:color w:val="auto"/>
          <w:kern w:val="0"/>
          <w:sz w:val="24"/>
          <w:lang w:bidi="ar"/>
        </w:rPr>
        <w:t>本项目烘干</w:t>
      </w:r>
      <w:r>
        <w:rPr>
          <w:rFonts w:hint="eastAsia"/>
          <w:color w:val="auto"/>
          <w:kern w:val="0"/>
          <w:sz w:val="24"/>
          <w:lang w:val="en-US" w:eastAsia="zh-CN" w:bidi="ar"/>
        </w:rPr>
        <w:t>水稻</w:t>
      </w:r>
      <w:r>
        <w:rPr>
          <w:color w:val="auto"/>
          <w:kern w:val="0"/>
          <w:sz w:val="24"/>
          <w:lang w:bidi="ar"/>
        </w:rPr>
        <w:t>需要进行初清，根据《逸散性工业粉尘控制技术》第五章谷物仓储中的颗粒特性，过筛工序逸散</w:t>
      </w:r>
      <w:r>
        <w:rPr>
          <w:rFonts w:hint="eastAsia"/>
          <w:color w:val="auto"/>
          <w:kern w:val="0"/>
          <w:sz w:val="24"/>
          <w:lang w:bidi="ar"/>
        </w:rPr>
        <w:t>粉</w:t>
      </w:r>
      <w:r>
        <w:rPr>
          <w:color w:val="auto"/>
          <w:kern w:val="0"/>
          <w:sz w:val="24"/>
          <w:lang w:bidi="ar"/>
        </w:rPr>
        <w:t>尘排放因子取</w:t>
      </w:r>
      <w:r>
        <w:rPr>
          <w:rFonts w:hint="eastAsia"/>
          <w:color w:val="auto"/>
          <w:kern w:val="0"/>
          <w:sz w:val="24"/>
          <w:lang w:val="en-US" w:eastAsia="zh-CN" w:bidi="ar"/>
        </w:rPr>
        <w:t>0.25</w:t>
      </w:r>
      <w:r>
        <w:rPr>
          <w:color w:val="auto"/>
          <w:kern w:val="0"/>
          <w:sz w:val="24"/>
          <w:lang w:bidi="ar"/>
        </w:rPr>
        <w:t>kg/t，筛分</w:t>
      </w:r>
      <w:r>
        <w:rPr>
          <w:rFonts w:hint="eastAsia"/>
          <w:color w:val="auto"/>
          <w:kern w:val="0"/>
          <w:sz w:val="24"/>
          <w:lang w:val="en-US" w:eastAsia="zh-CN" w:bidi="ar"/>
        </w:rPr>
        <w:t>水稻</w:t>
      </w:r>
      <w:r>
        <w:rPr>
          <w:color w:val="auto"/>
          <w:kern w:val="0"/>
          <w:sz w:val="24"/>
          <w:lang w:bidi="ar"/>
        </w:rPr>
        <w:t>量为</w:t>
      </w:r>
      <w:r>
        <w:rPr>
          <w:rFonts w:hint="eastAsia"/>
          <w:color w:val="auto"/>
          <w:kern w:val="0"/>
          <w:sz w:val="24"/>
          <w:lang w:bidi="ar"/>
        </w:rPr>
        <w:t>5</w:t>
      </w:r>
      <w:r>
        <w:rPr>
          <w:color w:val="auto"/>
          <w:kern w:val="0"/>
          <w:sz w:val="24"/>
          <w:lang w:bidi="ar"/>
        </w:rPr>
        <w:t>000t/a，</w:t>
      </w:r>
      <w:r>
        <w:rPr>
          <w:rFonts w:hint="eastAsia"/>
          <w:color w:val="auto"/>
          <w:kern w:val="0"/>
          <w:sz w:val="24"/>
          <w:lang w:val="en-US" w:eastAsia="zh-CN" w:bidi="ar"/>
        </w:rPr>
        <w:t>装卸过程产生的水稻粉尘量为0.34t/a，则水稻筛分总量为4999.66</w:t>
      </w:r>
      <w:r>
        <w:rPr>
          <w:rFonts w:hint="eastAsia"/>
          <w:color w:val="auto"/>
          <w:kern w:val="0"/>
          <w:sz w:val="24"/>
          <w:lang w:bidi="ar"/>
        </w:rPr>
        <w:t>‬t；</w:t>
      </w:r>
      <w:r>
        <w:rPr>
          <w:color w:val="auto"/>
          <w:kern w:val="0"/>
          <w:sz w:val="24"/>
          <w:lang w:bidi="ar"/>
        </w:rPr>
        <w:t>筛分粉尘产生量</w:t>
      </w:r>
      <w:r>
        <w:rPr>
          <w:rFonts w:hint="eastAsia"/>
          <w:color w:val="auto"/>
          <w:kern w:val="0"/>
          <w:sz w:val="24"/>
          <w:lang w:val="en-US" w:eastAsia="zh-CN" w:bidi="ar"/>
        </w:rPr>
        <w:t>约</w:t>
      </w:r>
      <w:r>
        <w:rPr>
          <w:color w:val="auto"/>
          <w:kern w:val="0"/>
          <w:sz w:val="24"/>
          <w:lang w:bidi="ar"/>
        </w:rPr>
        <w:t>为</w:t>
      </w:r>
      <w:r>
        <w:rPr>
          <w:rFonts w:hint="eastAsia"/>
          <w:color w:val="auto"/>
          <w:kern w:val="0"/>
          <w:sz w:val="24"/>
          <w:lang w:val="en-US" w:eastAsia="zh-CN" w:bidi="ar"/>
        </w:rPr>
        <w:t>1.25</w:t>
      </w:r>
      <w:r>
        <w:rPr>
          <w:color w:val="auto"/>
          <w:kern w:val="0"/>
          <w:sz w:val="24"/>
          <w:lang w:bidi="ar"/>
        </w:rPr>
        <w:t>t/a，年工作</w:t>
      </w:r>
      <w:r>
        <w:rPr>
          <w:rFonts w:hint="eastAsia"/>
          <w:color w:val="auto"/>
          <w:kern w:val="0"/>
          <w:sz w:val="24"/>
          <w:lang w:eastAsia="zh-CN" w:bidi="ar"/>
        </w:rPr>
        <w:t>204</w:t>
      </w:r>
      <w:r>
        <w:rPr>
          <w:rFonts w:hint="eastAsia"/>
          <w:color w:val="auto"/>
          <w:kern w:val="0"/>
          <w:sz w:val="24"/>
          <w:lang w:bidi="ar"/>
        </w:rPr>
        <w:t>h</w:t>
      </w:r>
      <w:r>
        <w:rPr>
          <w:color w:val="auto"/>
          <w:kern w:val="0"/>
          <w:sz w:val="24"/>
          <w:lang w:bidi="ar"/>
        </w:rPr>
        <w:t>，产生速率为</w:t>
      </w:r>
      <w:r>
        <w:rPr>
          <w:rFonts w:hint="eastAsia"/>
          <w:color w:val="auto"/>
          <w:kern w:val="0"/>
          <w:sz w:val="24"/>
          <w:lang w:val="en-US" w:eastAsia="zh-CN" w:bidi="ar"/>
        </w:rPr>
        <w:t>6.13</w:t>
      </w:r>
      <w:r>
        <w:rPr>
          <w:color w:val="auto"/>
          <w:kern w:val="0"/>
          <w:sz w:val="24"/>
          <w:lang w:bidi="ar"/>
        </w:rPr>
        <w:t>kg/h。项目清粮采用</w:t>
      </w:r>
      <w:r>
        <w:rPr>
          <w:rFonts w:hint="eastAsia"/>
          <w:color w:val="auto"/>
          <w:kern w:val="0"/>
          <w:sz w:val="24"/>
          <w:lang w:bidi="ar"/>
        </w:rPr>
        <w:t>密闭式滚筒筛</w:t>
      </w:r>
      <w:r>
        <w:rPr>
          <w:color w:val="auto"/>
          <w:kern w:val="0"/>
          <w:sz w:val="24"/>
          <w:lang w:bidi="ar"/>
        </w:rPr>
        <w:t>，</w:t>
      </w:r>
      <w:r>
        <w:rPr>
          <w:rFonts w:hint="eastAsia"/>
          <w:color w:val="auto"/>
          <w:kern w:val="0"/>
          <w:sz w:val="24"/>
          <w:lang w:bidi="ar"/>
        </w:rPr>
        <w:t>圆筒初清筛底部排风口被布袋所密封，收集除尘灰，</w:t>
      </w:r>
      <w:r>
        <w:rPr>
          <w:color w:val="auto"/>
          <w:kern w:val="0"/>
          <w:sz w:val="24"/>
          <w:lang w:bidi="ar"/>
        </w:rPr>
        <w:t>粉尘去除效率可达到99%以上，最终筛分工序</w:t>
      </w:r>
      <w:r>
        <w:rPr>
          <w:rFonts w:hint="eastAsia"/>
          <w:color w:val="auto"/>
          <w:kern w:val="0"/>
          <w:sz w:val="24"/>
          <w:lang w:val="en-US" w:eastAsia="zh-CN" w:bidi="ar"/>
        </w:rPr>
        <w:t>水稻</w:t>
      </w:r>
      <w:r>
        <w:rPr>
          <w:color w:val="auto"/>
          <w:kern w:val="0"/>
          <w:sz w:val="24"/>
          <w:lang w:bidi="ar"/>
        </w:rPr>
        <w:t>无组织粉尘排放量为</w:t>
      </w:r>
      <w:r>
        <w:rPr>
          <w:rFonts w:hint="eastAsia"/>
          <w:color w:val="auto"/>
          <w:kern w:val="0"/>
          <w:sz w:val="24"/>
          <w:lang w:val="en-US" w:eastAsia="zh-CN" w:bidi="ar"/>
        </w:rPr>
        <w:t>0.012</w:t>
      </w:r>
      <w:r>
        <w:rPr>
          <w:color w:val="auto"/>
          <w:kern w:val="0"/>
          <w:sz w:val="24"/>
          <w:lang w:bidi="ar"/>
        </w:rPr>
        <w:t>/a，排放速率</w:t>
      </w:r>
      <w:r>
        <w:rPr>
          <w:rFonts w:hint="eastAsia"/>
          <w:color w:val="auto"/>
          <w:kern w:val="0"/>
          <w:sz w:val="24"/>
          <w:lang w:val="en-US" w:eastAsia="zh-CN" w:bidi="ar"/>
        </w:rPr>
        <w:t>约为0.06</w:t>
      </w:r>
      <w:r>
        <w:rPr>
          <w:color w:val="auto"/>
          <w:kern w:val="0"/>
          <w:sz w:val="24"/>
          <w:lang w:bidi="ar"/>
        </w:rPr>
        <w:t>kg/h。</w:t>
      </w:r>
    </w:p>
    <w:p w14:paraId="15C3D4FC">
      <w:pPr>
        <w:widowControl/>
        <w:spacing w:line="360" w:lineRule="auto"/>
        <w:ind w:firstLine="480" w:firstLineChars="200"/>
        <w:jc w:val="both"/>
        <w:rPr>
          <w:rFonts w:hint="eastAsia" w:eastAsia="宋体"/>
          <w:color w:val="auto"/>
          <w:kern w:val="0"/>
          <w:sz w:val="24"/>
          <w:lang w:val="en-US" w:eastAsia="zh-CN" w:bidi="ar"/>
        </w:rPr>
      </w:pPr>
      <w:r>
        <w:rPr>
          <w:rFonts w:hint="eastAsia"/>
          <w:color w:val="auto"/>
          <w:kern w:val="0"/>
          <w:sz w:val="24"/>
          <w:lang w:val="en-US" w:eastAsia="zh-CN" w:bidi="ar"/>
        </w:rPr>
        <w:t>则筛分粉尘排放量约为0.015t/a+0.012t/a=0.027t/a，排放速率约为0.13</w:t>
      </w:r>
      <w:r>
        <w:rPr>
          <w:color w:val="auto"/>
          <w:kern w:val="0"/>
          <w:sz w:val="24"/>
          <w:lang w:bidi="ar"/>
        </w:rPr>
        <w:t>kg/h</w:t>
      </w:r>
      <w:r>
        <w:rPr>
          <w:rFonts w:hint="eastAsia"/>
          <w:color w:val="auto"/>
          <w:kern w:val="0"/>
          <w:sz w:val="24"/>
          <w:lang w:eastAsia="zh-CN" w:bidi="ar"/>
        </w:rPr>
        <w:t>。</w:t>
      </w:r>
    </w:p>
    <w:p w14:paraId="308963A3">
      <w:pPr>
        <w:widowControl/>
        <w:spacing w:line="360" w:lineRule="auto"/>
        <w:ind w:firstLine="480" w:firstLineChars="200"/>
        <w:jc w:val="left"/>
        <w:rPr>
          <w:color w:val="auto"/>
          <w:kern w:val="0"/>
          <w:sz w:val="24"/>
          <w:lang w:bidi="ar"/>
        </w:rPr>
      </w:pPr>
      <w:r>
        <w:rPr>
          <w:color w:val="auto"/>
          <w:kern w:val="0"/>
          <w:sz w:val="24"/>
          <w:lang w:bidi="ar"/>
        </w:rPr>
        <w:t>④烘干</w:t>
      </w:r>
      <w:r>
        <w:rPr>
          <w:rFonts w:hint="eastAsia"/>
          <w:color w:val="auto"/>
          <w:kern w:val="0"/>
          <w:sz w:val="24"/>
          <w:lang w:bidi="ar"/>
        </w:rPr>
        <w:t>塔废气</w:t>
      </w:r>
    </w:p>
    <w:p w14:paraId="2A507A69">
      <w:pPr>
        <w:widowControl/>
        <w:spacing w:line="360" w:lineRule="auto"/>
        <w:ind w:firstLine="480" w:firstLineChars="200"/>
        <w:jc w:val="both"/>
        <w:rPr>
          <w:rFonts w:hint="eastAsia"/>
          <w:color w:val="auto"/>
          <w:kern w:val="0"/>
          <w:sz w:val="24"/>
          <w:highlight w:val="none"/>
          <w:lang w:val="en-US" w:eastAsia="zh-CN" w:bidi="ar"/>
        </w:rPr>
      </w:pPr>
      <w:r>
        <w:rPr>
          <w:rFonts w:hint="eastAsia"/>
          <w:color w:val="auto"/>
          <w:kern w:val="0"/>
          <w:sz w:val="24"/>
          <w:highlight w:val="none"/>
          <w:lang w:val="en-US" w:eastAsia="zh-CN" w:bidi="ar"/>
        </w:rPr>
        <w:t>玉米</w:t>
      </w:r>
    </w:p>
    <w:p w14:paraId="6667534A">
      <w:pPr>
        <w:widowControl/>
        <w:spacing w:line="360" w:lineRule="auto"/>
        <w:ind w:firstLine="480" w:firstLineChars="200"/>
        <w:jc w:val="both"/>
        <w:rPr>
          <w:color w:val="auto"/>
          <w:kern w:val="0"/>
          <w:sz w:val="24"/>
          <w:highlight w:val="none"/>
          <w:lang w:bidi="ar"/>
        </w:rPr>
      </w:pPr>
      <w:r>
        <w:rPr>
          <w:color w:val="auto"/>
          <w:kern w:val="0"/>
          <w:sz w:val="24"/>
          <w:highlight w:val="none"/>
          <w:lang w:bidi="ar"/>
        </w:rPr>
        <w:t>本项目在粮食初清过程中已将绝大部分杂质清除干净，烘干过程中粉尘产生量根据《逸散性工业粉尘控制技术》第五章谷物仓储中的颗粒特性，干燥工序逸散尘排放因子取</w:t>
      </w:r>
      <w:r>
        <w:rPr>
          <w:rFonts w:hint="eastAsia"/>
          <w:color w:val="auto"/>
          <w:kern w:val="0"/>
          <w:sz w:val="24"/>
          <w:highlight w:val="none"/>
          <w:lang w:val="en-US" w:eastAsia="zh-CN" w:bidi="ar"/>
        </w:rPr>
        <w:t>0.1</w:t>
      </w:r>
      <w:r>
        <w:rPr>
          <w:color w:val="auto"/>
          <w:kern w:val="0"/>
          <w:sz w:val="24"/>
          <w:highlight w:val="none"/>
          <w:lang w:bidi="ar"/>
        </w:rPr>
        <w:t>kg/t，烘干玉米量为</w:t>
      </w:r>
      <w:r>
        <w:rPr>
          <w:rFonts w:hint="eastAsia"/>
          <w:color w:val="auto"/>
          <w:kern w:val="0"/>
          <w:sz w:val="24"/>
          <w:highlight w:val="none"/>
          <w:lang w:bidi="ar"/>
        </w:rPr>
        <w:t>15</w:t>
      </w:r>
      <w:r>
        <w:rPr>
          <w:color w:val="auto"/>
          <w:kern w:val="0"/>
          <w:sz w:val="24"/>
          <w:highlight w:val="none"/>
          <w:lang w:bidi="ar"/>
        </w:rPr>
        <w:t>000t/a，</w:t>
      </w:r>
      <w:r>
        <w:rPr>
          <w:rFonts w:hint="eastAsia"/>
          <w:color w:val="auto"/>
          <w:kern w:val="0"/>
          <w:sz w:val="24"/>
          <w:lang w:val="en-US" w:eastAsia="zh-CN" w:bidi="ar"/>
        </w:rPr>
        <w:t>装卸过程产生的玉米粉尘量为0.70t/a，筛分玉米工序产生的粉尘量为0.015t/a，则</w:t>
      </w:r>
      <w:r>
        <w:rPr>
          <w:rFonts w:hint="eastAsia"/>
          <w:color w:val="auto"/>
          <w:kern w:val="0"/>
          <w:sz w:val="24"/>
          <w:highlight w:val="none"/>
          <w:lang w:val="en-US" w:eastAsia="zh-CN" w:bidi="ar"/>
        </w:rPr>
        <w:t>烘干玉米量为14999.285t/a；</w:t>
      </w:r>
      <w:r>
        <w:rPr>
          <w:color w:val="auto"/>
          <w:kern w:val="0"/>
          <w:sz w:val="24"/>
          <w:highlight w:val="none"/>
          <w:lang w:bidi="ar"/>
        </w:rPr>
        <w:t>则粉尘产生量约</w:t>
      </w:r>
      <w:r>
        <w:rPr>
          <w:rFonts w:hint="eastAsia"/>
          <w:color w:val="auto"/>
          <w:kern w:val="0"/>
          <w:sz w:val="24"/>
          <w:highlight w:val="none"/>
          <w:lang w:val="en-US" w:eastAsia="zh-CN" w:bidi="ar"/>
        </w:rPr>
        <w:t>1.50</w:t>
      </w:r>
      <w:r>
        <w:rPr>
          <w:color w:val="auto"/>
          <w:kern w:val="0"/>
          <w:sz w:val="24"/>
          <w:highlight w:val="none"/>
          <w:lang w:bidi="ar"/>
        </w:rPr>
        <w:t>t/a，产生速率为</w:t>
      </w:r>
      <w:r>
        <w:rPr>
          <w:rFonts w:hint="eastAsia"/>
          <w:color w:val="auto"/>
          <w:kern w:val="0"/>
          <w:sz w:val="24"/>
          <w:highlight w:val="none"/>
          <w:lang w:val="en-US" w:eastAsia="zh-CN" w:bidi="ar"/>
        </w:rPr>
        <w:t>1.84</w:t>
      </w:r>
      <w:r>
        <w:rPr>
          <w:color w:val="auto"/>
          <w:kern w:val="0"/>
          <w:sz w:val="24"/>
          <w:highlight w:val="none"/>
          <w:lang w:bidi="ar"/>
        </w:rPr>
        <w:t>kg/h。</w:t>
      </w:r>
      <w:r>
        <w:rPr>
          <w:color w:val="auto"/>
          <w:sz w:val="24"/>
          <w:highlight w:val="none"/>
        </w:rPr>
        <w:t>烘干塔塔体自带彩钢罩，具有防风抑尘功能，为环保型烘干塔，根据《排放源统计调查产排污核算方法和系数手册》</w:t>
      </w:r>
      <w:r>
        <w:rPr>
          <w:rFonts w:hint="eastAsia" w:ascii="宋体" w:hAnsi="宋体" w:cs="宋体"/>
          <w:color w:val="auto"/>
          <w:sz w:val="24"/>
          <w:highlight w:val="none"/>
        </w:rPr>
        <w:t>“</w:t>
      </w:r>
      <w:r>
        <w:rPr>
          <w:color w:val="auto"/>
          <w:sz w:val="24"/>
          <w:highlight w:val="none"/>
        </w:rPr>
        <w:t>附表2固体物料堆存颗粒物产排污核算系数手册</w:t>
      </w:r>
      <w:r>
        <w:rPr>
          <w:rFonts w:hint="eastAsia"/>
          <w:color w:val="auto"/>
          <w:sz w:val="24"/>
          <w:highlight w:val="none"/>
          <w:lang w:eastAsia="zh-CN"/>
        </w:rPr>
        <w:t>”</w:t>
      </w:r>
      <w:r>
        <w:rPr>
          <w:color w:val="auto"/>
          <w:sz w:val="24"/>
          <w:highlight w:val="none"/>
        </w:rPr>
        <w:t>中</w:t>
      </w:r>
      <w:r>
        <w:rPr>
          <w:rFonts w:hint="eastAsia"/>
          <w:color w:val="auto"/>
          <w:sz w:val="24"/>
          <w:highlight w:val="none"/>
          <w:lang w:eastAsia="zh-CN"/>
        </w:rPr>
        <w:t>“</w:t>
      </w:r>
      <w:r>
        <w:rPr>
          <w:color w:val="auto"/>
          <w:sz w:val="24"/>
          <w:highlight w:val="none"/>
        </w:rPr>
        <w:t>附录4：粉尘控制措施控制效率，围挡控制效率为60%</w:t>
      </w:r>
      <w:r>
        <w:rPr>
          <w:rFonts w:hint="eastAsia" w:ascii="宋体" w:hAnsi="宋体" w:cs="宋体"/>
          <w:color w:val="auto"/>
          <w:sz w:val="24"/>
          <w:highlight w:val="none"/>
        </w:rPr>
        <w:t>”</w:t>
      </w:r>
      <w:r>
        <w:rPr>
          <w:color w:val="auto"/>
          <w:sz w:val="24"/>
          <w:highlight w:val="none"/>
        </w:rPr>
        <w:t>，所以本项目烘干塔彩钢罩抑尘效率按60%计，则烘干工段无组织粉尘排放量为</w:t>
      </w:r>
      <w:r>
        <w:rPr>
          <w:rFonts w:hint="eastAsia"/>
          <w:color w:val="auto"/>
          <w:kern w:val="0"/>
          <w:sz w:val="24"/>
          <w:highlight w:val="none"/>
          <w:lang w:val="en-US" w:eastAsia="zh-CN"/>
        </w:rPr>
        <w:t>0.74</w:t>
      </w:r>
      <w:r>
        <w:rPr>
          <w:color w:val="auto"/>
          <w:sz w:val="24"/>
          <w:highlight w:val="none"/>
        </w:rPr>
        <w:t>kg/h</w:t>
      </w:r>
      <w:r>
        <w:rPr>
          <w:rFonts w:hint="eastAsia"/>
          <w:color w:val="auto"/>
          <w:kern w:val="0"/>
          <w:sz w:val="24"/>
          <w:highlight w:val="none"/>
        </w:rPr>
        <w:t>、</w:t>
      </w:r>
      <w:r>
        <w:rPr>
          <w:rFonts w:hint="eastAsia"/>
          <w:color w:val="auto"/>
          <w:sz w:val="24"/>
          <w:highlight w:val="none"/>
          <w:lang w:val="en-US" w:eastAsia="zh-CN"/>
        </w:rPr>
        <w:t>0.60</w:t>
      </w:r>
      <w:r>
        <w:rPr>
          <w:color w:val="auto"/>
          <w:sz w:val="24"/>
          <w:highlight w:val="none"/>
        </w:rPr>
        <w:t>t/a。</w:t>
      </w:r>
    </w:p>
    <w:p w14:paraId="068F41B2">
      <w:pPr>
        <w:widowControl/>
        <w:spacing w:line="360" w:lineRule="auto"/>
        <w:ind w:firstLine="480" w:firstLineChars="200"/>
        <w:jc w:val="both"/>
        <w:rPr>
          <w:rFonts w:hint="default"/>
          <w:color w:val="auto"/>
          <w:kern w:val="0"/>
          <w:sz w:val="24"/>
          <w:highlight w:val="none"/>
          <w:lang w:val="en-US" w:eastAsia="zh-CN" w:bidi="ar"/>
        </w:rPr>
      </w:pPr>
      <w:r>
        <w:rPr>
          <w:rFonts w:hint="eastAsia"/>
          <w:color w:val="auto"/>
          <w:kern w:val="0"/>
          <w:sz w:val="24"/>
          <w:highlight w:val="none"/>
          <w:lang w:val="en-US" w:eastAsia="zh-CN" w:bidi="ar"/>
        </w:rPr>
        <w:t>水稻</w:t>
      </w:r>
    </w:p>
    <w:p w14:paraId="15B552ED">
      <w:pPr>
        <w:widowControl/>
        <w:spacing w:line="360" w:lineRule="auto"/>
        <w:ind w:firstLine="480" w:firstLineChars="200"/>
        <w:jc w:val="both"/>
        <w:rPr>
          <w:color w:val="auto"/>
          <w:sz w:val="24"/>
          <w:highlight w:val="none"/>
        </w:rPr>
      </w:pPr>
      <w:r>
        <w:rPr>
          <w:color w:val="auto"/>
          <w:kern w:val="0"/>
          <w:sz w:val="24"/>
          <w:highlight w:val="none"/>
          <w:lang w:bidi="ar"/>
        </w:rPr>
        <w:t>本项目在粮食初清过程中已将绝大部分杂质清除干净，烘干过程中粉尘产生量根据《逸散性工业粉尘控制技术》第五章谷物仓储中的颗粒特性，干燥工序逸散尘排放因子取</w:t>
      </w:r>
      <w:r>
        <w:rPr>
          <w:rFonts w:hint="eastAsia"/>
          <w:color w:val="auto"/>
          <w:kern w:val="0"/>
          <w:sz w:val="24"/>
          <w:highlight w:val="none"/>
          <w:lang w:val="en-US" w:eastAsia="zh-CN" w:bidi="ar"/>
        </w:rPr>
        <w:t>0.25</w:t>
      </w:r>
      <w:r>
        <w:rPr>
          <w:color w:val="auto"/>
          <w:kern w:val="0"/>
          <w:sz w:val="24"/>
          <w:highlight w:val="none"/>
          <w:lang w:bidi="ar"/>
        </w:rPr>
        <w:t>kg/t，烘干</w:t>
      </w:r>
      <w:r>
        <w:rPr>
          <w:rFonts w:hint="eastAsia"/>
          <w:color w:val="auto"/>
          <w:kern w:val="0"/>
          <w:sz w:val="24"/>
          <w:highlight w:val="none"/>
          <w:lang w:bidi="ar"/>
        </w:rPr>
        <w:t>水稻量为5000t，</w:t>
      </w:r>
      <w:r>
        <w:rPr>
          <w:rFonts w:hint="eastAsia"/>
          <w:color w:val="auto"/>
          <w:kern w:val="0"/>
          <w:sz w:val="24"/>
          <w:lang w:val="en-US" w:eastAsia="zh-CN" w:bidi="ar"/>
        </w:rPr>
        <w:t>装卸过程产生的水稻粉尘量为0.34t/a，筛分水稻工序产生的粉尘量为0.012t/a，</w:t>
      </w:r>
      <w:r>
        <w:rPr>
          <w:rFonts w:hint="eastAsia"/>
          <w:color w:val="auto"/>
          <w:kern w:val="0"/>
          <w:sz w:val="24"/>
          <w:highlight w:val="none"/>
          <w:lang w:val="en-US" w:eastAsia="zh-CN" w:bidi="ar"/>
        </w:rPr>
        <w:t>则烘干水稻量4999.648t/a‬</w:t>
      </w:r>
      <w:r>
        <w:rPr>
          <w:rFonts w:hint="eastAsia"/>
          <w:color w:val="auto"/>
          <w:kern w:val="0"/>
          <w:sz w:val="24"/>
          <w:highlight w:val="none"/>
          <w:lang w:bidi="ar"/>
        </w:rPr>
        <w:t>，</w:t>
      </w:r>
      <w:r>
        <w:rPr>
          <w:color w:val="auto"/>
          <w:kern w:val="0"/>
          <w:sz w:val="24"/>
          <w:highlight w:val="none"/>
          <w:lang w:bidi="ar"/>
        </w:rPr>
        <w:t>则粉尘产生量约</w:t>
      </w:r>
      <w:r>
        <w:rPr>
          <w:rFonts w:hint="eastAsia"/>
          <w:color w:val="auto"/>
          <w:kern w:val="0"/>
          <w:sz w:val="24"/>
          <w:highlight w:val="none"/>
          <w:lang w:val="en-US" w:eastAsia="zh-CN" w:bidi="ar"/>
        </w:rPr>
        <w:t>1.25</w:t>
      </w:r>
      <w:r>
        <w:rPr>
          <w:color w:val="auto"/>
          <w:kern w:val="0"/>
          <w:sz w:val="24"/>
          <w:highlight w:val="none"/>
          <w:lang w:bidi="ar"/>
        </w:rPr>
        <w:t>t/a，产生速率为</w:t>
      </w:r>
      <w:r>
        <w:rPr>
          <w:rFonts w:hint="eastAsia"/>
          <w:color w:val="auto"/>
          <w:kern w:val="0"/>
          <w:sz w:val="24"/>
          <w:highlight w:val="none"/>
          <w:lang w:val="en-US" w:eastAsia="zh-CN" w:bidi="ar"/>
        </w:rPr>
        <w:t>1.53</w:t>
      </w:r>
      <w:r>
        <w:rPr>
          <w:color w:val="auto"/>
          <w:kern w:val="0"/>
          <w:sz w:val="24"/>
          <w:highlight w:val="none"/>
          <w:lang w:bidi="ar"/>
        </w:rPr>
        <w:t>kg/h。</w:t>
      </w:r>
      <w:r>
        <w:rPr>
          <w:color w:val="auto"/>
          <w:sz w:val="24"/>
          <w:highlight w:val="none"/>
        </w:rPr>
        <w:t>烘干塔塔体自带彩钢罩，具有防风抑尘功能，为环保型烘干塔，根据《排放源统计调查产排污核算方法和系数手册》</w:t>
      </w:r>
      <w:r>
        <w:rPr>
          <w:rFonts w:hint="eastAsia" w:ascii="宋体" w:hAnsi="宋体" w:cs="宋体"/>
          <w:color w:val="auto"/>
          <w:sz w:val="24"/>
          <w:highlight w:val="none"/>
        </w:rPr>
        <w:t>“</w:t>
      </w:r>
      <w:r>
        <w:rPr>
          <w:color w:val="auto"/>
          <w:sz w:val="24"/>
          <w:highlight w:val="none"/>
        </w:rPr>
        <w:t>附表2固体物料堆存颗粒物产排污核算系数手册</w:t>
      </w:r>
      <w:r>
        <w:rPr>
          <w:rFonts w:hint="eastAsia"/>
          <w:color w:val="auto"/>
          <w:sz w:val="24"/>
          <w:highlight w:val="none"/>
          <w:lang w:eastAsia="zh-CN"/>
        </w:rPr>
        <w:t>”</w:t>
      </w:r>
      <w:r>
        <w:rPr>
          <w:color w:val="auto"/>
          <w:sz w:val="24"/>
          <w:highlight w:val="none"/>
        </w:rPr>
        <w:t>中</w:t>
      </w:r>
      <w:r>
        <w:rPr>
          <w:rFonts w:hint="eastAsia"/>
          <w:color w:val="auto"/>
          <w:sz w:val="24"/>
          <w:highlight w:val="none"/>
          <w:lang w:eastAsia="zh-CN"/>
        </w:rPr>
        <w:t>“</w:t>
      </w:r>
      <w:r>
        <w:rPr>
          <w:color w:val="auto"/>
          <w:sz w:val="24"/>
          <w:highlight w:val="none"/>
        </w:rPr>
        <w:t>附录4：粉尘控制措施控制效率，围挡控制效率为60%</w:t>
      </w:r>
      <w:r>
        <w:rPr>
          <w:rFonts w:hint="eastAsia" w:ascii="宋体" w:hAnsi="宋体" w:cs="宋体"/>
          <w:color w:val="auto"/>
          <w:sz w:val="24"/>
          <w:highlight w:val="none"/>
        </w:rPr>
        <w:t>”</w:t>
      </w:r>
      <w:r>
        <w:rPr>
          <w:color w:val="auto"/>
          <w:sz w:val="24"/>
          <w:highlight w:val="none"/>
        </w:rPr>
        <w:t>，所以本项目烘干塔彩钢罩抑尘效率按60%计，则烘干工段无组织粉尘排放量为</w:t>
      </w:r>
      <w:r>
        <w:rPr>
          <w:rFonts w:hint="eastAsia"/>
          <w:color w:val="auto"/>
          <w:kern w:val="0"/>
          <w:sz w:val="24"/>
          <w:highlight w:val="none"/>
          <w:lang w:val="en-US" w:eastAsia="zh-CN"/>
        </w:rPr>
        <w:t>0.61</w:t>
      </w:r>
      <w:r>
        <w:rPr>
          <w:color w:val="auto"/>
          <w:sz w:val="24"/>
          <w:highlight w:val="none"/>
        </w:rPr>
        <w:t>kg/h</w:t>
      </w:r>
      <w:r>
        <w:rPr>
          <w:rFonts w:hint="eastAsia"/>
          <w:color w:val="auto"/>
          <w:kern w:val="0"/>
          <w:sz w:val="24"/>
          <w:highlight w:val="none"/>
        </w:rPr>
        <w:t>、</w:t>
      </w:r>
      <w:r>
        <w:rPr>
          <w:rFonts w:hint="eastAsia"/>
          <w:color w:val="auto"/>
          <w:sz w:val="24"/>
          <w:highlight w:val="none"/>
          <w:lang w:val="en-US" w:eastAsia="zh-CN"/>
        </w:rPr>
        <w:t>0.50</w:t>
      </w:r>
      <w:r>
        <w:rPr>
          <w:color w:val="auto"/>
          <w:sz w:val="24"/>
          <w:highlight w:val="none"/>
        </w:rPr>
        <w:t>t/a。</w:t>
      </w:r>
    </w:p>
    <w:p w14:paraId="693929CE">
      <w:pPr>
        <w:widowControl/>
        <w:spacing w:line="360" w:lineRule="auto"/>
        <w:ind w:firstLine="480" w:firstLineChars="200"/>
        <w:jc w:val="both"/>
        <w:rPr>
          <w:rFonts w:hint="default" w:eastAsia="宋体"/>
          <w:color w:val="auto"/>
          <w:sz w:val="24"/>
          <w:highlight w:val="none"/>
          <w:lang w:val="en-US" w:eastAsia="zh-CN"/>
        </w:rPr>
      </w:pPr>
      <w:r>
        <w:rPr>
          <w:rFonts w:hint="eastAsia"/>
          <w:color w:val="auto"/>
          <w:sz w:val="24"/>
          <w:highlight w:val="none"/>
          <w:lang w:val="en-US" w:eastAsia="zh-CN"/>
        </w:rPr>
        <w:t>则烘干粉尘量约为0.60</w:t>
      </w:r>
      <w:r>
        <w:rPr>
          <w:rFonts w:hint="eastAsia"/>
          <w:color w:val="auto"/>
          <w:kern w:val="0"/>
          <w:sz w:val="24"/>
          <w:lang w:val="en-US" w:eastAsia="zh-CN" w:bidi="ar"/>
        </w:rPr>
        <w:t>t/a</w:t>
      </w:r>
      <w:r>
        <w:rPr>
          <w:rFonts w:hint="eastAsia"/>
          <w:color w:val="auto"/>
          <w:sz w:val="24"/>
          <w:highlight w:val="none"/>
          <w:lang w:val="en-US" w:eastAsia="zh-CN"/>
        </w:rPr>
        <w:t>+0.50</w:t>
      </w:r>
      <w:r>
        <w:rPr>
          <w:rFonts w:hint="eastAsia"/>
          <w:color w:val="auto"/>
          <w:kern w:val="0"/>
          <w:sz w:val="24"/>
          <w:lang w:val="en-US" w:eastAsia="zh-CN" w:bidi="ar"/>
        </w:rPr>
        <w:t>t/a</w:t>
      </w:r>
      <w:r>
        <w:rPr>
          <w:rFonts w:hint="eastAsia"/>
          <w:color w:val="auto"/>
          <w:sz w:val="24"/>
          <w:highlight w:val="none"/>
          <w:lang w:val="en-US" w:eastAsia="zh-CN"/>
        </w:rPr>
        <w:t>=1.10</w:t>
      </w:r>
      <w:r>
        <w:rPr>
          <w:rFonts w:hint="eastAsia"/>
          <w:color w:val="auto"/>
          <w:kern w:val="0"/>
          <w:sz w:val="24"/>
          <w:lang w:val="en-US" w:eastAsia="zh-CN" w:bidi="ar"/>
        </w:rPr>
        <w:t>t/a，排放速率约为1.35kg/h。</w:t>
      </w:r>
    </w:p>
    <w:p w14:paraId="3E26EE79">
      <w:pPr>
        <w:widowControl/>
        <w:spacing w:line="360" w:lineRule="auto"/>
        <w:ind w:firstLine="480" w:firstLineChars="200"/>
        <w:jc w:val="left"/>
        <w:rPr>
          <w:color w:val="auto"/>
          <w:kern w:val="0"/>
          <w:sz w:val="24"/>
          <w:lang w:bidi="ar"/>
        </w:rPr>
      </w:pPr>
      <w:r>
        <w:rPr>
          <w:color w:val="auto"/>
          <w:kern w:val="0"/>
          <w:sz w:val="24"/>
          <w:lang w:bidi="ar"/>
        </w:rPr>
        <w:fldChar w:fldCharType="begin"/>
      </w:r>
      <w:r>
        <w:rPr>
          <w:color w:val="auto"/>
          <w:kern w:val="0"/>
          <w:sz w:val="24"/>
          <w:lang w:bidi="ar"/>
        </w:rPr>
        <w:instrText xml:space="preserve"> = 5 \* GB3 \* MERGEFORMAT </w:instrText>
      </w:r>
      <w:r>
        <w:rPr>
          <w:color w:val="auto"/>
          <w:kern w:val="0"/>
          <w:sz w:val="24"/>
          <w:lang w:bidi="ar"/>
        </w:rPr>
        <w:fldChar w:fldCharType="separate"/>
      </w:r>
      <w:r>
        <w:rPr>
          <w:color w:val="auto"/>
          <w:kern w:val="0"/>
          <w:sz w:val="24"/>
          <w:lang w:bidi="ar"/>
        </w:rPr>
        <w:t>⑤</w:t>
      </w:r>
      <w:r>
        <w:rPr>
          <w:color w:val="auto"/>
          <w:kern w:val="0"/>
          <w:sz w:val="24"/>
          <w:lang w:bidi="ar"/>
        </w:rPr>
        <w:fldChar w:fldCharType="end"/>
      </w:r>
      <w:r>
        <w:rPr>
          <w:rFonts w:hint="eastAsia"/>
          <w:color w:val="auto"/>
          <w:kern w:val="0"/>
          <w:sz w:val="24"/>
          <w:lang w:bidi="ar"/>
        </w:rPr>
        <w:t>燃料、灰渣转运</w:t>
      </w:r>
      <w:r>
        <w:rPr>
          <w:color w:val="auto"/>
          <w:kern w:val="0"/>
          <w:sz w:val="24"/>
          <w:lang w:bidi="ar"/>
        </w:rPr>
        <w:t>扬尘</w:t>
      </w:r>
    </w:p>
    <w:p w14:paraId="130117C6">
      <w:pPr>
        <w:widowControl/>
        <w:spacing w:line="360" w:lineRule="auto"/>
        <w:ind w:firstLine="480" w:firstLineChars="200"/>
        <w:jc w:val="left"/>
        <w:rPr>
          <w:color w:val="auto"/>
          <w:kern w:val="0"/>
          <w:sz w:val="24"/>
          <w:lang w:bidi="ar"/>
        </w:rPr>
      </w:pPr>
      <w:r>
        <w:rPr>
          <w:color w:val="auto"/>
          <w:kern w:val="0"/>
          <w:sz w:val="24"/>
          <w:lang w:bidi="ar"/>
        </w:rPr>
        <w:t>本项目</w:t>
      </w:r>
      <w:r>
        <w:rPr>
          <w:rFonts w:hint="eastAsia"/>
          <w:color w:val="auto"/>
          <w:kern w:val="0"/>
          <w:sz w:val="24"/>
          <w:lang w:bidi="ar"/>
        </w:rPr>
        <w:t>燃料生物质和灰渣分区储存在厂区库房，库房为封闭式库房。</w:t>
      </w:r>
      <w:r>
        <w:rPr>
          <w:color w:val="auto"/>
          <w:sz w:val="24"/>
        </w:rPr>
        <w:t>燃料厂内运输</w:t>
      </w:r>
      <w:r>
        <w:rPr>
          <w:rFonts w:hint="eastAsia"/>
          <w:color w:val="auto"/>
          <w:kern w:val="0"/>
          <w:sz w:val="24"/>
          <w:lang w:bidi="ar"/>
        </w:rPr>
        <w:t>过程中加盖苫布，</w:t>
      </w:r>
      <w:r>
        <w:rPr>
          <w:color w:val="auto"/>
          <w:kern w:val="0"/>
          <w:sz w:val="24"/>
          <w:lang w:bidi="ar"/>
        </w:rPr>
        <w:t>大风天气禁止转运。灰渣调湿后转运，转运时加盖苫布，大风天气禁止转运。</w:t>
      </w:r>
    </w:p>
    <w:p w14:paraId="36A13CDE">
      <w:pPr>
        <w:widowControl/>
        <w:spacing w:line="360" w:lineRule="auto"/>
        <w:ind w:firstLine="480" w:firstLineChars="200"/>
        <w:jc w:val="left"/>
        <w:rPr>
          <w:color w:val="auto"/>
          <w:kern w:val="0"/>
          <w:sz w:val="24"/>
          <w:lang w:bidi="ar"/>
        </w:rPr>
      </w:pPr>
      <w:r>
        <w:rPr>
          <w:rFonts w:hint="eastAsia"/>
          <w:color w:val="auto"/>
          <w:kern w:val="0"/>
          <w:sz w:val="24"/>
          <w:lang w:bidi="ar"/>
        </w:rPr>
        <w:t>采取以上治理措施后，厂区</w:t>
      </w:r>
      <w:r>
        <w:rPr>
          <w:color w:val="auto"/>
          <w:kern w:val="0"/>
          <w:sz w:val="24"/>
          <w:lang w:bidi="ar"/>
        </w:rPr>
        <w:t>无组织粉尘</w:t>
      </w:r>
      <w:r>
        <w:rPr>
          <w:rFonts w:hint="eastAsia"/>
          <w:color w:val="auto"/>
          <w:kern w:val="0"/>
          <w:sz w:val="24"/>
          <w:lang w:bidi="ar"/>
        </w:rPr>
        <w:t>排放</w:t>
      </w:r>
      <w:r>
        <w:rPr>
          <w:color w:val="auto"/>
          <w:kern w:val="0"/>
          <w:sz w:val="24"/>
          <w:lang w:bidi="ar"/>
        </w:rPr>
        <w:t>满足《大气污染物综合排放标准》（GB16297-1996）表2无组织排放浓度限值要求。</w:t>
      </w:r>
    </w:p>
    <w:p w14:paraId="72E896C4">
      <w:pPr>
        <w:widowControl/>
        <w:spacing w:line="360" w:lineRule="auto"/>
        <w:ind w:firstLine="480" w:firstLineChars="200"/>
        <w:jc w:val="left"/>
        <w:rPr>
          <w:color w:val="auto"/>
          <w:kern w:val="0"/>
          <w:sz w:val="24"/>
          <w:lang w:bidi="ar"/>
        </w:rPr>
      </w:pPr>
      <w:r>
        <w:rPr>
          <w:rFonts w:hint="eastAsia"/>
          <w:color w:val="auto"/>
          <w:kern w:val="0"/>
          <w:sz w:val="24"/>
          <w:lang w:bidi="ar"/>
        </w:rPr>
        <w:t>⑥热风炉房外废气</w:t>
      </w:r>
    </w:p>
    <w:p w14:paraId="491C2402">
      <w:pPr>
        <w:widowControl/>
        <w:spacing w:line="360" w:lineRule="auto"/>
        <w:ind w:firstLine="480" w:firstLineChars="200"/>
        <w:jc w:val="left"/>
        <w:rPr>
          <w:rFonts w:hint="eastAsia"/>
          <w:color w:val="auto"/>
          <w:sz w:val="24"/>
        </w:rPr>
      </w:pPr>
      <w:r>
        <w:rPr>
          <w:rFonts w:hint="eastAsia"/>
          <w:color w:val="auto"/>
          <w:sz w:val="24"/>
        </w:rPr>
        <w:t>本项目2台</w:t>
      </w:r>
      <w:r>
        <w:rPr>
          <w:rFonts w:hint="eastAsia"/>
          <w:color w:val="auto"/>
          <w:sz w:val="24"/>
          <w:lang w:eastAsia="zh-CN"/>
        </w:rPr>
        <w:t>360万kcal/h</w:t>
      </w:r>
      <w:r>
        <w:rPr>
          <w:rFonts w:hint="eastAsia"/>
          <w:color w:val="auto"/>
          <w:sz w:val="24"/>
        </w:rPr>
        <w:t>生物质热风炉房外产生的粉尘满足</w:t>
      </w:r>
      <w:r>
        <w:rPr>
          <w:color w:val="auto"/>
          <w:sz w:val="24"/>
        </w:rPr>
        <w:t>《工业炉窑大气污染物排放标准》（GB9078-1996）表3</w:t>
      </w:r>
      <w:r>
        <w:rPr>
          <w:rFonts w:hint="eastAsia"/>
          <w:color w:val="auto"/>
          <w:sz w:val="24"/>
        </w:rPr>
        <w:t>排放浓度限值要求。</w:t>
      </w:r>
    </w:p>
    <w:p w14:paraId="37948FCE">
      <w:pPr>
        <w:widowControl/>
        <w:spacing w:line="360" w:lineRule="auto"/>
        <w:ind w:firstLine="480" w:firstLineChars="200"/>
        <w:jc w:val="left"/>
        <w:rPr>
          <w:rFonts w:hint="default" w:eastAsia="宋体"/>
          <w:color w:val="auto"/>
          <w:kern w:val="0"/>
          <w:sz w:val="24"/>
          <w:lang w:val="en-US" w:eastAsia="zh-CN" w:bidi="ar"/>
        </w:rPr>
      </w:pPr>
      <w:r>
        <w:rPr>
          <w:rFonts w:hint="eastAsia" w:eastAsia="宋体"/>
          <w:color w:val="auto"/>
          <w:kern w:val="0"/>
          <w:sz w:val="24"/>
          <w:lang w:val="en-US" w:eastAsia="zh-CN" w:bidi="ar"/>
        </w:rPr>
        <w:t>本项目工业粉尘量为0.027</w:t>
      </w:r>
      <w:r>
        <w:rPr>
          <w:rFonts w:hint="eastAsia"/>
          <w:color w:val="auto"/>
          <w:kern w:val="0"/>
          <w:sz w:val="24"/>
          <w:lang w:val="en-US" w:eastAsia="zh-CN" w:bidi="ar"/>
        </w:rPr>
        <w:t>t/a</w:t>
      </w:r>
      <w:r>
        <w:rPr>
          <w:rFonts w:hint="eastAsia" w:eastAsia="宋体"/>
          <w:color w:val="auto"/>
          <w:kern w:val="0"/>
          <w:sz w:val="24"/>
          <w:lang w:val="en-US" w:eastAsia="zh-CN" w:bidi="ar"/>
        </w:rPr>
        <w:t>+1.10</w:t>
      </w:r>
      <w:r>
        <w:rPr>
          <w:rFonts w:hint="eastAsia"/>
          <w:color w:val="auto"/>
          <w:kern w:val="0"/>
          <w:sz w:val="24"/>
          <w:lang w:val="en-US" w:eastAsia="zh-CN" w:bidi="ar"/>
        </w:rPr>
        <w:t>t/a</w:t>
      </w:r>
      <w:r>
        <w:rPr>
          <w:rFonts w:hint="eastAsia" w:eastAsia="宋体"/>
          <w:color w:val="auto"/>
          <w:kern w:val="0"/>
          <w:sz w:val="24"/>
          <w:lang w:val="en-US" w:eastAsia="zh-CN" w:bidi="ar"/>
        </w:rPr>
        <w:t>+0.27</w:t>
      </w:r>
      <w:r>
        <w:rPr>
          <w:rFonts w:hint="eastAsia"/>
          <w:color w:val="auto"/>
          <w:kern w:val="0"/>
          <w:sz w:val="24"/>
          <w:lang w:val="en-US" w:eastAsia="zh-CN" w:bidi="ar"/>
        </w:rPr>
        <w:t>t/a=1.397t/a。</w:t>
      </w:r>
    </w:p>
    <w:p w14:paraId="66A60FC6">
      <w:pPr>
        <w:pStyle w:val="33"/>
        <w:ind w:firstLine="482" w:firstLineChars="200"/>
        <w:jc w:val="center"/>
        <w:rPr>
          <w:b/>
          <w:color w:val="auto"/>
          <w:sz w:val="24"/>
        </w:rPr>
      </w:pPr>
      <w:r>
        <w:rPr>
          <w:b/>
          <w:color w:val="auto"/>
          <w:sz w:val="24"/>
        </w:rPr>
        <w:t>表1  本项目总量控制指标   单位：t/a</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2234"/>
        <w:gridCol w:w="2234"/>
        <w:gridCol w:w="2237"/>
      </w:tblGrid>
      <w:tr w14:paraId="41AD90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13" w:type="dxa"/>
            <w:vAlign w:val="center"/>
          </w:tcPr>
          <w:p w14:paraId="2523ACD1">
            <w:pPr>
              <w:pStyle w:val="109"/>
              <w:widowControl/>
              <w:spacing w:line="240" w:lineRule="auto"/>
              <w:rPr>
                <w:color w:val="auto"/>
                <w:lang w:val="en-US"/>
              </w:rPr>
            </w:pPr>
            <w:r>
              <w:rPr>
                <w:color w:val="auto"/>
                <w:lang w:val="en-US"/>
              </w:rPr>
              <w:t>指标</w:t>
            </w:r>
          </w:p>
        </w:tc>
        <w:tc>
          <w:tcPr>
            <w:tcW w:w="2234" w:type="dxa"/>
            <w:vAlign w:val="center"/>
          </w:tcPr>
          <w:p w14:paraId="2BE82AE1">
            <w:pPr>
              <w:pStyle w:val="109"/>
              <w:widowControl/>
              <w:spacing w:line="240" w:lineRule="auto"/>
              <w:rPr>
                <w:color w:val="auto"/>
                <w:lang w:val="en-US"/>
              </w:rPr>
            </w:pPr>
            <w:r>
              <w:rPr>
                <w:color w:val="auto"/>
                <w:lang w:val="en-US"/>
              </w:rPr>
              <w:t>颗粒物（烟尘）</w:t>
            </w:r>
          </w:p>
        </w:tc>
        <w:tc>
          <w:tcPr>
            <w:tcW w:w="2234" w:type="dxa"/>
            <w:vAlign w:val="center"/>
          </w:tcPr>
          <w:p w14:paraId="1A429632">
            <w:pPr>
              <w:pStyle w:val="109"/>
              <w:widowControl/>
              <w:spacing w:line="240" w:lineRule="auto"/>
              <w:rPr>
                <w:color w:val="auto"/>
                <w:lang w:val="en-US"/>
              </w:rPr>
            </w:pPr>
            <w:r>
              <w:rPr>
                <w:color w:val="auto"/>
                <w:lang w:val="en-US"/>
              </w:rPr>
              <w:t>SO</w:t>
            </w:r>
            <w:r>
              <w:rPr>
                <w:color w:val="auto"/>
                <w:vertAlign w:val="subscript"/>
                <w:lang w:val="en-US"/>
              </w:rPr>
              <w:t>2</w:t>
            </w:r>
          </w:p>
        </w:tc>
        <w:tc>
          <w:tcPr>
            <w:tcW w:w="2237" w:type="dxa"/>
            <w:vAlign w:val="center"/>
          </w:tcPr>
          <w:p w14:paraId="7454FF9A">
            <w:pPr>
              <w:pStyle w:val="109"/>
              <w:widowControl/>
              <w:spacing w:line="240" w:lineRule="auto"/>
              <w:rPr>
                <w:color w:val="auto"/>
                <w:lang w:val="en-US"/>
              </w:rPr>
            </w:pPr>
            <w:r>
              <w:rPr>
                <w:color w:val="auto"/>
                <w:lang w:val="en-US"/>
              </w:rPr>
              <w:t>NO</w:t>
            </w:r>
            <w:r>
              <w:rPr>
                <w:color w:val="auto"/>
                <w:vertAlign w:val="subscript"/>
                <w:lang w:val="en-US"/>
              </w:rPr>
              <w:t>X</w:t>
            </w:r>
          </w:p>
        </w:tc>
      </w:tr>
      <w:tr w14:paraId="6EF104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713" w:type="dxa"/>
            <w:vAlign w:val="center"/>
          </w:tcPr>
          <w:p w14:paraId="57215C8F">
            <w:pPr>
              <w:pStyle w:val="109"/>
              <w:widowControl/>
              <w:spacing w:line="240" w:lineRule="auto"/>
              <w:rPr>
                <w:color w:val="auto"/>
                <w:lang w:val="en-US"/>
              </w:rPr>
            </w:pPr>
            <w:r>
              <w:rPr>
                <w:color w:val="auto"/>
                <w:lang w:val="en-US"/>
              </w:rPr>
              <w:t>预测量</w:t>
            </w:r>
          </w:p>
        </w:tc>
        <w:tc>
          <w:tcPr>
            <w:tcW w:w="2234" w:type="dxa"/>
            <w:vAlign w:val="center"/>
          </w:tcPr>
          <w:p w14:paraId="337B4F4A">
            <w:pPr>
              <w:pStyle w:val="109"/>
              <w:widowControl/>
              <w:spacing w:line="240" w:lineRule="auto"/>
              <w:rPr>
                <w:rFonts w:hint="default" w:eastAsia="宋体"/>
                <w:color w:val="auto"/>
                <w:lang w:val="en-US" w:eastAsia="zh-CN"/>
              </w:rPr>
            </w:pPr>
            <w:r>
              <w:rPr>
                <w:rFonts w:hint="eastAsia"/>
                <w:color w:val="auto"/>
                <w:lang w:val="en-US" w:eastAsia="zh-CN"/>
              </w:rPr>
              <w:t>1.717</w:t>
            </w:r>
          </w:p>
        </w:tc>
        <w:tc>
          <w:tcPr>
            <w:tcW w:w="2234" w:type="dxa"/>
            <w:vAlign w:val="center"/>
          </w:tcPr>
          <w:p w14:paraId="3FC6E10B">
            <w:pPr>
              <w:pStyle w:val="109"/>
              <w:widowControl/>
              <w:spacing w:line="240" w:lineRule="auto"/>
              <w:rPr>
                <w:rFonts w:hint="eastAsia" w:eastAsia="宋体"/>
                <w:color w:val="auto"/>
                <w:lang w:val="en-US" w:eastAsia="zh-CN"/>
              </w:rPr>
            </w:pPr>
            <w:r>
              <w:rPr>
                <w:rFonts w:hint="eastAsia"/>
                <w:color w:val="auto"/>
                <w:lang w:val="en-US" w:eastAsia="zh-CN"/>
              </w:rPr>
              <w:t>1.30</w:t>
            </w:r>
          </w:p>
        </w:tc>
        <w:tc>
          <w:tcPr>
            <w:tcW w:w="2237" w:type="dxa"/>
            <w:vAlign w:val="center"/>
          </w:tcPr>
          <w:p w14:paraId="4DB8591C">
            <w:pPr>
              <w:pStyle w:val="109"/>
              <w:widowControl/>
              <w:spacing w:line="240" w:lineRule="auto"/>
              <w:rPr>
                <w:rFonts w:hint="eastAsia" w:eastAsia="宋体"/>
                <w:color w:val="auto"/>
                <w:lang w:val="en-US" w:eastAsia="zh-CN"/>
              </w:rPr>
            </w:pPr>
            <w:r>
              <w:rPr>
                <w:rFonts w:hint="eastAsia"/>
                <w:color w:val="auto"/>
                <w:lang w:val="en-US" w:eastAsia="zh-CN"/>
              </w:rPr>
              <w:t>1.55</w:t>
            </w:r>
          </w:p>
        </w:tc>
      </w:tr>
    </w:tbl>
    <w:p w14:paraId="1B2420B4">
      <w:pPr>
        <w:rPr>
          <w:b/>
          <w:color w:val="auto"/>
          <w:szCs w:val="21"/>
        </w:rPr>
      </w:pPr>
    </w:p>
    <w:p w14:paraId="7AC884CB">
      <w:pPr>
        <w:rPr>
          <w:b/>
          <w:color w:val="auto"/>
          <w:szCs w:val="21"/>
        </w:rPr>
        <w:sectPr>
          <w:pgSz w:w="11906" w:h="16838"/>
          <w:pgMar w:top="1418" w:right="1418" w:bottom="1418" w:left="1418" w:header="851" w:footer="1208" w:gutter="0"/>
          <w:cols w:space="720" w:num="1"/>
          <w:docGrid w:type="lines" w:linePitch="312" w:charSpace="0"/>
        </w:sectPr>
      </w:pPr>
    </w:p>
    <w:p w14:paraId="1CFABF94">
      <w:pPr>
        <w:jc w:val="left"/>
        <w:outlineLvl w:val="0"/>
        <w:rPr>
          <w:b/>
          <w:color w:val="auto"/>
          <w:szCs w:val="21"/>
        </w:rPr>
      </w:pPr>
      <w:bookmarkStart w:id="34" w:name="_Toc12461"/>
      <w:bookmarkStart w:id="35" w:name="_Toc22050"/>
      <w:r>
        <w:rPr>
          <w:b/>
          <w:color w:val="auto"/>
          <w:szCs w:val="21"/>
        </w:rPr>
        <w:t>附件</w:t>
      </w:r>
      <w:r>
        <w:rPr>
          <w:rFonts w:hint="eastAsia"/>
          <w:b/>
          <w:color w:val="auto"/>
          <w:szCs w:val="21"/>
        </w:rPr>
        <w:t>6</w:t>
      </w:r>
      <w:r>
        <w:rPr>
          <w:b/>
          <w:color w:val="auto"/>
          <w:szCs w:val="21"/>
        </w:rPr>
        <w:t>生态环境分区管控分析报告</w:t>
      </w:r>
      <w:bookmarkEnd w:id="34"/>
      <w:bookmarkEnd w:id="35"/>
    </w:p>
    <w:p w14:paraId="0341BD2F">
      <w:pPr>
        <w:jc w:val="center"/>
        <w:rPr>
          <w:color w:val="auto"/>
        </w:rPr>
      </w:pPr>
      <w:r>
        <w:rPr>
          <w:color w:val="auto"/>
        </w:rPr>
        <w:drawing>
          <wp:inline distT="0" distB="0" distL="114300" distR="114300">
            <wp:extent cx="7804785" cy="5520055"/>
            <wp:effectExtent l="0" t="0" r="5715" b="4445"/>
            <wp:docPr id="36" name="图片 36" descr="C:/Users/Administrator/Desktop/恒恒升材料/恒恒升三线一单/桦川县恒恒升水稻种植专业合作社粮食烘干_2026年03月12日093022_分析报告_01.png桦川县恒恒升水稻种植专业合作社粮食烘干_2026年03月12日093022_分析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Administrator/Desktop/恒恒升材料/恒恒升三线一单/桦川县恒恒升水稻种植专业合作社粮食烘干_2026年03月12日093022_分析报告_01.png桦川县恒恒升水稻种植专业合作社粮食烘干_2026年03月12日093022_分析报告_01"/>
                    <pic:cNvPicPr>
                      <a:picLocks noChangeAspect="1"/>
                    </pic:cNvPicPr>
                  </pic:nvPicPr>
                  <pic:blipFill>
                    <a:blip r:embed="rId75"/>
                    <a:srcRect l="12" r="12"/>
                    <a:stretch>
                      <a:fillRect/>
                    </a:stretch>
                  </pic:blipFill>
                  <pic:spPr>
                    <a:xfrm>
                      <a:off x="0" y="0"/>
                      <a:ext cx="7804785" cy="5520055"/>
                    </a:xfrm>
                    <a:prstGeom prst="rect">
                      <a:avLst/>
                    </a:prstGeom>
                  </pic:spPr>
                </pic:pic>
              </a:graphicData>
            </a:graphic>
          </wp:inline>
        </w:drawing>
      </w:r>
    </w:p>
    <w:p w14:paraId="68E45CDD">
      <w:pPr>
        <w:tabs>
          <w:tab w:val="left" w:pos="225"/>
        </w:tabs>
        <w:jc w:val="center"/>
        <w:rPr>
          <w:color w:val="auto"/>
        </w:rPr>
      </w:pPr>
      <w:r>
        <w:rPr>
          <w:color w:val="auto"/>
        </w:rPr>
        <w:drawing>
          <wp:inline distT="0" distB="0" distL="114300" distR="114300">
            <wp:extent cx="8073390" cy="5709285"/>
            <wp:effectExtent l="0" t="0" r="3810" b="5715"/>
            <wp:docPr id="35" name="图片 35" descr="C:/Users/Administrator/Desktop/恒恒升材料/恒恒升三线一单/桦川县恒恒升水稻种植专业合作社粮食烘干_2026年03月12日093022_分析报告_02.png桦川县恒恒升水稻种植专业合作社粮食烘干_2026年03月12日093022_分析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istrator/Desktop/恒恒升材料/恒恒升三线一单/桦川县恒恒升水稻种植专业合作社粮食烘干_2026年03月12日093022_分析报告_02.png桦川县恒恒升水稻种植专业合作社粮食烘干_2026年03月12日093022_分析报告_02"/>
                    <pic:cNvPicPr>
                      <a:picLocks noChangeAspect="1"/>
                    </pic:cNvPicPr>
                  </pic:nvPicPr>
                  <pic:blipFill>
                    <a:blip r:embed="rId76"/>
                    <a:srcRect l="6" r="6"/>
                    <a:stretch>
                      <a:fillRect/>
                    </a:stretch>
                  </pic:blipFill>
                  <pic:spPr>
                    <a:xfrm>
                      <a:off x="0" y="0"/>
                      <a:ext cx="8073390" cy="5709285"/>
                    </a:xfrm>
                    <a:prstGeom prst="rect">
                      <a:avLst/>
                    </a:prstGeom>
                  </pic:spPr>
                </pic:pic>
              </a:graphicData>
            </a:graphic>
          </wp:inline>
        </w:drawing>
      </w:r>
      <w:r>
        <w:rPr>
          <w:color w:val="auto"/>
        </w:rPr>
        <w:drawing>
          <wp:inline distT="0" distB="0" distL="114300" distR="114300">
            <wp:extent cx="8059420" cy="5699760"/>
            <wp:effectExtent l="0" t="0" r="17780" b="15240"/>
            <wp:docPr id="34" name="图片 34" descr="C:/Users/Administrator/Desktop/恒恒升材料/恒恒升三线一单/桦川县恒恒升水稻种植专业合作社粮食烘干_2026年03月12日093022_分析报告_03.png桦川县恒恒升水稻种植专业合作社粮食烘干_2026年03月12日093022_分析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strator/Desktop/恒恒升材料/恒恒升三线一单/桦川县恒恒升水稻种植专业合作社粮食烘干_2026年03月12日093022_分析报告_03.png桦川县恒恒升水稻种植专业合作社粮食烘干_2026年03月12日093022_分析报告_03"/>
                    <pic:cNvPicPr>
                      <a:picLocks noChangeAspect="1"/>
                    </pic:cNvPicPr>
                  </pic:nvPicPr>
                  <pic:blipFill>
                    <a:blip r:embed="rId14"/>
                    <a:srcRect l="11" r="11"/>
                    <a:stretch>
                      <a:fillRect/>
                    </a:stretch>
                  </pic:blipFill>
                  <pic:spPr>
                    <a:xfrm>
                      <a:off x="0" y="0"/>
                      <a:ext cx="8059420" cy="5699760"/>
                    </a:xfrm>
                    <a:prstGeom prst="rect">
                      <a:avLst/>
                    </a:prstGeom>
                  </pic:spPr>
                </pic:pic>
              </a:graphicData>
            </a:graphic>
          </wp:inline>
        </w:drawing>
      </w:r>
      <w:r>
        <w:rPr>
          <w:color w:val="auto"/>
        </w:rPr>
        <w:drawing>
          <wp:inline distT="0" distB="0" distL="114300" distR="114300">
            <wp:extent cx="8073390" cy="5709285"/>
            <wp:effectExtent l="0" t="0" r="3810" b="5715"/>
            <wp:docPr id="27" name="图片 27" descr="C:/Users/Administrator/Desktop/恒恒升材料/恒恒升三线一单/桦川县恒恒升水稻种植专业合作社粮食烘干_2026年03月12日093022_分析报告_04.png桦川县恒恒升水稻种植专业合作社粮食烘干_2026年03月12日093022_分析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dministrator/Desktop/恒恒升材料/恒恒升三线一单/桦川县恒恒升水稻种植专业合作社粮食烘干_2026年03月12日093022_分析报告_04.png桦川县恒恒升水稻种植专业合作社粮食烘干_2026年03月12日093022_分析报告_04"/>
                    <pic:cNvPicPr>
                      <a:picLocks noChangeAspect="1"/>
                    </pic:cNvPicPr>
                  </pic:nvPicPr>
                  <pic:blipFill>
                    <a:blip r:embed="rId77"/>
                    <a:srcRect l="6" r="6"/>
                    <a:stretch>
                      <a:fillRect/>
                    </a:stretch>
                  </pic:blipFill>
                  <pic:spPr>
                    <a:xfrm>
                      <a:off x="0" y="0"/>
                      <a:ext cx="8073390" cy="5709285"/>
                    </a:xfrm>
                    <a:prstGeom prst="rect">
                      <a:avLst/>
                    </a:prstGeom>
                  </pic:spPr>
                </pic:pic>
              </a:graphicData>
            </a:graphic>
          </wp:inline>
        </w:drawing>
      </w:r>
      <w:r>
        <w:rPr>
          <w:color w:val="auto"/>
        </w:rPr>
        <w:drawing>
          <wp:inline distT="0" distB="0" distL="114300" distR="114300">
            <wp:extent cx="8046085" cy="5690235"/>
            <wp:effectExtent l="0" t="0" r="12065" b="5715"/>
            <wp:docPr id="23" name="图片 23" descr="C:/Users/Administrator/Desktop/恒恒升材料/恒恒升三线一单/桦川县恒恒升水稻种植专业合作社粮食烘干_2026年03月12日093022_分析报告_05.png桦川县恒恒升水稻种植专业合作社粮食烘干_2026年03月12日093022_分析报告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Desktop/恒恒升材料/恒恒升三线一单/桦川县恒恒升水稻种植专业合作社粮食烘干_2026年03月12日093022_分析报告_05.png桦川县恒恒升水稻种植专业合作社粮食烘干_2026年03月12日093022_分析报告_05"/>
                    <pic:cNvPicPr>
                      <a:picLocks noChangeAspect="1"/>
                    </pic:cNvPicPr>
                  </pic:nvPicPr>
                  <pic:blipFill>
                    <a:blip r:embed="rId78"/>
                    <a:srcRect l="6" r="6"/>
                    <a:stretch>
                      <a:fillRect/>
                    </a:stretch>
                  </pic:blipFill>
                  <pic:spPr>
                    <a:xfrm>
                      <a:off x="0" y="0"/>
                      <a:ext cx="8046085" cy="5690235"/>
                    </a:xfrm>
                    <a:prstGeom prst="rect">
                      <a:avLst/>
                    </a:prstGeom>
                  </pic:spPr>
                </pic:pic>
              </a:graphicData>
            </a:graphic>
          </wp:inline>
        </w:drawing>
      </w:r>
      <w:r>
        <w:rPr>
          <w:color w:val="auto"/>
        </w:rPr>
        <w:drawing>
          <wp:inline distT="0" distB="0" distL="114300" distR="114300">
            <wp:extent cx="8059420" cy="5699760"/>
            <wp:effectExtent l="0" t="0" r="17780" b="15240"/>
            <wp:docPr id="20" name="图片 20" descr="C:/Users/Administrator/Desktop/恒恒升材料/恒恒升三线一单/桦川县恒恒升水稻种植专业合作社粮食烘干_2026年03月12日093022_分析报告_06.png桦川县恒恒升水稻种植专业合作社粮食烘干_2026年03月12日093022_分析报告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Desktop/恒恒升材料/恒恒升三线一单/桦川县恒恒升水稻种植专业合作社粮食烘干_2026年03月12日093022_分析报告_06.png桦川县恒恒升水稻种植专业合作社粮食烘干_2026年03月12日093022_分析报告_06"/>
                    <pic:cNvPicPr>
                      <a:picLocks noChangeAspect="1"/>
                    </pic:cNvPicPr>
                  </pic:nvPicPr>
                  <pic:blipFill>
                    <a:blip r:embed="rId79"/>
                    <a:srcRect l="11" r="11"/>
                    <a:stretch>
                      <a:fillRect/>
                    </a:stretch>
                  </pic:blipFill>
                  <pic:spPr>
                    <a:xfrm>
                      <a:off x="0" y="0"/>
                      <a:ext cx="8059420" cy="5699760"/>
                    </a:xfrm>
                    <a:prstGeom prst="rect">
                      <a:avLst/>
                    </a:prstGeom>
                  </pic:spPr>
                </pic:pic>
              </a:graphicData>
            </a:graphic>
          </wp:inline>
        </w:drawing>
      </w:r>
      <w:r>
        <w:rPr>
          <w:color w:val="auto"/>
        </w:rPr>
        <w:drawing>
          <wp:inline distT="0" distB="0" distL="114300" distR="114300">
            <wp:extent cx="8074025" cy="5709920"/>
            <wp:effectExtent l="0" t="0" r="3175" b="5080"/>
            <wp:docPr id="19" name="图片 19" descr="C:/Users/Administrator/Desktop/恒恒升材料/恒恒升三线一单/桦川县恒恒升水稻种植专业合作社粮食烘干_2026年03月12日093022_分析报告_07.png桦川县恒恒升水稻种植专业合作社粮食烘干_2026年03月12日093022_分析报告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恒恒升材料/恒恒升三线一单/桦川县恒恒升水稻种植专业合作社粮食烘干_2026年03月12日093022_分析报告_07.png桦川县恒恒升水稻种植专业合作社粮食烘干_2026年03月12日093022_分析报告_07"/>
                    <pic:cNvPicPr>
                      <a:picLocks noChangeAspect="1"/>
                    </pic:cNvPicPr>
                  </pic:nvPicPr>
                  <pic:blipFill>
                    <a:blip r:embed="rId13"/>
                    <a:srcRect l="6" r="6"/>
                    <a:stretch>
                      <a:fillRect/>
                    </a:stretch>
                  </pic:blipFill>
                  <pic:spPr>
                    <a:xfrm>
                      <a:off x="0" y="0"/>
                      <a:ext cx="8074025" cy="5709920"/>
                    </a:xfrm>
                    <a:prstGeom prst="rect">
                      <a:avLst/>
                    </a:prstGeom>
                  </pic:spPr>
                </pic:pic>
              </a:graphicData>
            </a:graphic>
          </wp:inline>
        </w:drawing>
      </w:r>
      <w:r>
        <w:rPr>
          <w:color w:val="auto"/>
        </w:rPr>
        <w:drawing>
          <wp:inline distT="0" distB="0" distL="114300" distR="114300">
            <wp:extent cx="8007350" cy="5662930"/>
            <wp:effectExtent l="0" t="0" r="12700" b="13970"/>
            <wp:docPr id="16" name="图片 16" descr="C:/Users/Administrator/Desktop/恒恒升材料/恒恒升三线一单/桦川县恒恒升水稻种植专业合作社粮食烘干_2026年03月12日093022_分析报告_08.png桦川县恒恒升水稻种植专业合作社粮食烘干_2026年03月12日093022_分析报告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恒恒升材料/恒恒升三线一单/桦川县恒恒升水稻种植专业合作社粮食烘干_2026年03月12日093022_分析报告_08.png桦川县恒恒升水稻种植专业合作社粮食烘干_2026年03月12日093022_分析报告_08"/>
                    <pic:cNvPicPr>
                      <a:picLocks noChangeAspect="1"/>
                    </pic:cNvPicPr>
                  </pic:nvPicPr>
                  <pic:blipFill>
                    <a:blip r:embed="rId80"/>
                    <a:srcRect l="11" r="11"/>
                    <a:stretch>
                      <a:fillRect/>
                    </a:stretch>
                  </pic:blipFill>
                  <pic:spPr>
                    <a:xfrm>
                      <a:off x="0" y="0"/>
                      <a:ext cx="8007350" cy="5662930"/>
                    </a:xfrm>
                    <a:prstGeom prst="rect">
                      <a:avLst/>
                    </a:prstGeom>
                  </pic:spPr>
                </pic:pic>
              </a:graphicData>
            </a:graphic>
          </wp:inline>
        </w:drawing>
      </w:r>
      <w:r>
        <w:rPr>
          <w:color w:val="auto"/>
        </w:rPr>
        <w:drawing>
          <wp:inline distT="0" distB="0" distL="114300" distR="114300">
            <wp:extent cx="7972425" cy="5637530"/>
            <wp:effectExtent l="0" t="0" r="9525" b="1270"/>
            <wp:docPr id="7" name="图片 7" descr="C:/Users/Administrator/Desktop/恒恒升材料/恒恒升三线一单/桦川县恒恒升水稻种植专业合作社粮食烘干_2026年03月12日093022_分析报告_09.png桦川县恒恒升水稻种植专业合作社粮食烘干_2026年03月12日093022_分析报告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恒恒升材料/恒恒升三线一单/桦川县恒恒升水稻种植专业合作社粮食烘干_2026年03月12日093022_分析报告_09.png桦川县恒恒升水稻种植专业合作社粮食烘干_2026年03月12日093022_分析报告_09"/>
                    <pic:cNvPicPr>
                      <a:picLocks noChangeAspect="1"/>
                    </pic:cNvPicPr>
                  </pic:nvPicPr>
                  <pic:blipFill>
                    <a:blip r:embed="rId81"/>
                    <a:srcRect l="6" r="6"/>
                    <a:stretch>
                      <a:fillRect/>
                    </a:stretch>
                  </pic:blipFill>
                  <pic:spPr>
                    <a:xfrm>
                      <a:off x="0" y="0"/>
                      <a:ext cx="7972425" cy="5637530"/>
                    </a:xfrm>
                    <a:prstGeom prst="rect">
                      <a:avLst/>
                    </a:prstGeom>
                  </pic:spPr>
                </pic:pic>
              </a:graphicData>
            </a:graphic>
          </wp:inline>
        </w:drawing>
      </w:r>
      <w:r>
        <w:rPr>
          <w:color w:val="auto"/>
        </w:rPr>
        <w:drawing>
          <wp:inline distT="0" distB="0" distL="114300" distR="114300">
            <wp:extent cx="7881620" cy="5573395"/>
            <wp:effectExtent l="0" t="0" r="5080" b="8255"/>
            <wp:docPr id="4" name="图片 4" descr="C:/Users/Administrator/Desktop/恒恒升材料/恒恒升三线一单/桦川县恒恒升水稻种植专业合作社粮食烘干_2026年03月12日093022_分析报告_10.png桦川县恒恒升水稻种植专业合作社粮食烘干_2026年03月12日093022_分析报告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恒恒升材料/恒恒升三线一单/桦川县恒恒升水稻种植专业合作社粮食烘干_2026年03月12日093022_分析报告_10.png桦川县恒恒升水稻种植专业合作社粮食烘干_2026年03月12日093022_分析报告_10"/>
                    <pic:cNvPicPr>
                      <a:picLocks noChangeAspect="1"/>
                    </pic:cNvPicPr>
                  </pic:nvPicPr>
                  <pic:blipFill>
                    <a:blip r:embed="rId82"/>
                    <a:srcRect l="6" r="6"/>
                    <a:stretch>
                      <a:fillRect/>
                    </a:stretch>
                  </pic:blipFill>
                  <pic:spPr>
                    <a:xfrm>
                      <a:off x="0" y="0"/>
                      <a:ext cx="7881620" cy="5573395"/>
                    </a:xfrm>
                    <a:prstGeom prst="rect">
                      <a:avLst/>
                    </a:prstGeom>
                  </pic:spPr>
                </pic:pic>
              </a:graphicData>
            </a:graphic>
          </wp:inline>
        </w:drawing>
      </w:r>
    </w:p>
    <w:p w14:paraId="2A004BDC">
      <w:pPr>
        <w:rPr>
          <w:color w:val="auto"/>
        </w:rPr>
      </w:pPr>
      <w:r>
        <w:rPr>
          <w:color w:val="auto"/>
        </w:rPr>
        <w:br w:type="page"/>
      </w:r>
    </w:p>
    <w:p w14:paraId="4C38493A">
      <w:pPr>
        <w:tabs>
          <w:tab w:val="left" w:pos="225"/>
        </w:tabs>
        <w:jc w:val="center"/>
        <w:rPr>
          <w:color w:val="auto"/>
        </w:rPr>
        <w:sectPr>
          <w:pgSz w:w="16838" w:h="11906" w:orient="landscape"/>
          <w:pgMar w:top="1418" w:right="1418" w:bottom="1418" w:left="1418" w:header="851" w:footer="1208" w:gutter="0"/>
          <w:cols w:space="720" w:num="1"/>
          <w:docGrid w:type="lines" w:linePitch="312" w:charSpace="0"/>
        </w:sectPr>
      </w:pPr>
    </w:p>
    <w:p w14:paraId="2867E084">
      <w:pPr>
        <w:jc w:val="left"/>
        <w:outlineLvl w:val="0"/>
        <w:rPr>
          <w:b/>
          <w:color w:val="auto"/>
          <w:szCs w:val="21"/>
        </w:rPr>
      </w:pPr>
      <w:bookmarkStart w:id="36" w:name="_Toc4265"/>
      <w:r>
        <w:rPr>
          <w:b/>
          <w:color w:val="auto"/>
          <w:szCs w:val="21"/>
        </w:rPr>
        <w:t>附件</w:t>
      </w:r>
      <w:r>
        <w:rPr>
          <w:rFonts w:hint="eastAsia"/>
          <w:b/>
          <w:color w:val="auto"/>
          <w:szCs w:val="21"/>
        </w:rPr>
        <w:t>7公示截图</w:t>
      </w:r>
      <w:bookmarkEnd w:id="36"/>
    </w:p>
    <w:p w14:paraId="7A08ECAC">
      <w:pPr>
        <w:tabs>
          <w:tab w:val="left" w:pos="225"/>
        </w:tabs>
        <w:jc w:val="center"/>
        <w:rPr>
          <w:color w:val="auto"/>
        </w:rPr>
      </w:pPr>
    </w:p>
    <w:p w14:paraId="536C31EC">
      <w:pPr>
        <w:jc w:val="center"/>
        <w:rPr>
          <w:color w:val="auto"/>
        </w:rPr>
        <w:sectPr>
          <w:pgSz w:w="11906" w:h="16838"/>
          <w:pgMar w:top="1418" w:right="1418" w:bottom="1418" w:left="1418" w:header="851" w:footer="1208" w:gutter="0"/>
          <w:cols w:space="720" w:num="1"/>
          <w:docGrid w:type="lines" w:linePitch="312" w:charSpace="0"/>
        </w:sectPr>
      </w:pPr>
      <w:r>
        <w:rPr>
          <w:rFonts w:hint="eastAsia"/>
          <w:color w:val="auto"/>
        </w:rPr>
        <w:drawing>
          <wp:inline distT="0" distB="0" distL="114300" distR="114300">
            <wp:extent cx="5667375" cy="8018145"/>
            <wp:effectExtent l="0" t="0" r="9525" b="1905"/>
            <wp:docPr id="65" name="图片 65" descr="恒恒升公示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恒恒升公示证明"/>
                    <pic:cNvPicPr>
                      <a:picLocks noChangeAspect="1"/>
                    </pic:cNvPicPr>
                  </pic:nvPicPr>
                  <pic:blipFill>
                    <a:blip r:embed="rId83"/>
                    <a:stretch>
                      <a:fillRect/>
                    </a:stretch>
                  </pic:blipFill>
                  <pic:spPr>
                    <a:xfrm>
                      <a:off x="0" y="0"/>
                      <a:ext cx="5667375" cy="8018145"/>
                    </a:xfrm>
                    <a:prstGeom prst="rect">
                      <a:avLst/>
                    </a:prstGeom>
                  </pic:spPr>
                </pic:pic>
              </a:graphicData>
            </a:graphic>
          </wp:inline>
        </w:drawing>
      </w:r>
    </w:p>
    <w:p w14:paraId="5D492ACF">
      <w:pPr>
        <w:jc w:val="center"/>
        <w:rPr>
          <w:color w:val="auto"/>
        </w:rPr>
      </w:pPr>
    </w:p>
    <w:p w14:paraId="25EA7815">
      <w:pPr>
        <w:jc w:val="left"/>
        <w:outlineLvl w:val="0"/>
        <w:rPr>
          <w:color w:val="auto"/>
        </w:rPr>
      </w:pPr>
      <w:bookmarkStart w:id="37" w:name="_Toc3891"/>
      <w:bookmarkStart w:id="38" w:name="_Toc18190"/>
      <w:bookmarkStart w:id="39" w:name="_Toc10352"/>
      <w:bookmarkStart w:id="40" w:name="_Toc20106"/>
      <w:bookmarkStart w:id="41" w:name="_Toc13969"/>
      <w:bookmarkStart w:id="42" w:name="_Toc4828"/>
      <w:r>
        <w:rPr>
          <w:color w:val="auto"/>
        </w:rPr>
        <mc:AlternateContent>
          <mc:Choice Requires="wps">
            <w:drawing>
              <wp:anchor distT="0" distB="0" distL="114300" distR="114300" simplePos="0" relativeHeight="251666432" behindDoc="0" locked="0" layoutInCell="1" allowOverlap="1">
                <wp:simplePos x="0" y="0"/>
                <wp:positionH relativeFrom="column">
                  <wp:posOffset>733425</wp:posOffset>
                </wp:positionH>
                <wp:positionV relativeFrom="paragraph">
                  <wp:posOffset>2260600</wp:posOffset>
                </wp:positionV>
                <wp:extent cx="1311910" cy="58102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31191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1F523">
                            <w:pPr>
                              <w:rPr>
                                <w:b/>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75pt;margin-top:178pt;height:45.75pt;width:103.3pt;z-index:251666432;mso-width-relative:page;mso-height-relative:page;" filled="f" stroked="f" coordsize="21600,21600" o:gfxdata="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2/uodNsAAAALAQAADwAAAAAAAAABACAAAAAiAAAA&#10;ZHJzL2Rvd25yZXYueG1sUEsBAhQAFAAAAAgAh07iQK3SLm49AgAAagQAAA4AAAAAAAAAAQAgAAAA&#10;KgEAAGRycy9lMm9Eb2MueG1sUEsFBgAAAAAGAAYAWQEAANkFAAAAAA==&#10;">
                <v:fill on="f" focussize="0,0"/>
                <v:stroke on="f" weight="0.5pt"/>
                <v:imagedata o:title=""/>
                <o:lock v:ext="edit" aspectratio="f"/>
                <v:textbox>
                  <w:txbxContent>
                    <w:p w14:paraId="5541F523">
                      <w:pPr>
                        <w:rPr>
                          <w:b/>
                          <w:bCs/>
                        </w:rPr>
                      </w:pPr>
                    </w:p>
                  </w:txbxContent>
                </v:textbox>
              </v:shape>
            </w:pict>
          </mc:Fallback>
        </mc:AlternateContent>
      </w:r>
      <w:r>
        <w:rPr>
          <w:b/>
          <w:color w:val="auto"/>
        </w:rPr>
        <w:t>附图1地理位置图</w:t>
      </w:r>
      <w:bookmarkEnd w:id="37"/>
      <w:bookmarkEnd w:id="38"/>
      <w:bookmarkEnd w:id="39"/>
      <w:bookmarkEnd w:id="40"/>
      <w:bookmarkStart w:id="43" w:name="_Toc7224"/>
    </w:p>
    <w:p w14:paraId="13141AD1">
      <w:pPr>
        <w:jc w:val="center"/>
        <w:rPr>
          <w:color w:val="auto"/>
        </w:rPr>
        <w:sectPr>
          <w:footerReference r:id="rId7" w:type="default"/>
          <w:pgSz w:w="16838" w:h="11906" w:orient="landscape"/>
          <w:pgMar w:top="1531" w:right="1701" w:bottom="1531" w:left="1701" w:header="851" w:footer="851" w:gutter="0"/>
          <w:cols w:space="720" w:num="1"/>
          <w:docGrid w:linePitch="312" w:charSpace="0"/>
        </w:sectPr>
      </w:pPr>
      <w:r>
        <w:rPr>
          <w:color w:val="auto"/>
        </w:rPr>
        <w:drawing>
          <wp:inline distT="0" distB="0" distL="114300" distR="114300">
            <wp:extent cx="7282180" cy="5106670"/>
            <wp:effectExtent l="0" t="0" r="13970" b="17780"/>
            <wp:docPr id="41" name="图片 9" descr="C:/Users/Administrator/Desktop/演示文稿1_01.png演示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 descr="C:/Users/Administrator/Desktop/演示文稿1_01.png演示文稿1_01"/>
                    <pic:cNvPicPr>
                      <a:picLocks noChangeAspect="1"/>
                    </pic:cNvPicPr>
                  </pic:nvPicPr>
                  <pic:blipFill>
                    <a:blip r:embed="rId84"/>
                    <a:srcRect l="8745" t="7870" r="25929" b="10691"/>
                    <a:stretch>
                      <a:fillRect/>
                    </a:stretch>
                  </pic:blipFill>
                  <pic:spPr>
                    <a:xfrm>
                      <a:off x="0" y="0"/>
                      <a:ext cx="7282180" cy="5106670"/>
                    </a:xfrm>
                    <a:prstGeom prst="rect">
                      <a:avLst/>
                    </a:prstGeom>
                    <a:noFill/>
                    <a:ln>
                      <a:noFill/>
                    </a:ln>
                  </pic:spPr>
                </pic:pic>
              </a:graphicData>
            </a:graphic>
          </wp:inline>
        </w:drawing>
      </w:r>
    </w:p>
    <w:bookmarkEnd w:id="43"/>
    <w:p w14:paraId="00CACDF5">
      <w:pPr>
        <w:jc w:val="center"/>
        <w:rPr>
          <w:color w:val="auto"/>
        </w:rPr>
      </w:pPr>
    </w:p>
    <w:bookmarkEnd w:id="41"/>
    <w:bookmarkEnd w:id="42"/>
    <w:p w14:paraId="0636B57F">
      <w:pPr>
        <w:spacing w:line="360" w:lineRule="auto"/>
        <w:jc w:val="left"/>
        <w:outlineLvl w:val="0"/>
        <w:rPr>
          <w:b/>
          <w:bCs/>
          <w:color w:val="auto"/>
        </w:rPr>
      </w:pPr>
      <w:bookmarkStart w:id="44" w:name="_Toc20325"/>
      <w:bookmarkStart w:id="45" w:name="_Toc5411"/>
      <w:r>
        <w:rPr>
          <w:b/>
          <w:bCs/>
          <w:color w:val="auto"/>
        </w:rPr>
        <w:t>附图2本项目平面布置图</w:t>
      </w:r>
      <w:bookmarkEnd w:id="44"/>
    </w:p>
    <w:p w14:paraId="17DB292E">
      <w:pPr>
        <w:jc w:val="center"/>
        <w:rPr>
          <w:color w:val="auto"/>
        </w:rPr>
        <w:sectPr>
          <w:footerReference r:id="rId8" w:type="default"/>
          <w:pgSz w:w="16838" w:h="11906" w:orient="landscape"/>
          <w:pgMar w:top="1531" w:right="1701" w:bottom="1531" w:left="1701" w:header="851" w:footer="851" w:gutter="0"/>
          <w:cols w:space="720" w:num="1"/>
          <w:docGrid w:linePitch="312" w:charSpace="0"/>
        </w:sectPr>
      </w:pPr>
      <w:r>
        <w:rPr>
          <w:color w:val="auto"/>
        </w:rPr>
        <w:drawing>
          <wp:inline distT="0" distB="0" distL="114300" distR="114300">
            <wp:extent cx="7151370" cy="4447540"/>
            <wp:effectExtent l="0" t="0" r="11430" b="10160"/>
            <wp:docPr id="5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8"/>
                    <pic:cNvPicPr>
                      <a:picLocks noChangeAspect="1"/>
                    </pic:cNvPicPr>
                  </pic:nvPicPr>
                  <pic:blipFill>
                    <a:blip r:embed="rId85"/>
                    <a:stretch>
                      <a:fillRect/>
                    </a:stretch>
                  </pic:blipFill>
                  <pic:spPr>
                    <a:xfrm>
                      <a:off x="0" y="0"/>
                      <a:ext cx="7151370" cy="4447540"/>
                    </a:xfrm>
                    <a:prstGeom prst="rect">
                      <a:avLst/>
                    </a:prstGeom>
                    <a:noFill/>
                    <a:ln>
                      <a:noFill/>
                    </a:ln>
                  </pic:spPr>
                </pic:pic>
              </a:graphicData>
            </a:graphic>
          </wp:inline>
        </w:drawing>
      </w:r>
    </w:p>
    <w:p w14:paraId="1A3A0C1C">
      <w:pPr>
        <w:pStyle w:val="25"/>
        <w:jc w:val="center"/>
        <w:rPr>
          <w:rFonts w:ascii="Times New Roman" w:hAnsi="Times New Roman" w:cs="Times New Roman"/>
          <w:color w:val="auto"/>
        </w:rPr>
      </w:pPr>
    </w:p>
    <w:p w14:paraId="2CD829B4">
      <w:pPr>
        <w:outlineLvl w:val="0"/>
        <w:rPr>
          <w:b/>
          <w:bCs/>
          <w:color w:val="auto"/>
        </w:rPr>
      </w:pPr>
      <w:bookmarkStart w:id="46" w:name="_Toc23421"/>
      <w:r>
        <w:rPr>
          <w:b/>
          <w:bCs/>
          <w:color w:val="auto"/>
        </w:rPr>
        <w:t>附图3环境保护目标分布图</w:t>
      </w:r>
      <w:bookmarkEnd w:id="45"/>
      <w:bookmarkEnd w:id="46"/>
    </w:p>
    <w:p w14:paraId="774E2FFC">
      <w:pPr>
        <w:jc w:val="center"/>
        <w:rPr>
          <w:color w:val="auto"/>
        </w:rPr>
      </w:pPr>
      <w:r>
        <w:rPr>
          <w:color w:val="auto"/>
        </w:rPr>
        <w:drawing>
          <wp:inline distT="0" distB="0" distL="114300" distR="114300">
            <wp:extent cx="6198870" cy="4834890"/>
            <wp:effectExtent l="0" t="0" r="11430" b="381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86"/>
                    <a:stretch>
                      <a:fillRect/>
                    </a:stretch>
                  </pic:blipFill>
                  <pic:spPr>
                    <a:xfrm>
                      <a:off x="0" y="0"/>
                      <a:ext cx="6198870" cy="4834890"/>
                    </a:xfrm>
                    <a:prstGeom prst="rect">
                      <a:avLst/>
                    </a:prstGeom>
                  </pic:spPr>
                </pic:pic>
              </a:graphicData>
            </a:graphic>
          </wp:inline>
        </w:drawing>
      </w:r>
    </w:p>
    <w:p w14:paraId="4182AC3A">
      <w:pPr>
        <w:rPr>
          <w:color w:val="auto"/>
        </w:rPr>
      </w:pPr>
      <w:r>
        <w:rPr>
          <w:color w:val="auto"/>
        </w:rPr>
        <w:br w:type="page"/>
      </w:r>
    </w:p>
    <w:p w14:paraId="754BEFB6">
      <w:pPr>
        <w:pStyle w:val="33"/>
        <w:ind w:firstLine="211"/>
        <w:jc w:val="left"/>
        <w:outlineLvl w:val="0"/>
        <w:rPr>
          <w:color w:val="auto"/>
        </w:rPr>
      </w:pPr>
      <w:bookmarkStart w:id="47" w:name="_Toc28538"/>
      <w:bookmarkStart w:id="48" w:name="_Toc4302"/>
      <w:r>
        <w:rPr>
          <w:b/>
          <w:color w:val="auto"/>
        </w:rPr>
        <w:t>附图4厂区四周环境现状</w:t>
      </w:r>
      <w:bookmarkEnd w:id="47"/>
      <w:bookmarkEnd w:id="48"/>
    </w:p>
    <w:tbl>
      <w:tblPr>
        <w:tblStyle w:val="36"/>
        <w:tblW w:w="9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2"/>
        <w:gridCol w:w="4701"/>
      </w:tblGrid>
      <w:tr w14:paraId="1932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492" w:type="dxa"/>
          </w:tcPr>
          <w:p w14:paraId="3514A666">
            <w:pPr>
              <w:pStyle w:val="54"/>
              <w:ind w:firstLine="0" w:firstLineChars="0"/>
              <w:jc w:val="left"/>
              <w:rPr>
                <w:rFonts w:ascii="Times New Roman" w:hAnsi="Times New Roman"/>
                <w:color w:val="auto"/>
              </w:rPr>
            </w:pPr>
            <w:r>
              <w:rPr>
                <w:rFonts w:ascii="Times New Roman" w:hAnsi="Times New Roman"/>
                <w:color w:val="auto"/>
              </w:rPr>
              <w:drawing>
                <wp:inline distT="0" distB="0" distL="114300" distR="114300">
                  <wp:extent cx="2072005" cy="2763520"/>
                  <wp:effectExtent l="0" t="0" r="17780" b="4445"/>
                  <wp:docPr id="42" name="图片 42" descr="东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东侧"/>
                          <pic:cNvPicPr>
                            <a:picLocks noChangeAspect="1"/>
                          </pic:cNvPicPr>
                        </pic:nvPicPr>
                        <pic:blipFill>
                          <a:blip r:embed="rId87"/>
                          <a:stretch>
                            <a:fillRect/>
                          </a:stretch>
                        </pic:blipFill>
                        <pic:spPr>
                          <a:xfrm rot="16200000">
                            <a:off x="0" y="0"/>
                            <a:ext cx="2072005" cy="2763520"/>
                          </a:xfrm>
                          <a:prstGeom prst="rect">
                            <a:avLst/>
                          </a:prstGeom>
                        </pic:spPr>
                      </pic:pic>
                    </a:graphicData>
                  </a:graphic>
                </wp:inline>
              </w:drawing>
            </w:r>
          </w:p>
        </w:tc>
        <w:tc>
          <w:tcPr>
            <w:tcW w:w="4701" w:type="dxa"/>
          </w:tcPr>
          <w:p w14:paraId="5DF8D124">
            <w:pPr>
              <w:pStyle w:val="54"/>
              <w:ind w:firstLine="0" w:firstLineChars="0"/>
              <w:jc w:val="left"/>
              <w:rPr>
                <w:rFonts w:ascii="Times New Roman" w:hAnsi="Times New Roman"/>
                <w:color w:val="auto"/>
              </w:rPr>
            </w:pPr>
            <w:r>
              <w:rPr>
                <w:rFonts w:ascii="Times New Roman" w:hAnsi="Times New Roman"/>
                <w:color w:val="auto"/>
              </w:rPr>
              <w:drawing>
                <wp:inline distT="0" distB="0" distL="114300" distR="114300">
                  <wp:extent cx="2041525" cy="2722245"/>
                  <wp:effectExtent l="0" t="0" r="1905" b="15875"/>
                  <wp:docPr id="45" name="图片 45" descr="南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南侧"/>
                          <pic:cNvPicPr>
                            <a:picLocks noChangeAspect="1"/>
                          </pic:cNvPicPr>
                        </pic:nvPicPr>
                        <pic:blipFill>
                          <a:blip r:embed="rId88"/>
                          <a:stretch>
                            <a:fillRect/>
                          </a:stretch>
                        </pic:blipFill>
                        <pic:spPr>
                          <a:xfrm rot="16200000">
                            <a:off x="0" y="0"/>
                            <a:ext cx="2041525" cy="2722245"/>
                          </a:xfrm>
                          <a:prstGeom prst="rect">
                            <a:avLst/>
                          </a:prstGeom>
                        </pic:spPr>
                      </pic:pic>
                    </a:graphicData>
                  </a:graphic>
                </wp:inline>
              </w:drawing>
            </w:r>
          </w:p>
        </w:tc>
      </w:tr>
      <w:tr w14:paraId="6A74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492" w:type="dxa"/>
          </w:tcPr>
          <w:p w14:paraId="5E7F8C83">
            <w:pPr>
              <w:pStyle w:val="54"/>
              <w:ind w:firstLine="0" w:firstLineChars="0"/>
              <w:jc w:val="center"/>
              <w:rPr>
                <w:rFonts w:ascii="Times New Roman" w:hAnsi="Times New Roman"/>
                <w:color w:val="auto"/>
              </w:rPr>
            </w:pPr>
            <w:r>
              <w:rPr>
                <w:rFonts w:ascii="Times New Roman" w:hAnsi="Times New Roman"/>
                <w:color w:val="auto"/>
              </w:rPr>
              <w:t>东侧隔空地为农田</w:t>
            </w:r>
          </w:p>
        </w:tc>
        <w:tc>
          <w:tcPr>
            <w:tcW w:w="4701" w:type="dxa"/>
          </w:tcPr>
          <w:p w14:paraId="54E5565F">
            <w:pPr>
              <w:pStyle w:val="54"/>
              <w:ind w:firstLine="0" w:firstLineChars="0"/>
              <w:jc w:val="center"/>
              <w:rPr>
                <w:rFonts w:ascii="Times New Roman" w:hAnsi="Times New Roman"/>
                <w:color w:val="auto"/>
              </w:rPr>
            </w:pPr>
            <w:r>
              <w:rPr>
                <w:rFonts w:ascii="Times New Roman" w:hAnsi="Times New Roman"/>
                <w:color w:val="auto"/>
              </w:rPr>
              <w:t>南侧隔</w:t>
            </w:r>
            <w:r>
              <w:rPr>
                <w:rFonts w:hint="eastAsia" w:ascii="Times New Roman" w:hAnsi="Times New Roman"/>
                <w:color w:val="auto"/>
              </w:rPr>
              <w:t>村路为农田</w:t>
            </w:r>
          </w:p>
        </w:tc>
      </w:tr>
      <w:tr w14:paraId="76A6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492" w:type="dxa"/>
          </w:tcPr>
          <w:p w14:paraId="42D3A648">
            <w:pPr>
              <w:pStyle w:val="54"/>
              <w:ind w:firstLine="0" w:firstLineChars="0"/>
              <w:jc w:val="left"/>
              <w:rPr>
                <w:rFonts w:ascii="Times New Roman" w:hAnsi="Times New Roman"/>
                <w:color w:val="auto"/>
              </w:rPr>
            </w:pPr>
            <w:r>
              <w:rPr>
                <w:rFonts w:ascii="Times New Roman" w:hAnsi="Times New Roman"/>
                <w:color w:val="auto"/>
              </w:rPr>
              <w:drawing>
                <wp:inline distT="0" distB="0" distL="114300" distR="114300">
                  <wp:extent cx="2023745" cy="2698750"/>
                  <wp:effectExtent l="0" t="0" r="6350" b="14605"/>
                  <wp:docPr id="47" name="图片 47" descr="西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西侧"/>
                          <pic:cNvPicPr>
                            <a:picLocks noChangeAspect="1"/>
                          </pic:cNvPicPr>
                        </pic:nvPicPr>
                        <pic:blipFill>
                          <a:blip r:embed="rId89"/>
                          <a:stretch>
                            <a:fillRect/>
                          </a:stretch>
                        </pic:blipFill>
                        <pic:spPr>
                          <a:xfrm rot="16200000">
                            <a:off x="0" y="0"/>
                            <a:ext cx="2023745" cy="2698750"/>
                          </a:xfrm>
                          <a:prstGeom prst="rect">
                            <a:avLst/>
                          </a:prstGeom>
                        </pic:spPr>
                      </pic:pic>
                    </a:graphicData>
                  </a:graphic>
                </wp:inline>
              </w:drawing>
            </w:r>
          </w:p>
        </w:tc>
        <w:tc>
          <w:tcPr>
            <w:tcW w:w="4701" w:type="dxa"/>
          </w:tcPr>
          <w:p w14:paraId="7985878C">
            <w:pPr>
              <w:pStyle w:val="54"/>
              <w:ind w:firstLine="0" w:firstLineChars="0"/>
              <w:jc w:val="left"/>
              <w:rPr>
                <w:rFonts w:ascii="Times New Roman" w:hAnsi="Times New Roman"/>
                <w:color w:val="auto"/>
              </w:rPr>
            </w:pPr>
            <w:r>
              <w:rPr>
                <w:rFonts w:ascii="Times New Roman" w:hAnsi="Times New Roman"/>
                <w:color w:val="auto"/>
              </w:rPr>
              <w:drawing>
                <wp:inline distT="0" distB="0" distL="114300" distR="114300">
                  <wp:extent cx="2133600" cy="2845435"/>
                  <wp:effectExtent l="0" t="0" r="12065" b="0"/>
                  <wp:docPr id="48" name="图片 48" descr="北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北侧"/>
                          <pic:cNvPicPr>
                            <a:picLocks noChangeAspect="1"/>
                          </pic:cNvPicPr>
                        </pic:nvPicPr>
                        <pic:blipFill>
                          <a:blip r:embed="rId90"/>
                          <a:stretch>
                            <a:fillRect/>
                          </a:stretch>
                        </pic:blipFill>
                        <pic:spPr>
                          <a:xfrm rot="16200000">
                            <a:off x="0" y="0"/>
                            <a:ext cx="2133600" cy="2845435"/>
                          </a:xfrm>
                          <a:prstGeom prst="rect">
                            <a:avLst/>
                          </a:prstGeom>
                        </pic:spPr>
                      </pic:pic>
                    </a:graphicData>
                  </a:graphic>
                </wp:inline>
              </w:drawing>
            </w:r>
          </w:p>
        </w:tc>
      </w:tr>
      <w:tr w14:paraId="6959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4492" w:type="dxa"/>
          </w:tcPr>
          <w:p w14:paraId="33DD1367">
            <w:pPr>
              <w:pStyle w:val="54"/>
              <w:ind w:firstLine="0" w:firstLineChars="0"/>
              <w:jc w:val="center"/>
              <w:rPr>
                <w:rFonts w:ascii="Times New Roman" w:hAnsi="Times New Roman"/>
                <w:color w:val="auto"/>
              </w:rPr>
            </w:pPr>
            <w:r>
              <w:rPr>
                <w:rFonts w:ascii="Times New Roman" w:hAnsi="Times New Roman"/>
                <w:color w:val="auto"/>
              </w:rPr>
              <w:t>西侧隔村路为</w:t>
            </w:r>
            <w:r>
              <w:rPr>
                <w:rFonts w:hint="eastAsia" w:ascii="Times New Roman" w:hAnsi="Times New Roman"/>
                <w:color w:val="auto"/>
              </w:rPr>
              <w:t>农田</w:t>
            </w:r>
          </w:p>
        </w:tc>
        <w:tc>
          <w:tcPr>
            <w:tcW w:w="4701" w:type="dxa"/>
          </w:tcPr>
          <w:p w14:paraId="4841AB00">
            <w:pPr>
              <w:pStyle w:val="54"/>
              <w:ind w:firstLine="0" w:firstLineChars="0"/>
              <w:jc w:val="center"/>
              <w:rPr>
                <w:rFonts w:ascii="Times New Roman" w:hAnsi="Times New Roman"/>
                <w:color w:val="auto"/>
              </w:rPr>
            </w:pPr>
            <w:r>
              <w:rPr>
                <w:rFonts w:ascii="Times New Roman" w:hAnsi="Times New Roman"/>
                <w:color w:val="auto"/>
              </w:rPr>
              <w:t>北侧为农田</w:t>
            </w:r>
          </w:p>
        </w:tc>
      </w:tr>
    </w:tbl>
    <w:p w14:paraId="471AB568">
      <w:pPr>
        <w:rPr>
          <w:color w:val="auto"/>
        </w:rPr>
      </w:pPr>
    </w:p>
    <w:sectPr>
      <w:footerReference r:id="rId9" w:type="default"/>
      <w:pgSz w:w="16838" w:h="11906" w:orient="landscape"/>
      <w:pgMar w:top="1531" w:right="1701" w:bottom="1531" w:left="170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7BF7A">
    <w:pPr>
      <w:pStyle w:val="2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731A2">
    <w:pPr>
      <w:pStyle w:val="2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FF568">
    <w:pPr>
      <w:pStyle w:val="23"/>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99CE8">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24</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64A99CE8">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24</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355E2">
    <w:pPr>
      <w:pStyle w:val="23"/>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BCCD1">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56</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5BBBCCD1">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56</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A8E32">
    <w:pPr>
      <w:pStyle w:val="23"/>
      <w:ind w:right="360" w:firstLine="36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2B685">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77</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6852B685">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77</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6FF83">
    <w:pPr>
      <w:pStyle w:val="23"/>
      <w:ind w:right="360" w:firstLine="36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2A0ED">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78</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EF2A0ED">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78</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174A3">
    <w:pPr>
      <w:pStyle w:val="23"/>
      <w:ind w:right="360" w:firstLine="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371A2">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80</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45371A2">
                    <w:pPr>
                      <w:pStyle w:val="23"/>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80</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7F3FD9"/>
    <w:multiLevelType w:val="singleLevel"/>
    <w:tmpl w:val="B97F3FD9"/>
    <w:lvl w:ilvl="0" w:tentative="0">
      <w:start w:val="1"/>
      <w:numFmt w:val="bullet"/>
      <w:pStyle w:val="20"/>
      <w:lvlText w:val=""/>
      <w:lvlJc w:val="left"/>
      <w:pPr>
        <w:tabs>
          <w:tab w:val="left" w:pos="2040"/>
        </w:tabs>
        <w:ind w:left="2040" w:hanging="360"/>
      </w:pPr>
      <w:rPr>
        <w:rFonts w:hint="default" w:ascii="Wingdings" w:hAnsi="Wingdings"/>
      </w:rPr>
    </w:lvl>
  </w:abstractNum>
  <w:abstractNum w:abstractNumId="1">
    <w:nsid w:val="C35A60AB"/>
    <w:multiLevelType w:val="singleLevel"/>
    <w:tmpl w:val="C35A60AB"/>
    <w:lvl w:ilvl="0" w:tentative="0">
      <w:start w:val="1"/>
      <w:numFmt w:val="bullet"/>
      <w:pStyle w:val="13"/>
      <w:lvlText w:val=""/>
      <w:lvlJc w:val="left"/>
      <w:pPr>
        <w:tabs>
          <w:tab w:val="left" w:pos="780"/>
        </w:tabs>
        <w:ind w:left="780" w:hanging="360"/>
      </w:pPr>
      <w:rPr>
        <w:rFonts w:hint="default" w:ascii="Wingdings" w:hAnsi="Wingdings"/>
      </w:rPr>
    </w:lvl>
  </w:abstractNum>
  <w:abstractNum w:abstractNumId="2">
    <w:nsid w:val="0D663E45"/>
    <w:multiLevelType w:val="multilevel"/>
    <w:tmpl w:val="0D663E45"/>
    <w:lvl w:ilvl="0" w:tentative="0">
      <w:start w:val="1"/>
      <w:numFmt w:val="decimal"/>
      <w:suff w:val="space"/>
      <w:lvlText w:val="%1"/>
      <w:lvlJc w:val="left"/>
      <w:pPr>
        <w:ind w:left="425" w:hanging="425"/>
      </w:pPr>
      <w:rPr>
        <w:rFonts w:hint="eastAsia"/>
      </w:rPr>
    </w:lvl>
    <w:lvl w:ilvl="1" w:tentative="0">
      <w:start w:val="1"/>
      <w:numFmt w:val="decimal"/>
      <w:suff w:val="space"/>
      <w:lvlText w:val="%1.%2"/>
      <w:lvlJc w:val="left"/>
      <w:pPr>
        <w:ind w:left="567" w:hanging="567"/>
      </w:pPr>
      <w:rPr>
        <w:rFonts w:hint="eastAsia"/>
      </w:rPr>
    </w:lvl>
    <w:lvl w:ilvl="2" w:tentative="0">
      <w:start w:val="1"/>
      <w:numFmt w:val="decimal"/>
      <w:suff w:val="space"/>
      <w:lvlText w:val="%1.%2.%3"/>
      <w:lvlJc w:val="left"/>
      <w:pPr>
        <w:ind w:left="709" w:hanging="709"/>
      </w:pPr>
      <w:rPr>
        <w:rFonts w:hint="eastAsia"/>
      </w:rPr>
    </w:lvl>
    <w:lvl w:ilvl="3" w:tentative="0">
      <w:start w:val="1"/>
      <w:numFmt w:val="decimal"/>
      <w:pStyle w:val="5"/>
      <w:lvlText w:val="%1.%2.%3.%4"/>
      <w:lvlJc w:val="left"/>
      <w:pPr>
        <w:tabs>
          <w:tab w:val="left" w:pos="0"/>
        </w:tabs>
        <w:ind w:left="630"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42158FC1"/>
    <w:multiLevelType w:val="singleLevel"/>
    <w:tmpl w:val="42158FC1"/>
    <w:lvl w:ilvl="0" w:tentative="0">
      <w:start w:val="2"/>
      <w:numFmt w:val="decimal"/>
      <w:suff w:val="nothing"/>
      <w:lvlText w:val="（%1）"/>
      <w:lvlJc w:val="left"/>
    </w:lvl>
  </w:abstractNum>
  <w:abstractNum w:abstractNumId="4">
    <w:nsid w:val="4E0E57C9"/>
    <w:multiLevelType w:val="singleLevel"/>
    <w:tmpl w:val="4E0E57C9"/>
    <w:lvl w:ilvl="0" w:tentative="0">
      <w:start w:val="4"/>
      <w:numFmt w:val="decimal"/>
      <w:suff w:val="nothing"/>
      <w:lvlText w:val="%1、"/>
      <w:lvlJc w:val="left"/>
      <w:rPr>
        <w:rFonts w:hint="default"/>
        <w:b/>
        <w:bCs/>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M2MzMzE5YjRmZTU0ZTMwMzRiYTE3NzI3NjA4YzUifQ=="/>
  </w:docVars>
  <w:rsids>
    <w:rsidRoot w:val="00172A27"/>
    <w:rsid w:val="000011FF"/>
    <w:rsid w:val="0004248A"/>
    <w:rsid w:val="00063200"/>
    <w:rsid w:val="000725CD"/>
    <w:rsid w:val="000A27CB"/>
    <w:rsid w:val="000E49E2"/>
    <w:rsid w:val="00172A27"/>
    <w:rsid w:val="002120EB"/>
    <w:rsid w:val="00250EED"/>
    <w:rsid w:val="002651BF"/>
    <w:rsid w:val="00273B80"/>
    <w:rsid w:val="00305CE7"/>
    <w:rsid w:val="0031779F"/>
    <w:rsid w:val="003C2384"/>
    <w:rsid w:val="003D21B2"/>
    <w:rsid w:val="003F29E4"/>
    <w:rsid w:val="00440241"/>
    <w:rsid w:val="005141A4"/>
    <w:rsid w:val="00584BC9"/>
    <w:rsid w:val="005F15AA"/>
    <w:rsid w:val="00694D38"/>
    <w:rsid w:val="006A2C06"/>
    <w:rsid w:val="006B0807"/>
    <w:rsid w:val="006F02F1"/>
    <w:rsid w:val="00702588"/>
    <w:rsid w:val="007622FE"/>
    <w:rsid w:val="00831C23"/>
    <w:rsid w:val="008A2F99"/>
    <w:rsid w:val="008C190F"/>
    <w:rsid w:val="00943895"/>
    <w:rsid w:val="0096323C"/>
    <w:rsid w:val="00976CF5"/>
    <w:rsid w:val="00976FD3"/>
    <w:rsid w:val="00A1181F"/>
    <w:rsid w:val="00A70CE2"/>
    <w:rsid w:val="00AB58C2"/>
    <w:rsid w:val="00B93B03"/>
    <w:rsid w:val="00C213E6"/>
    <w:rsid w:val="00CC46A7"/>
    <w:rsid w:val="00CE17F0"/>
    <w:rsid w:val="00D6180A"/>
    <w:rsid w:val="00D760AE"/>
    <w:rsid w:val="00D81603"/>
    <w:rsid w:val="00D848D6"/>
    <w:rsid w:val="00D8502D"/>
    <w:rsid w:val="00DB1D15"/>
    <w:rsid w:val="00DD39BE"/>
    <w:rsid w:val="00E05A67"/>
    <w:rsid w:val="00EC0290"/>
    <w:rsid w:val="00F409FE"/>
    <w:rsid w:val="00F8685F"/>
    <w:rsid w:val="00FA16D1"/>
    <w:rsid w:val="00FD223C"/>
    <w:rsid w:val="0116678C"/>
    <w:rsid w:val="011904B1"/>
    <w:rsid w:val="013D67D6"/>
    <w:rsid w:val="014632E9"/>
    <w:rsid w:val="018F0BBA"/>
    <w:rsid w:val="019D7EA6"/>
    <w:rsid w:val="01B57C13"/>
    <w:rsid w:val="01B97F5E"/>
    <w:rsid w:val="01DC1BB9"/>
    <w:rsid w:val="01E53D64"/>
    <w:rsid w:val="01E645F4"/>
    <w:rsid w:val="01E871EF"/>
    <w:rsid w:val="01FF1661"/>
    <w:rsid w:val="020F79CD"/>
    <w:rsid w:val="02393A77"/>
    <w:rsid w:val="023A0830"/>
    <w:rsid w:val="025476BF"/>
    <w:rsid w:val="025C1E8E"/>
    <w:rsid w:val="02965762"/>
    <w:rsid w:val="0298460C"/>
    <w:rsid w:val="02A86BB2"/>
    <w:rsid w:val="02B27E77"/>
    <w:rsid w:val="02B32C00"/>
    <w:rsid w:val="02B726F0"/>
    <w:rsid w:val="02E132C9"/>
    <w:rsid w:val="02F200B2"/>
    <w:rsid w:val="02FE2042"/>
    <w:rsid w:val="03065425"/>
    <w:rsid w:val="03122FF9"/>
    <w:rsid w:val="0314369E"/>
    <w:rsid w:val="031C69F7"/>
    <w:rsid w:val="03264B28"/>
    <w:rsid w:val="032A4E78"/>
    <w:rsid w:val="0334178C"/>
    <w:rsid w:val="033654A5"/>
    <w:rsid w:val="03412B4D"/>
    <w:rsid w:val="03525F75"/>
    <w:rsid w:val="03565CCB"/>
    <w:rsid w:val="0361091F"/>
    <w:rsid w:val="0368103A"/>
    <w:rsid w:val="036B4CD9"/>
    <w:rsid w:val="0375601B"/>
    <w:rsid w:val="03830824"/>
    <w:rsid w:val="03A622A7"/>
    <w:rsid w:val="03B55892"/>
    <w:rsid w:val="03C2759E"/>
    <w:rsid w:val="03C72872"/>
    <w:rsid w:val="03E65362"/>
    <w:rsid w:val="03E94B2B"/>
    <w:rsid w:val="03EC2FA8"/>
    <w:rsid w:val="03FB5A5B"/>
    <w:rsid w:val="03FF51A8"/>
    <w:rsid w:val="041D5D64"/>
    <w:rsid w:val="041E0DF8"/>
    <w:rsid w:val="04206073"/>
    <w:rsid w:val="042F0EFB"/>
    <w:rsid w:val="04342C14"/>
    <w:rsid w:val="043B7FCA"/>
    <w:rsid w:val="043E17A6"/>
    <w:rsid w:val="04461F7D"/>
    <w:rsid w:val="0460074E"/>
    <w:rsid w:val="04630A40"/>
    <w:rsid w:val="047C5A49"/>
    <w:rsid w:val="047D6348"/>
    <w:rsid w:val="048216AC"/>
    <w:rsid w:val="048D3646"/>
    <w:rsid w:val="04915F07"/>
    <w:rsid w:val="04AB3A0E"/>
    <w:rsid w:val="04AE505A"/>
    <w:rsid w:val="04C9752F"/>
    <w:rsid w:val="04EE2446"/>
    <w:rsid w:val="04F62459"/>
    <w:rsid w:val="04F70879"/>
    <w:rsid w:val="04F76DD4"/>
    <w:rsid w:val="050F5212"/>
    <w:rsid w:val="054933A7"/>
    <w:rsid w:val="054D10EA"/>
    <w:rsid w:val="05504B38"/>
    <w:rsid w:val="055923B7"/>
    <w:rsid w:val="056401E1"/>
    <w:rsid w:val="05651755"/>
    <w:rsid w:val="05681A7F"/>
    <w:rsid w:val="056C49FA"/>
    <w:rsid w:val="05803398"/>
    <w:rsid w:val="05A42F4A"/>
    <w:rsid w:val="05AB7BBE"/>
    <w:rsid w:val="05B04089"/>
    <w:rsid w:val="05B127AC"/>
    <w:rsid w:val="05BE78F1"/>
    <w:rsid w:val="05C72213"/>
    <w:rsid w:val="05D06823"/>
    <w:rsid w:val="05D07A7F"/>
    <w:rsid w:val="05D11D1B"/>
    <w:rsid w:val="05D7534F"/>
    <w:rsid w:val="060B24DC"/>
    <w:rsid w:val="061C7A97"/>
    <w:rsid w:val="063522A9"/>
    <w:rsid w:val="063D4CBA"/>
    <w:rsid w:val="06627C49"/>
    <w:rsid w:val="06655E1E"/>
    <w:rsid w:val="06754648"/>
    <w:rsid w:val="067568DE"/>
    <w:rsid w:val="067E02C3"/>
    <w:rsid w:val="069A34CB"/>
    <w:rsid w:val="069E4688"/>
    <w:rsid w:val="06B2148E"/>
    <w:rsid w:val="06BA02B4"/>
    <w:rsid w:val="06BA27AF"/>
    <w:rsid w:val="06BB3E7B"/>
    <w:rsid w:val="06D111A4"/>
    <w:rsid w:val="06D25D4A"/>
    <w:rsid w:val="06DD370F"/>
    <w:rsid w:val="06DD42A3"/>
    <w:rsid w:val="06F127CA"/>
    <w:rsid w:val="07232D4E"/>
    <w:rsid w:val="073836D3"/>
    <w:rsid w:val="073F114A"/>
    <w:rsid w:val="074D53D1"/>
    <w:rsid w:val="076218F6"/>
    <w:rsid w:val="07707311"/>
    <w:rsid w:val="07741536"/>
    <w:rsid w:val="07755C25"/>
    <w:rsid w:val="077C680D"/>
    <w:rsid w:val="07910674"/>
    <w:rsid w:val="07917FDC"/>
    <w:rsid w:val="07A91EDF"/>
    <w:rsid w:val="07B002E1"/>
    <w:rsid w:val="07B509B3"/>
    <w:rsid w:val="07C34568"/>
    <w:rsid w:val="07C84992"/>
    <w:rsid w:val="07C86708"/>
    <w:rsid w:val="07CA0B06"/>
    <w:rsid w:val="07CD02C0"/>
    <w:rsid w:val="07CF4E9D"/>
    <w:rsid w:val="07DF01B8"/>
    <w:rsid w:val="07E8792A"/>
    <w:rsid w:val="07EA2C20"/>
    <w:rsid w:val="07F63BAA"/>
    <w:rsid w:val="08147C9D"/>
    <w:rsid w:val="0817778D"/>
    <w:rsid w:val="081952B3"/>
    <w:rsid w:val="082857CB"/>
    <w:rsid w:val="082B571B"/>
    <w:rsid w:val="08356CC6"/>
    <w:rsid w:val="083A342A"/>
    <w:rsid w:val="08400A92"/>
    <w:rsid w:val="084A7AD8"/>
    <w:rsid w:val="084C7436"/>
    <w:rsid w:val="08500BB1"/>
    <w:rsid w:val="085202FC"/>
    <w:rsid w:val="085C7F21"/>
    <w:rsid w:val="085D33D8"/>
    <w:rsid w:val="08602958"/>
    <w:rsid w:val="08966904"/>
    <w:rsid w:val="08A64B8D"/>
    <w:rsid w:val="08AA1D90"/>
    <w:rsid w:val="08B5551E"/>
    <w:rsid w:val="08B576D2"/>
    <w:rsid w:val="08C568EA"/>
    <w:rsid w:val="08CB44E6"/>
    <w:rsid w:val="08E70994"/>
    <w:rsid w:val="08ED372A"/>
    <w:rsid w:val="08F01CD6"/>
    <w:rsid w:val="09000221"/>
    <w:rsid w:val="09016473"/>
    <w:rsid w:val="090E61F2"/>
    <w:rsid w:val="090F3D1C"/>
    <w:rsid w:val="09187370"/>
    <w:rsid w:val="09324868"/>
    <w:rsid w:val="0937099B"/>
    <w:rsid w:val="093C424A"/>
    <w:rsid w:val="09695826"/>
    <w:rsid w:val="09727371"/>
    <w:rsid w:val="097310FF"/>
    <w:rsid w:val="09875F67"/>
    <w:rsid w:val="099E259B"/>
    <w:rsid w:val="09A573B2"/>
    <w:rsid w:val="09AD5B9C"/>
    <w:rsid w:val="09B41737"/>
    <w:rsid w:val="09BF138A"/>
    <w:rsid w:val="09C6146A"/>
    <w:rsid w:val="09C726A2"/>
    <w:rsid w:val="09E0697D"/>
    <w:rsid w:val="09E54707"/>
    <w:rsid w:val="09F61177"/>
    <w:rsid w:val="0A006153"/>
    <w:rsid w:val="0A0E62F2"/>
    <w:rsid w:val="0A145B94"/>
    <w:rsid w:val="0A1C72DC"/>
    <w:rsid w:val="0A244E20"/>
    <w:rsid w:val="0A25783A"/>
    <w:rsid w:val="0A283AAC"/>
    <w:rsid w:val="0A301B2B"/>
    <w:rsid w:val="0A5401AE"/>
    <w:rsid w:val="0A786C09"/>
    <w:rsid w:val="0A7A0C07"/>
    <w:rsid w:val="0A8E475F"/>
    <w:rsid w:val="0A934758"/>
    <w:rsid w:val="0A9652E1"/>
    <w:rsid w:val="0A9A7B48"/>
    <w:rsid w:val="0AB90E98"/>
    <w:rsid w:val="0AD52656"/>
    <w:rsid w:val="0AEC3153"/>
    <w:rsid w:val="0AF7539B"/>
    <w:rsid w:val="0AFA372F"/>
    <w:rsid w:val="0AFF5E49"/>
    <w:rsid w:val="0B097861"/>
    <w:rsid w:val="0B262F2A"/>
    <w:rsid w:val="0B315722"/>
    <w:rsid w:val="0B381EF4"/>
    <w:rsid w:val="0B48482D"/>
    <w:rsid w:val="0B5A6EFC"/>
    <w:rsid w:val="0B7F62AE"/>
    <w:rsid w:val="0B885568"/>
    <w:rsid w:val="0B9470A7"/>
    <w:rsid w:val="0B986811"/>
    <w:rsid w:val="0BCB4B16"/>
    <w:rsid w:val="0BCB76EF"/>
    <w:rsid w:val="0BD414C0"/>
    <w:rsid w:val="0BD67394"/>
    <w:rsid w:val="0BF43CC0"/>
    <w:rsid w:val="0C0A0CE8"/>
    <w:rsid w:val="0C110E52"/>
    <w:rsid w:val="0C232BA4"/>
    <w:rsid w:val="0C2B05B0"/>
    <w:rsid w:val="0C2F6111"/>
    <w:rsid w:val="0C484448"/>
    <w:rsid w:val="0C4B197C"/>
    <w:rsid w:val="0C52404E"/>
    <w:rsid w:val="0C5A4160"/>
    <w:rsid w:val="0C5C1C12"/>
    <w:rsid w:val="0C5D1E05"/>
    <w:rsid w:val="0C640AE5"/>
    <w:rsid w:val="0C7D1DD1"/>
    <w:rsid w:val="0C7E04F6"/>
    <w:rsid w:val="0C8B02FF"/>
    <w:rsid w:val="0CA66724"/>
    <w:rsid w:val="0CBB04AB"/>
    <w:rsid w:val="0CBE467B"/>
    <w:rsid w:val="0CD218F6"/>
    <w:rsid w:val="0CD961FF"/>
    <w:rsid w:val="0CDF3393"/>
    <w:rsid w:val="0CE2480D"/>
    <w:rsid w:val="0CE42333"/>
    <w:rsid w:val="0CE4467C"/>
    <w:rsid w:val="0CFD1647"/>
    <w:rsid w:val="0D1117BF"/>
    <w:rsid w:val="0D1C448B"/>
    <w:rsid w:val="0D1C678C"/>
    <w:rsid w:val="0D2A3ABE"/>
    <w:rsid w:val="0D2E17D2"/>
    <w:rsid w:val="0D3E3B26"/>
    <w:rsid w:val="0D42705A"/>
    <w:rsid w:val="0D5C19EC"/>
    <w:rsid w:val="0D9033E3"/>
    <w:rsid w:val="0D971EF9"/>
    <w:rsid w:val="0DC161D1"/>
    <w:rsid w:val="0DDF60A2"/>
    <w:rsid w:val="0DDF6F9F"/>
    <w:rsid w:val="0DE325EB"/>
    <w:rsid w:val="0E413AC5"/>
    <w:rsid w:val="0E4E687D"/>
    <w:rsid w:val="0E4F7176"/>
    <w:rsid w:val="0E707BF7"/>
    <w:rsid w:val="0E863DEA"/>
    <w:rsid w:val="0E926D4C"/>
    <w:rsid w:val="0E9F31C9"/>
    <w:rsid w:val="0EC817E1"/>
    <w:rsid w:val="0ECB340D"/>
    <w:rsid w:val="0ED62150"/>
    <w:rsid w:val="0EDC7981"/>
    <w:rsid w:val="0EDD34DE"/>
    <w:rsid w:val="0F040A6B"/>
    <w:rsid w:val="0F1B7AF0"/>
    <w:rsid w:val="0F294935"/>
    <w:rsid w:val="0F2A5EBD"/>
    <w:rsid w:val="0F504CE9"/>
    <w:rsid w:val="0F5D2661"/>
    <w:rsid w:val="0F601A19"/>
    <w:rsid w:val="0F6129AE"/>
    <w:rsid w:val="0F6E2388"/>
    <w:rsid w:val="0F7166FB"/>
    <w:rsid w:val="0F762090"/>
    <w:rsid w:val="0F85236A"/>
    <w:rsid w:val="0F875D14"/>
    <w:rsid w:val="0F881E00"/>
    <w:rsid w:val="0F942E19"/>
    <w:rsid w:val="0FAB155C"/>
    <w:rsid w:val="0FD25AEF"/>
    <w:rsid w:val="0FDA5278"/>
    <w:rsid w:val="0FDB555F"/>
    <w:rsid w:val="0FDC5544"/>
    <w:rsid w:val="0FE20D7C"/>
    <w:rsid w:val="0FEE34C9"/>
    <w:rsid w:val="0FF22FB9"/>
    <w:rsid w:val="0FF94348"/>
    <w:rsid w:val="0FFF1232"/>
    <w:rsid w:val="101734A1"/>
    <w:rsid w:val="101B6EFC"/>
    <w:rsid w:val="103A04BC"/>
    <w:rsid w:val="103A1F10"/>
    <w:rsid w:val="104C49AD"/>
    <w:rsid w:val="1064174C"/>
    <w:rsid w:val="10790FE5"/>
    <w:rsid w:val="107C6D27"/>
    <w:rsid w:val="109E5E6D"/>
    <w:rsid w:val="10BE2E9B"/>
    <w:rsid w:val="10BE4C49"/>
    <w:rsid w:val="10C7183F"/>
    <w:rsid w:val="10C9531F"/>
    <w:rsid w:val="10E84F81"/>
    <w:rsid w:val="10EC5C5A"/>
    <w:rsid w:val="10F469DD"/>
    <w:rsid w:val="110867E0"/>
    <w:rsid w:val="1109296B"/>
    <w:rsid w:val="11357601"/>
    <w:rsid w:val="116D086E"/>
    <w:rsid w:val="118842BB"/>
    <w:rsid w:val="1194488D"/>
    <w:rsid w:val="119B176A"/>
    <w:rsid w:val="11AB0F1C"/>
    <w:rsid w:val="11B103D0"/>
    <w:rsid w:val="11BB0E58"/>
    <w:rsid w:val="11C56AAF"/>
    <w:rsid w:val="11CD3EE3"/>
    <w:rsid w:val="11D5049D"/>
    <w:rsid w:val="11DA7587"/>
    <w:rsid w:val="11E20E0C"/>
    <w:rsid w:val="11E608FC"/>
    <w:rsid w:val="11EB7CC0"/>
    <w:rsid w:val="11F22FD3"/>
    <w:rsid w:val="120D1D74"/>
    <w:rsid w:val="12204B8B"/>
    <w:rsid w:val="12240E17"/>
    <w:rsid w:val="122F049C"/>
    <w:rsid w:val="12377C77"/>
    <w:rsid w:val="123D1830"/>
    <w:rsid w:val="12647A72"/>
    <w:rsid w:val="12737421"/>
    <w:rsid w:val="12887AF9"/>
    <w:rsid w:val="12B22DFF"/>
    <w:rsid w:val="12B57855"/>
    <w:rsid w:val="12C10042"/>
    <w:rsid w:val="12EC7849"/>
    <w:rsid w:val="12FD2AB7"/>
    <w:rsid w:val="130B1D43"/>
    <w:rsid w:val="131F5307"/>
    <w:rsid w:val="132109CE"/>
    <w:rsid w:val="13220E71"/>
    <w:rsid w:val="132C66F5"/>
    <w:rsid w:val="136A2E67"/>
    <w:rsid w:val="13830454"/>
    <w:rsid w:val="13C00E46"/>
    <w:rsid w:val="13D5217F"/>
    <w:rsid w:val="140C03C2"/>
    <w:rsid w:val="140D0E07"/>
    <w:rsid w:val="14162226"/>
    <w:rsid w:val="14162B0F"/>
    <w:rsid w:val="142E1B4C"/>
    <w:rsid w:val="14303DA6"/>
    <w:rsid w:val="14483D22"/>
    <w:rsid w:val="144A39ED"/>
    <w:rsid w:val="14542E95"/>
    <w:rsid w:val="14565CA3"/>
    <w:rsid w:val="14733F9D"/>
    <w:rsid w:val="1479388A"/>
    <w:rsid w:val="14824672"/>
    <w:rsid w:val="14A95C11"/>
    <w:rsid w:val="14B161C4"/>
    <w:rsid w:val="14B21D93"/>
    <w:rsid w:val="14B5553D"/>
    <w:rsid w:val="14C75671"/>
    <w:rsid w:val="14D818E7"/>
    <w:rsid w:val="14E34CFE"/>
    <w:rsid w:val="14E51352"/>
    <w:rsid w:val="14F90661"/>
    <w:rsid w:val="150037A8"/>
    <w:rsid w:val="150712B5"/>
    <w:rsid w:val="15082937"/>
    <w:rsid w:val="1509746F"/>
    <w:rsid w:val="15103A81"/>
    <w:rsid w:val="151E73B2"/>
    <w:rsid w:val="152446DB"/>
    <w:rsid w:val="15326E2E"/>
    <w:rsid w:val="153812C2"/>
    <w:rsid w:val="15555F4F"/>
    <w:rsid w:val="1562473D"/>
    <w:rsid w:val="156C736A"/>
    <w:rsid w:val="1585042C"/>
    <w:rsid w:val="159B19FD"/>
    <w:rsid w:val="159F546F"/>
    <w:rsid w:val="15A47B04"/>
    <w:rsid w:val="15AD0B11"/>
    <w:rsid w:val="15AF76A1"/>
    <w:rsid w:val="15CA22E2"/>
    <w:rsid w:val="15F52A63"/>
    <w:rsid w:val="1604702E"/>
    <w:rsid w:val="161F262E"/>
    <w:rsid w:val="16241E2A"/>
    <w:rsid w:val="163D4862"/>
    <w:rsid w:val="16471E92"/>
    <w:rsid w:val="16761F5C"/>
    <w:rsid w:val="169828CD"/>
    <w:rsid w:val="16AB475D"/>
    <w:rsid w:val="16B94831"/>
    <w:rsid w:val="16E32AC7"/>
    <w:rsid w:val="16E66C6E"/>
    <w:rsid w:val="16FF205F"/>
    <w:rsid w:val="17005E29"/>
    <w:rsid w:val="170653B0"/>
    <w:rsid w:val="171958DD"/>
    <w:rsid w:val="17201509"/>
    <w:rsid w:val="17217BBD"/>
    <w:rsid w:val="172F064F"/>
    <w:rsid w:val="17377504"/>
    <w:rsid w:val="174877D6"/>
    <w:rsid w:val="174F484D"/>
    <w:rsid w:val="17503CF1"/>
    <w:rsid w:val="175E5149"/>
    <w:rsid w:val="1776514E"/>
    <w:rsid w:val="178E7A6B"/>
    <w:rsid w:val="1793338A"/>
    <w:rsid w:val="17977E4F"/>
    <w:rsid w:val="179C1FE7"/>
    <w:rsid w:val="179F5682"/>
    <w:rsid w:val="17B80499"/>
    <w:rsid w:val="17BC040C"/>
    <w:rsid w:val="17BC189D"/>
    <w:rsid w:val="17D179AA"/>
    <w:rsid w:val="17F84EE5"/>
    <w:rsid w:val="17F92A0B"/>
    <w:rsid w:val="180B10BC"/>
    <w:rsid w:val="1816146D"/>
    <w:rsid w:val="182B52BA"/>
    <w:rsid w:val="1835515B"/>
    <w:rsid w:val="18397E11"/>
    <w:rsid w:val="18474E99"/>
    <w:rsid w:val="184D2BCE"/>
    <w:rsid w:val="186528AD"/>
    <w:rsid w:val="188243DB"/>
    <w:rsid w:val="188D022E"/>
    <w:rsid w:val="18A132D7"/>
    <w:rsid w:val="18A21388"/>
    <w:rsid w:val="18A45F03"/>
    <w:rsid w:val="18DA428E"/>
    <w:rsid w:val="18E51EF0"/>
    <w:rsid w:val="190F1221"/>
    <w:rsid w:val="191B7971"/>
    <w:rsid w:val="192B3098"/>
    <w:rsid w:val="192D32CA"/>
    <w:rsid w:val="19320572"/>
    <w:rsid w:val="19451F34"/>
    <w:rsid w:val="19675B8F"/>
    <w:rsid w:val="196B3644"/>
    <w:rsid w:val="19802000"/>
    <w:rsid w:val="199B2808"/>
    <w:rsid w:val="19B149FA"/>
    <w:rsid w:val="19B7492C"/>
    <w:rsid w:val="19E020D4"/>
    <w:rsid w:val="19EA4D01"/>
    <w:rsid w:val="19FD4A34"/>
    <w:rsid w:val="19FE1985"/>
    <w:rsid w:val="1A355C89"/>
    <w:rsid w:val="1A4C36CB"/>
    <w:rsid w:val="1A550118"/>
    <w:rsid w:val="1A5B3A4F"/>
    <w:rsid w:val="1A630E17"/>
    <w:rsid w:val="1A6360F1"/>
    <w:rsid w:val="1A6870C8"/>
    <w:rsid w:val="1A897106"/>
    <w:rsid w:val="1A8B7526"/>
    <w:rsid w:val="1AA475A6"/>
    <w:rsid w:val="1AB01AA7"/>
    <w:rsid w:val="1ACD58E4"/>
    <w:rsid w:val="1ACE1D74"/>
    <w:rsid w:val="1AD00BF4"/>
    <w:rsid w:val="1AF61D19"/>
    <w:rsid w:val="1B0F6A72"/>
    <w:rsid w:val="1B193602"/>
    <w:rsid w:val="1B2B737F"/>
    <w:rsid w:val="1B5569AC"/>
    <w:rsid w:val="1B5E7B4F"/>
    <w:rsid w:val="1B643F50"/>
    <w:rsid w:val="1B7B0234"/>
    <w:rsid w:val="1B923FB5"/>
    <w:rsid w:val="1B9969DF"/>
    <w:rsid w:val="1B9B5D47"/>
    <w:rsid w:val="1B9B600E"/>
    <w:rsid w:val="1BAA234B"/>
    <w:rsid w:val="1BB87E40"/>
    <w:rsid w:val="1BF11741"/>
    <w:rsid w:val="1BFA6329"/>
    <w:rsid w:val="1BFB2DBE"/>
    <w:rsid w:val="1C062BD8"/>
    <w:rsid w:val="1C1058BD"/>
    <w:rsid w:val="1C1E1B3C"/>
    <w:rsid w:val="1C2D7FB3"/>
    <w:rsid w:val="1C41105D"/>
    <w:rsid w:val="1C4F0E85"/>
    <w:rsid w:val="1C6074FD"/>
    <w:rsid w:val="1C6078B6"/>
    <w:rsid w:val="1C6C68B8"/>
    <w:rsid w:val="1C731E9C"/>
    <w:rsid w:val="1C752FA8"/>
    <w:rsid w:val="1C760ACE"/>
    <w:rsid w:val="1C800036"/>
    <w:rsid w:val="1C9244B6"/>
    <w:rsid w:val="1C9A0B26"/>
    <w:rsid w:val="1CA43C68"/>
    <w:rsid w:val="1CC57360"/>
    <w:rsid w:val="1CDF6B52"/>
    <w:rsid w:val="1CE1063D"/>
    <w:rsid w:val="1CEE22A2"/>
    <w:rsid w:val="1CF32970"/>
    <w:rsid w:val="1D05389B"/>
    <w:rsid w:val="1D0962DE"/>
    <w:rsid w:val="1D186C81"/>
    <w:rsid w:val="1D25050C"/>
    <w:rsid w:val="1D323153"/>
    <w:rsid w:val="1D436C02"/>
    <w:rsid w:val="1D4D182F"/>
    <w:rsid w:val="1D7E40DE"/>
    <w:rsid w:val="1D8B1576"/>
    <w:rsid w:val="1DA87DC9"/>
    <w:rsid w:val="1DBC4C07"/>
    <w:rsid w:val="1DC6338F"/>
    <w:rsid w:val="1DD9245C"/>
    <w:rsid w:val="1E0A5972"/>
    <w:rsid w:val="1E0F45E2"/>
    <w:rsid w:val="1E135CC5"/>
    <w:rsid w:val="1E3D5039"/>
    <w:rsid w:val="1E5B77BA"/>
    <w:rsid w:val="1E6373F8"/>
    <w:rsid w:val="1E997892"/>
    <w:rsid w:val="1EB65D77"/>
    <w:rsid w:val="1EBF050A"/>
    <w:rsid w:val="1EE45D47"/>
    <w:rsid w:val="1EE66CA9"/>
    <w:rsid w:val="1EE709B0"/>
    <w:rsid w:val="1EF51396"/>
    <w:rsid w:val="1F073C5F"/>
    <w:rsid w:val="1F277F3D"/>
    <w:rsid w:val="1F38206B"/>
    <w:rsid w:val="1F38650F"/>
    <w:rsid w:val="1F546236"/>
    <w:rsid w:val="1F612539"/>
    <w:rsid w:val="1F7A08D5"/>
    <w:rsid w:val="1F7A3CB3"/>
    <w:rsid w:val="1F843502"/>
    <w:rsid w:val="1F925C1F"/>
    <w:rsid w:val="1FAA3FE4"/>
    <w:rsid w:val="1FB9412A"/>
    <w:rsid w:val="1FBD3862"/>
    <w:rsid w:val="1FBD4921"/>
    <w:rsid w:val="1FCA638A"/>
    <w:rsid w:val="1FCE6554"/>
    <w:rsid w:val="1FD41A8A"/>
    <w:rsid w:val="1FEA7809"/>
    <w:rsid w:val="201B6A96"/>
    <w:rsid w:val="201E7FFB"/>
    <w:rsid w:val="20270A5D"/>
    <w:rsid w:val="20356F3C"/>
    <w:rsid w:val="20755DD0"/>
    <w:rsid w:val="208438D2"/>
    <w:rsid w:val="208A7CD2"/>
    <w:rsid w:val="208D5C91"/>
    <w:rsid w:val="208F7A8A"/>
    <w:rsid w:val="20933547"/>
    <w:rsid w:val="209C5930"/>
    <w:rsid w:val="20B63B8F"/>
    <w:rsid w:val="20C056D4"/>
    <w:rsid w:val="20D64231"/>
    <w:rsid w:val="20D83371"/>
    <w:rsid w:val="20E17375"/>
    <w:rsid w:val="20E524BD"/>
    <w:rsid w:val="20F40301"/>
    <w:rsid w:val="20F701FA"/>
    <w:rsid w:val="20F72FCA"/>
    <w:rsid w:val="210040D4"/>
    <w:rsid w:val="21075DA5"/>
    <w:rsid w:val="21084D17"/>
    <w:rsid w:val="211F26C7"/>
    <w:rsid w:val="21224D81"/>
    <w:rsid w:val="21355B5D"/>
    <w:rsid w:val="213C25E1"/>
    <w:rsid w:val="213D4EB6"/>
    <w:rsid w:val="21521CA6"/>
    <w:rsid w:val="215E7734"/>
    <w:rsid w:val="217742D8"/>
    <w:rsid w:val="218562F2"/>
    <w:rsid w:val="21914F4E"/>
    <w:rsid w:val="219E4D4F"/>
    <w:rsid w:val="21A67B45"/>
    <w:rsid w:val="21AA4BCD"/>
    <w:rsid w:val="21B07155"/>
    <w:rsid w:val="21B34857"/>
    <w:rsid w:val="21B55A5D"/>
    <w:rsid w:val="21BF3B5D"/>
    <w:rsid w:val="21EE4DAA"/>
    <w:rsid w:val="21FA5D52"/>
    <w:rsid w:val="21FD4681"/>
    <w:rsid w:val="220509B7"/>
    <w:rsid w:val="2225279A"/>
    <w:rsid w:val="222673C0"/>
    <w:rsid w:val="224376A4"/>
    <w:rsid w:val="22513B6F"/>
    <w:rsid w:val="22611DE0"/>
    <w:rsid w:val="2272321E"/>
    <w:rsid w:val="227819DE"/>
    <w:rsid w:val="228A52D3"/>
    <w:rsid w:val="228D0920"/>
    <w:rsid w:val="22953AEA"/>
    <w:rsid w:val="22AC524A"/>
    <w:rsid w:val="22BD1294"/>
    <w:rsid w:val="22D0536B"/>
    <w:rsid w:val="22D24584"/>
    <w:rsid w:val="22E80541"/>
    <w:rsid w:val="22F031F2"/>
    <w:rsid w:val="22F369D5"/>
    <w:rsid w:val="22F4341E"/>
    <w:rsid w:val="22F51FAC"/>
    <w:rsid w:val="231D7560"/>
    <w:rsid w:val="231F4397"/>
    <w:rsid w:val="232D0468"/>
    <w:rsid w:val="23595906"/>
    <w:rsid w:val="235D29C7"/>
    <w:rsid w:val="23647381"/>
    <w:rsid w:val="23743A7A"/>
    <w:rsid w:val="23A6613D"/>
    <w:rsid w:val="23B3128C"/>
    <w:rsid w:val="23B56380"/>
    <w:rsid w:val="23BC326A"/>
    <w:rsid w:val="23E67A1B"/>
    <w:rsid w:val="23E9602A"/>
    <w:rsid w:val="23EE24B9"/>
    <w:rsid w:val="242F5EE0"/>
    <w:rsid w:val="24351B60"/>
    <w:rsid w:val="24416C5A"/>
    <w:rsid w:val="24594A1C"/>
    <w:rsid w:val="2459739C"/>
    <w:rsid w:val="245C1981"/>
    <w:rsid w:val="246F54CD"/>
    <w:rsid w:val="247A77F6"/>
    <w:rsid w:val="247C0C4C"/>
    <w:rsid w:val="2485290C"/>
    <w:rsid w:val="24A974EB"/>
    <w:rsid w:val="24B41C1B"/>
    <w:rsid w:val="24B460E1"/>
    <w:rsid w:val="24C5739B"/>
    <w:rsid w:val="24CA650D"/>
    <w:rsid w:val="24D87C4A"/>
    <w:rsid w:val="24DF4CA5"/>
    <w:rsid w:val="25042F35"/>
    <w:rsid w:val="252B7B5C"/>
    <w:rsid w:val="253D3E45"/>
    <w:rsid w:val="25495689"/>
    <w:rsid w:val="254968C3"/>
    <w:rsid w:val="2589549B"/>
    <w:rsid w:val="258B24DE"/>
    <w:rsid w:val="258C2B25"/>
    <w:rsid w:val="25A533D7"/>
    <w:rsid w:val="25A8314A"/>
    <w:rsid w:val="25B95B60"/>
    <w:rsid w:val="25CA1F2F"/>
    <w:rsid w:val="25D725DE"/>
    <w:rsid w:val="25F153F9"/>
    <w:rsid w:val="25F7724B"/>
    <w:rsid w:val="25FA101D"/>
    <w:rsid w:val="26020F16"/>
    <w:rsid w:val="261904D2"/>
    <w:rsid w:val="26215F4F"/>
    <w:rsid w:val="26217CFD"/>
    <w:rsid w:val="262B1F12"/>
    <w:rsid w:val="26362F51"/>
    <w:rsid w:val="26456F03"/>
    <w:rsid w:val="26545306"/>
    <w:rsid w:val="265C3D07"/>
    <w:rsid w:val="265D4D42"/>
    <w:rsid w:val="26766C32"/>
    <w:rsid w:val="2677791D"/>
    <w:rsid w:val="267859A5"/>
    <w:rsid w:val="268527A3"/>
    <w:rsid w:val="269229A8"/>
    <w:rsid w:val="26A5092E"/>
    <w:rsid w:val="26D23852"/>
    <w:rsid w:val="26DD1E76"/>
    <w:rsid w:val="26DE5BEE"/>
    <w:rsid w:val="26DF1937"/>
    <w:rsid w:val="26E56163"/>
    <w:rsid w:val="270513CC"/>
    <w:rsid w:val="271A7F1C"/>
    <w:rsid w:val="27225A29"/>
    <w:rsid w:val="272A2BE1"/>
    <w:rsid w:val="272B0C7B"/>
    <w:rsid w:val="272C6D76"/>
    <w:rsid w:val="274C2B57"/>
    <w:rsid w:val="274E68CF"/>
    <w:rsid w:val="27730303"/>
    <w:rsid w:val="27764078"/>
    <w:rsid w:val="27B04EA2"/>
    <w:rsid w:val="27B16EF7"/>
    <w:rsid w:val="27C6422B"/>
    <w:rsid w:val="27D1465E"/>
    <w:rsid w:val="27D176F1"/>
    <w:rsid w:val="27D47CC4"/>
    <w:rsid w:val="27DF5779"/>
    <w:rsid w:val="27DF7C2B"/>
    <w:rsid w:val="27E94D69"/>
    <w:rsid w:val="27F60D15"/>
    <w:rsid w:val="28086501"/>
    <w:rsid w:val="280C0339"/>
    <w:rsid w:val="28127485"/>
    <w:rsid w:val="2818648E"/>
    <w:rsid w:val="281E30DC"/>
    <w:rsid w:val="28234431"/>
    <w:rsid w:val="28304227"/>
    <w:rsid w:val="28464A49"/>
    <w:rsid w:val="284A56C6"/>
    <w:rsid w:val="285000BD"/>
    <w:rsid w:val="285A38FC"/>
    <w:rsid w:val="286914E7"/>
    <w:rsid w:val="2870290D"/>
    <w:rsid w:val="287352DC"/>
    <w:rsid w:val="289444BD"/>
    <w:rsid w:val="28982582"/>
    <w:rsid w:val="289B5A9F"/>
    <w:rsid w:val="289C28CA"/>
    <w:rsid w:val="28AA249C"/>
    <w:rsid w:val="28B33BAD"/>
    <w:rsid w:val="28BC42CC"/>
    <w:rsid w:val="28C31E6D"/>
    <w:rsid w:val="28D325FB"/>
    <w:rsid w:val="28F547A1"/>
    <w:rsid w:val="2903193C"/>
    <w:rsid w:val="29061A17"/>
    <w:rsid w:val="290C07F0"/>
    <w:rsid w:val="290D4B5D"/>
    <w:rsid w:val="29101E93"/>
    <w:rsid w:val="291853E7"/>
    <w:rsid w:val="2921312B"/>
    <w:rsid w:val="29252A6F"/>
    <w:rsid w:val="293672E8"/>
    <w:rsid w:val="293852C2"/>
    <w:rsid w:val="293D746B"/>
    <w:rsid w:val="29572373"/>
    <w:rsid w:val="295C5A5F"/>
    <w:rsid w:val="296B2169"/>
    <w:rsid w:val="296F6AE0"/>
    <w:rsid w:val="29727017"/>
    <w:rsid w:val="2984482A"/>
    <w:rsid w:val="29AB77DD"/>
    <w:rsid w:val="29BB5D72"/>
    <w:rsid w:val="29C7407A"/>
    <w:rsid w:val="29CC7F7F"/>
    <w:rsid w:val="29D22436"/>
    <w:rsid w:val="29D4102F"/>
    <w:rsid w:val="29DB01C2"/>
    <w:rsid w:val="29F64ED0"/>
    <w:rsid w:val="2A002376"/>
    <w:rsid w:val="2A0177EC"/>
    <w:rsid w:val="2A0F1BF2"/>
    <w:rsid w:val="2A11626C"/>
    <w:rsid w:val="2A1410FD"/>
    <w:rsid w:val="2A1D31F1"/>
    <w:rsid w:val="2A224043"/>
    <w:rsid w:val="2A273408"/>
    <w:rsid w:val="2A300A37"/>
    <w:rsid w:val="2A341F24"/>
    <w:rsid w:val="2A5F4540"/>
    <w:rsid w:val="2A625EEB"/>
    <w:rsid w:val="2A7A4F03"/>
    <w:rsid w:val="2AA50EFC"/>
    <w:rsid w:val="2ACF3CEB"/>
    <w:rsid w:val="2AD0584D"/>
    <w:rsid w:val="2AD82639"/>
    <w:rsid w:val="2AF325AB"/>
    <w:rsid w:val="2AFB0A91"/>
    <w:rsid w:val="2AFB4B18"/>
    <w:rsid w:val="2AFF2EF6"/>
    <w:rsid w:val="2AFF60B4"/>
    <w:rsid w:val="2B1F1EDD"/>
    <w:rsid w:val="2B25203D"/>
    <w:rsid w:val="2B2A1C67"/>
    <w:rsid w:val="2B365FF8"/>
    <w:rsid w:val="2B3A531B"/>
    <w:rsid w:val="2B447161"/>
    <w:rsid w:val="2B483D44"/>
    <w:rsid w:val="2B552BDC"/>
    <w:rsid w:val="2B766E03"/>
    <w:rsid w:val="2B814238"/>
    <w:rsid w:val="2B834F5F"/>
    <w:rsid w:val="2B8E1625"/>
    <w:rsid w:val="2B8F395A"/>
    <w:rsid w:val="2B9138B9"/>
    <w:rsid w:val="2BAD66FB"/>
    <w:rsid w:val="2BC201C9"/>
    <w:rsid w:val="2BDC4ABF"/>
    <w:rsid w:val="2BF26637"/>
    <w:rsid w:val="2BF612E4"/>
    <w:rsid w:val="2BFC6415"/>
    <w:rsid w:val="2C002570"/>
    <w:rsid w:val="2C1F083A"/>
    <w:rsid w:val="2C212804"/>
    <w:rsid w:val="2C271DE5"/>
    <w:rsid w:val="2C287932"/>
    <w:rsid w:val="2C47098C"/>
    <w:rsid w:val="2C6B12E3"/>
    <w:rsid w:val="2C800E8F"/>
    <w:rsid w:val="2C9B4422"/>
    <w:rsid w:val="2CA134DB"/>
    <w:rsid w:val="2CAB6572"/>
    <w:rsid w:val="2CD520DA"/>
    <w:rsid w:val="2D00218E"/>
    <w:rsid w:val="2D193C99"/>
    <w:rsid w:val="2D2D25FE"/>
    <w:rsid w:val="2D393B7E"/>
    <w:rsid w:val="2D3E3216"/>
    <w:rsid w:val="2D5F21AE"/>
    <w:rsid w:val="2D6949AB"/>
    <w:rsid w:val="2DA2379A"/>
    <w:rsid w:val="2DA52174"/>
    <w:rsid w:val="2DAC1F58"/>
    <w:rsid w:val="2DB2482A"/>
    <w:rsid w:val="2DDB3709"/>
    <w:rsid w:val="2DE147A0"/>
    <w:rsid w:val="2DF31F7F"/>
    <w:rsid w:val="2DF41B83"/>
    <w:rsid w:val="2DF45CF7"/>
    <w:rsid w:val="2DF852DB"/>
    <w:rsid w:val="2E221380"/>
    <w:rsid w:val="2E350EB1"/>
    <w:rsid w:val="2E3D31FA"/>
    <w:rsid w:val="2E485486"/>
    <w:rsid w:val="2E5801A2"/>
    <w:rsid w:val="2E5E50BC"/>
    <w:rsid w:val="2E6537D4"/>
    <w:rsid w:val="2E737B77"/>
    <w:rsid w:val="2E756E38"/>
    <w:rsid w:val="2E8F3DCE"/>
    <w:rsid w:val="2EA95F61"/>
    <w:rsid w:val="2EBD3586"/>
    <w:rsid w:val="2ED36A75"/>
    <w:rsid w:val="2EDC2C37"/>
    <w:rsid w:val="2EDE49DD"/>
    <w:rsid w:val="2EE97A93"/>
    <w:rsid w:val="2F137F56"/>
    <w:rsid w:val="2F192DA2"/>
    <w:rsid w:val="2F1B5EF5"/>
    <w:rsid w:val="2F2859BB"/>
    <w:rsid w:val="2F2A5C90"/>
    <w:rsid w:val="2F4A2072"/>
    <w:rsid w:val="2F551599"/>
    <w:rsid w:val="2F6C326A"/>
    <w:rsid w:val="2F764F97"/>
    <w:rsid w:val="2F823EB2"/>
    <w:rsid w:val="2FAF1ED5"/>
    <w:rsid w:val="2FB15C39"/>
    <w:rsid w:val="2FBF4B99"/>
    <w:rsid w:val="30063EE1"/>
    <w:rsid w:val="300C557A"/>
    <w:rsid w:val="300F506A"/>
    <w:rsid w:val="30281B67"/>
    <w:rsid w:val="302C3F5B"/>
    <w:rsid w:val="30456A53"/>
    <w:rsid w:val="305C6868"/>
    <w:rsid w:val="30664386"/>
    <w:rsid w:val="306C426A"/>
    <w:rsid w:val="306E3B3E"/>
    <w:rsid w:val="30742179"/>
    <w:rsid w:val="30937572"/>
    <w:rsid w:val="309B210D"/>
    <w:rsid w:val="30B71989"/>
    <w:rsid w:val="30CF3E65"/>
    <w:rsid w:val="30ED2B93"/>
    <w:rsid w:val="30F57DBC"/>
    <w:rsid w:val="30F73B34"/>
    <w:rsid w:val="31126ABD"/>
    <w:rsid w:val="31143241"/>
    <w:rsid w:val="311E0DAC"/>
    <w:rsid w:val="312545DC"/>
    <w:rsid w:val="31376626"/>
    <w:rsid w:val="314575E2"/>
    <w:rsid w:val="315272F2"/>
    <w:rsid w:val="315A2F0D"/>
    <w:rsid w:val="315C398E"/>
    <w:rsid w:val="315F792B"/>
    <w:rsid w:val="31642300"/>
    <w:rsid w:val="317B251D"/>
    <w:rsid w:val="317C04DD"/>
    <w:rsid w:val="31837ABD"/>
    <w:rsid w:val="31873769"/>
    <w:rsid w:val="31945827"/>
    <w:rsid w:val="3199316A"/>
    <w:rsid w:val="319A6200"/>
    <w:rsid w:val="31A126F3"/>
    <w:rsid w:val="31A249C6"/>
    <w:rsid w:val="31B71515"/>
    <w:rsid w:val="31C26A70"/>
    <w:rsid w:val="31C935DF"/>
    <w:rsid w:val="31E04995"/>
    <w:rsid w:val="31F42769"/>
    <w:rsid w:val="31F50678"/>
    <w:rsid w:val="31F9440D"/>
    <w:rsid w:val="320313DA"/>
    <w:rsid w:val="3206143E"/>
    <w:rsid w:val="320C675D"/>
    <w:rsid w:val="322A38C2"/>
    <w:rsid w:val="324234D5"/>
    <w:rsid w:val="325129E7"/>
    <w:rsid w:val="325B00F2"/>
    <w:rsid w:val="32726FD8"/>
    <w:rsid w:val="327B7EFC"/>
    <w:rsid w:val="328B299C"/>
    <w:rsid w:val="32933D30"/>
    <w:rsid w:val="32982486"/>
    <w:rsid w:val="32A33B61"/>
    <w:rsid w:val="32A66E34"/>
    <w:rsid w:val="32B240EB"/>
    <w:rsid w:val="32B42E64"/>
    <w:rsid w:val="32D855E7"/>
    <w:rsid w:val="32DD4FAB"/>
    <w:rsid w:val="32E43172"/>
    <w:rsid w:val="32F85E37"/>
    <w:rsid w:val="33036385"/>
    <w:rsid w:val="33235693"/>
    <w:rsid w:val="3328091C"/>
    <w:rsid w:val="33345FCD"/>
    <w:rsid w:val="33401EE2"/>
    <w:rsid w:val="336B30A3"/>
    <w:rsid w:val="33745910"/>
    <w:rsid w:val="337F42B4"/>
    <w:rsid w:val="338C4089"/>
    <w:rsid w:val="339C09C3"/>
    <w:rsid w:val="33DF2D6C"/>
    <w:rsid w:val="33E67E90"/>
    <w:rsid w:val="33E840E7"/>
    <w:rsid w:val="33EB36F8"/>
    <w:rsid w:val="33FC76B3"/>
    <w:rsid w:val="340360BC"/>
    <w:rsid w:val="34050C5E"/>
    <w:rsid w:val="340B78F6"/>
    <w:rsid w:val="34511DF7"/>
    <w:rsid w:val="3459273C"/>
    <w:rsid w:val="34610249"/>
    <w:rsid w:val="34664261"/>
    <w:rsid w:val="346A286F"/>
    <w:rsid w:val="347E631A"/>
    <w:rsid w:val="34963664"/>
    <w:rsid w:val="34974E37"/>
    <w:rsid w:val="349B3370"/>
    <w:rsid w:val="349D7108"/>
    <w:rsid w:val="34A51B2B"/>
    <w:rsid w:val="34B2310F"/>
    <w:rsid w:val="34BB56EC"/>
    <w:rsid w:val="34BB681E"/>
    <w:rsid w:val="34C44675"/>
    <w:rsid w:val="34CF35D9"/>
    <w:rsid w:val="34D03355"/>
    <w:rsid w:val="34F52E5A"/>
    <w:rsid w:val="3504227F"/>
    <w:rsid w:val="350D601C"/>
    <w:rsid w:val="352B0250"/>
    <w:rsid w:val="35527E1C"/>
    <w:rsid w:val="355758DE"/>
    <w:rsid w:val="355C2C2D"/>
    <w:rsid w:val="358E2788"/>
    <w:rsid w:val="35A931C6"/>
    <w:rsid w:val="35B32B93"/>
    <w:rsid w:val="35D24B6F"/>
    <w:rsid w:val="35E45EC4"/>
    <w:rsid w:val="35E55944"/>
    <w:rsid w:val="35F4367B"/>
    <w:rsid w:val="360F7B72"/>
    <w:rsid w:val="36213401"/>
    <w:rsid w:val="36356EAC"/>
    <w:rsid w:val="36433BB5"/>
    <w:rsid w:val="36603F29"/>
    <w:rsid w:val="367D28AE"/>
    <w:rsid w:val="367F4CF7"/>
    <w:rsid w:val="369E4A52"/>
    <w:rsid w:val="369F72BA"/>
    <w:rsid w:val="36B27722"/>
    <w:rsid w:val="36E2187F"/>
    <w:rsid w:val="36EE7B6C"/>
    <w:rsid w:val="370F5D0D"/>
    <w:rsid w:val="370F5DB1"/>
    <w:rsid w:val="37120011"/>
    <w:rsid w:val="371615F3"/>
    <w:rsid w:val="37206D95"/>
    <w:rsid w:val="37373880"/>
    <w:rsid w:val="37387421"/>
    <w:rsid w:val="374142AD"/>
    <w:rsid w:val="3748030C"/>
    <w:rsid w:val="37590935"/>
    <w:rsid w:val="376A3C7F"/>
    <w:rsid w:val="376F42E9"/>
    <w:rsid w:val="37780630"/>
    <w:rsid w:val="3786692C"/>
    <w:rsid w:val="378A352C"/>
    <w:rsid w:val="378C0316"/>
    <w:rsid w:val="378E3F01"/>
    <w:rsid w:val="37931D11"/>
    <w:rsid w:val="37934AC1"/>
    <w:rsid w:val="37977E1F"/>
    <w:rsid w:val="37A05773"/>
    <w:rsid w:val="37B96298"/>
    <w:rsid w:val="37BA53C4"/>
    <w:rsid w:val="37C33FA2"/>
    <w:rsid w:val="37C47469"/>
    <w:rsid w:val="37C62556"/>
    <w:rsid w:val="37C90785"/>
    <w:rsid w:val="37D0253A"/>
    <w:rsid w:val="37D55C73"/>
    <w:rsid w:val="37D61448"/>
    <w:rsid w:val="37DC76D7"/>
    <w:rsid w:val="37E40B8A"/>
    <w:rsid w:val="37EE75A4"/>
    <w:rsid w:val="37F8405A"/>
    <w:rsid w:val="381A63F2"/>
    <w:rsid w:val="382516C5"/>
    <w:rsid w:val="38275CD5"/>
    <w:rsid w:val="38481054"/>
    <w:rsid w:val="38521F98"/>
    <w:rsid w:val="387269F1"/>
    <w:rsid w:val="38795AE6"/>
    <w:rsid w:val="387D2FBD"/>
    <w:rsid w:val="387D686F"/>
    <w:rsid w:val="38827A57"/>
    <w:rsid w:val="38B07AE4"/>
    <w:rsid w:val="38C70290"/>
    <w:rsid w:val="38DA3195"/>
    <w:rsid w:val="38F2729F"/>
    <w:rsid w:val="39010928"/>
    <w:rsid w:val="39025C9D"/>
    <w:rsid w:val="390C5008"/>
    <w:rsid w:val="391A4B2B"/>
    <w:rsid w:val="392240E1"/>
    <w:rsid w:val="39300492"/>
    <w:rsid w:val="393879C1"/>
    <w:rsid w:val="394C3839"/>
    <w:rsid w:val="395C1320"/>
    <w:rsid w:val="395C1674"/>
    <w:rsid w:val="396C26B6"/>
    <w:rsid w:val="397B064F"/>
    <w:rsid w:val="399F2FBB"/>
    <w:rsid w:val="39B60850"/>
    <w:rsid w:val="39C5549F"/>
    <w:rsid w:val="39CB3D75"/>
    <w:rsid w:val="39DC59D8"/>
    <w:rsid w:val="39DF1625"/>
    <w:rsid w:val="39F00CB4"/>
    <w:rsid w:val="39F44BA5"/>
    <w:rsid w:val="39FC3546"/>
    <w:rsid w:val="39FE4185"/>
    <w:rsid w:val="39FF62DB"/>
    <w:rsid w:val="3A0B14F7"/>
    <w:rsid w:val="3A0C422A"/>
    <w:rsid w:val="3A0D03B7"/>
    <w:rsid w:val="3A0D389E"/>
    <w:rsid w:val="3A0E1554"/>
    <w:rsid w:val="3A183191"/>
    <w:rsid w:val="3A1C41CD"/>
    <w:rsid w:val="3A1F234D"/>
    <w:rsid w:val="3A30530C"/>
    <w:rsid w:val="3A4673E0"/>
    <w:rsid w:val="3A557951"/>
    <w:rsid w:val="3A5C3D5B"/>
    <w:rsid w:val="3A5E69D2"/>
    <w:rsid w:val="3A6015BE"/>
    <w:rsid w:val="3A881CA1"/>
    <w:rsid w:val="3AA05D00"/>
    <w:rsid w:val="3AAB0EF3"/>
    <w:rsid w:val="3AB903F2"/>
    <w:rsid w:val="3AC75A6B"/>
    <w:rsid w:val="3ADC3018"/>
    <w:rsid w:val="3AEA521D"/>
    <w:rsid w:val="3AEA64B7"/>
    <w:rsid w:val="3B100D86"/>
    <w:rsid w:val="3B181276"/>
    <w:rsid w:val="3B191501"/>
    <w:rsid w:val="3B1C1856"/>
    <w:rsid w:val="3B1D611E"/>
    <w:rsid w:val="3B2E793F"/>
    <w:rsid w:val="3B4A1523"/>
    <w:rsid w:val="3B6C5C8A"/>
    <w:rsid w:val="3B9B3E6B"/>
    <w:rsid w:val="3BD26037"/>
    <w:rsid w:val="3BD34F10"/>
    <w:rsid w:val="3BE964F8"/>
    <w:rsid w:val="3BF11BFD"/>
    <w:rsid w:val="3BFE7AFC"/>
    <w:rsid w:val="3BFF0A22"/>
    <w:rsid w:val="3C0A0F88"/>
    <w:rsid w:val="3C0A1B5A"/>
    <w:rsid w:val="3C381705"/>
    <w:rsid w:val="3C3F5AD5"/>
    <w:rsid w:val="3C4B7C35"/>
    <w:rsid w:val="3C68688C"/>
    <w:rsid w:val="3C792F8B"/>
    <w:rsid w:val="3C8C293A"/>
    <w:rsid w:val="3CA40BE8"/>
    <w:rsid w:val="3CA90722"/>
    <w:rsid w:val="3CAB0E0A"/>
    <w:rsid w:val="3CBE06DB"/>
    <w:rsid w:val="3CC53D9E"/>
    <w:rsid w:val="3CC66AB0"/>
    <w:rsid w:val="3CC92BAC"/>
    <w:rsid w:val="3CCE58A2"/>
    <w:rsid w:val="3CCE6FE3"/>
    <w:rsid w:val="3CD020A8"/>
    <w:rsid w:val="3CD226DE"/>
    <w:rsid w:val="3CD35C82"/>
    <w:rsid w:val="3CF03B2D"/>
    <w:rsid w:val="3CF1267B"/>
    <w:rsid w:val="3CFC24D2"/>
    <w:rsid w:val="3D044CBD"/>
    <w:rsid w:val="3D0870C9"/>
    <w:rsid w:val="3D27223A"/>
    <w:rsid w:val="3D2B0342"/>
    <w:rsid w:val="3D2B23E0"/>
    <w:rsid w:val="3D334208"/>
    <w:rsid w:val="3D432F0F"/>
    <w:rsid w:val="3D4E5423"/>
    <w:rsid w:val="3D562440"/>
    <w:rsid w:val="3D5E0D9C"/>
    <w:rsid w:val="3D7C0D43"/>
    <w:rsid w:val="3D8373C7"/>
    <w:rsid w:val="3D8B4904"/>
    <w:rsid w:val="3D991233"/>
    <w:rsid w:val="3D9C5F88"/>
    <w:rsid w:val="3DAE5EC2"/>
    <w:rsid w:val="3DB17517"/>
    <w:rsid w:val="3DB54EC7"/>
    <w:rsid w:val="3DBA1307"/>
    <w:rsid w:val="3DF27DB9"/>
    <w:rsid w:val="3E137334"/>
    <w:rsid w:val="3E366647"/>
    <w:rsid w:val="3E5B09C5"/>
    <w:rsid w:val="3E686071"/>
    <w:rsid w:val="3E6E11AD"/>
    <w:rsid w:val="3E6F30CA"/>
    <w:rsid w:val="3E7E5894"/>
    <w:rsid w:val="3E81566A"/>
    <w:rsid w:val="3E8D1F7B"/>
    <w:rsid w:val="3E94330A"/>
    <w:rsid w:val="3E9C5D1B"/>
    <w:rsid w:val="3EBD62D6"/>
    <w:rsid w:val="3ED64D24"/>
    <w:rsid w:val="3EDF510F"/>
    <w:rsid w:val="3EEB00E7"/>
    <w:rsid w:val="3EEC1CE4"/>
    <w:rsid w:val="3EF71CE3"/>
    <w:rsid w:val="3F1B6CCD"/>
    <w:rsid w:val="3F281EB3"/>
    <w:rsid w:val="3F3A7CA4"/>
    <w:rsid w:val="3F3B1256"/>
    <w:rsid w:val="3F3E4AD5"/>
    <w:rsid w:val="3F5536F3"/>
    <w:rsid w:val="3F5E52AE"/>
    <w:rsid w:val="3F631C2F"/>
    <w:rsid w:val="3F6B37FD"/>
    <w:rsid w:val="3F87243F"/>
    <w:rsid w:val="3FA25D9F"/>
    <w:rsid w:val="3FA71C27"/>
    <w:rsid w:val="3FB3610C"/>
    <w:rsid w:val="3FBC0BF0"/>
    <w:rsid w:val="3FBF62C9"/>
    <w:rsid w:val="3FC65F57"/>
    <w:rsid w:val="3FE4127C"/>
    <w:rsid w:val="3FEB361B"/>
    <w:rsid w:val="3FF32EFC"/>
    <w:rsid w:val="3FF537B9"/>
    <w:rsid w:val="3FF74F59"/>
    <w:rsid w:val="400E49F6"/>
    <w:rsid w:val="4011275E"/>
    <w:rsid w:val="40124D9E"/>
    <w:rsid w:val="402B1A4C"/>
    <w:rsid w:val="402D2C5C"/>
    <w:rsid w:val="408B3E57"/>
    <w:rsid w:val="40A87B4D"/>
    <w:rsid w:val="40B3129A"/>
    <w:rsid w:val="40B51316"/>
    <w:rsid w:val="40C07840"/>
    <w:rsid w:val="40CE260D"/>
    <w:rsid w:val="40CF525F"/>
    <w:rsid w:val="40D80116"/>
    <w:rsid w:val="40FE6F93"/>
    <w:rsid w:val="41103C3B"/>
    <w:rsid w:val="412F47E6"/>
    <w:rsid w:val="413C6721"/>
    <w:rsid w:val="41850CE8"/>
    <w:rsid w:val="419109F5"/>
    <w:rsid w:val="41994793"/>
    <w:rsid w:val="41C94C3A"/>
    <w:rsid w:val="41CE4C50"/>
    <w:rsid w:val="41DC5957"/>
    <w:rsid w:val="41E42CF6"/>
    <w:rsid w:val="41E5236A"/>
    <w:rsid w:val="41E76104"/>
    <w:rsid w:val="41F12821"/>
    <w:rsid w:val="41FA2C96"/>
    <w:rsid w:val="41FD427D"/>
    <w:rsid w:val="420004D8"/>
    <w:rsid w:val="42073DF3"/>
    <w:rsid w:val="42251E3E"/>
    <w:rsid w:val="42267C93"/>
    <w:rsid w:val="422E312E"/>
    <w:rsid w:val="42351C26"/>
    <w:rsid w:val="424D1378"/>
    <w:rsid w:val="424E37D0"/>
    <w:rsid w:val="42507232"/>
    <w:rsid w:val="425B3188"/>
    <w:rsid w:val="42664FBD"/>
    <w:rsid w:val="427A7609"/>
    <w:rsid w:val="42975177"/>
    <w:rsid w:val="42AC4713"/>
    <w:rsid w:val="42B25792"/>
    <w:rsid w:val="42B67B76"/>
    <w:rsid w:val="42BA4AAD"/>
    <w:rsid w:val="42CA0102"/>
    <w:rsid w:val="42DC16BF"/>
    <w:rsid w:val="42E53B03"/>
    <w:rsid w:val="42E87ED2"/>
    <w:rsid w:val="42FA6BE5"/>
    <w:rsid w:val="43063DC7"/>
    <w:rsid w:val="431805FE"/>
    <w:rsid w:val="431B5484"/>
    <w:rsid w:val="433573A9"/>
    <w:rsid w:val="43362BE2"/>
    <w:rsid w:val="4339622E"/>
    <w:rsid w:val="434012F8"/>
    <w:rsid w:val="434E727C"/>
    <w:rsid w:val="435B43F6"/>
    <w:rsid w:val="435D7AF7"/>
    <w:rsid w:val="436532AA"/>
    <w:rsid w:val="43712CDF"/>
    <w:rsid w:val="43836CE5"/>
    <w:rsid w:val="439B5935"/>
    <w:rsid w:val="43A044FF"/>
    <w:rsid w:val="43A213E1"/>
    <w:rsid w:val="43C32489"/>
    <w:rsid w:val="43CC2BFE"/>
    <w:rsid w:val="43D3615D"/>
    <w:rsid w:val="43D57507"/>
    <w:rsid w:val="43D9531B"/>
    <w:rsid w:val="43E50164"/>
    <w:rsid w:val="43E923B7"/>
    <w:rsid w:val="43F722A1"/>
    <w:rsid w:val="43FB34E3"/>
    <w:rsid w:val="44024979"/>
    <w:rsid w:val="440F75C0"/>
    <w:rsid w:val="4421006E"/>
    <w:rsid w:val="44240FD0"/>
    <w:rsid w:val="44435D3A"/>
    <w:rsid w:val="444E26AB"/>
    <w:rsid w:val="445D2C4C"/>
    <w:rsid w:val="447334B4"/>
    <w:rsid w:val="44735795"/>
    <w:rsid w:val="4481692F"/>
    <w:rsid w:val="448C05DF"/>
    <w:rsid w:val="44AF6894"/>
    <w:rsid w:val="44CA4B3E"/>
    <w:rsid w:val="44CB170E"/>
    <w:rsid w:val="44CF4924"/>
    <w:rsid w:val="44D57096"/>
    <w:rsid w:val="44E21A5B"/>
    <w:rsid w:val="450B3344"/>
    <w:rsid w:val="45100B57"/>
    <w:rsid w:val="45196317"/>
    <w:rsid w:val="451F3201"/>
    <w:rsid w:val="45345CB8"/>
    <w:rsid w:val="45352E5C"/>
    <w:rsid w:val="454C57C0"/>
    <w:rsid w:val="457D7781"/>
    <w:rsid w:val="45B24397"/>
    <w:rsid w:val="45B3035E"/>
    <w:rsid w:val="45B548F0"/>
    <w:rsid w:val="45BD252E"/>
    <w:rsid w:val="45CF2E79"/>
    <w:rsid w:val="45D30732"/>
    <w:rsid w:val="45DC1C20"/>
    <w:rsid w:val="45F10AC6"/>
    <w:rsid w:val="45F77F1F"/>
    <w:rsid w:val="4615224D"/>
    <w:rsid w:val="4647123E"/>
    <w:rsid w:val="46513F59"/>
    <w:rsid w:val="46625A9C"/>
    <w:rsid w:val="46B91EE6"/>
    <w:rsid w:val="46BD0F24"/>
    <w:rsid w:val="46BD2B0D"/>
    <w:rsid w:val="46D8457B"/>
    <w:rsid w:val="46DA7AE8"/>
    <w:rsid w:val="46E464B1"/>
    <w:rsid w:val="46F0122C"/>
    <w:rsid w:val="46F75570"/>
    <w:rsid w:val="4707219F"/>
    <w:rsid w:val="47077195"/>
    <w:rsid w:val="472114B3"/>
    <w:rsid w:val="472965B9"/>
    <w:rsid w:val="47372A84"/>
    <w:rsid w:val="473A6997"/>
    <w:rsid w:val="4748624D"/>
    <w:rsid w:val="475C60D4"/>
    <w:rsid w:val="475F3182"/>
    <w:rsid w:val="47637A8E"/>
    <w:rsid w:val="477A17E7"/>
    <w:rsid w:val="47910CF4"/>
    <w:rsid w:val="479954ED"/>
    <w:rsid w:val="47A91A9C"/>
    <w:rsid w:val="47AB5220"/>
    <w:rsid w:val="47AB52F6"/>
    <w:rsid w:val="47B2035D"/>
    <w:rsid w:val="47B93F31"/>
    <w:rsid w:val="47E729B9"/>
    <w:rsid w:val="47F4158C"/>
    <w:rsid w:val="47F80D0E"/>
    <w:rsid w:val="47F941DE"/>
    <w:rsid w:val="48041805"/>
    <w:rsid w:val="481C3988"/>
    <w:rsid w:val="482E588F"/>
    <w:rsid w:val="4837265E"/>
    <w:rsid w:val="48482A6F"/>
    <w:rsid w:val="485A1120"/>
    <w:rsid w:val="48743864"/>
    <w:rsid w:val="487B4BF3"/>
    <w:rsid w:val="48916F5A"/>
    <w:rsid w:val="48961A2D"/>
    <w:rsid w:val="48B53108"/>
    <w:rsid w:val="48C20A74"/>
    <w:rsid w:val="48CC36A0"/>
    <w:rsid w:val="48E72A05"/>
    <w:rsid w:val="490177EE"/>
    <w:rsid w:val="490B67D7"/>
    <w:rsid w:val="4911265C"/>
    <w:rsid w:val="49151081"/>
    <w:rsid w:val="49247038"/>
    <w:rsid w:val="49296D45"/>
    <w:rsid w:val="492B62DA"/>
    <w:rsid w:val="493858B0"/>
    <w:rsid w:val="494C2319"/>
    <w:rsid w:val="49601D37"/>
    <w:rsid w:val="496647B0"/>
    <w:rsid w:val="49744582"/>
    <w:rsid w:val="4977360C"/>
    <w:rsid w:val="497E6566"/>
    <w:rsid w:val="49886E4D"/>
    <w:rsid w:val="498E12ED"/>
    <w:rsid w:val="499627A9"/>
    <w:rsid w:val="49AD702E"/>
    <w:rsid w:val="49ED77DE"/>
    <w:rsid w:val="4A131FF5"/>
    <w:rsid w:val="4A17314E"/>
    <w:rsid w:val="4A317C5F"/>
    <w:rsid w:val="4A392FB7"/>
    <w:rsid w:val="4A51126D"/>
    <w:rsid w:val="4A5D532D"/>
    <w:rsid w:val="4A720EC5"/>
    <w:rsid w:val="4A72617A"/>
    <w:rsid w:val="4A7463D1"/>
    <w:rsid w:val="4A792FBD"/>
    <w:rsid w:val="4A8A736F"/>
    <w:rsid w:val="4AA20B5D"/>
    <w:rsid w:val="4AC26B09"/>
    <w:rsid w:val="4ACF0F07"/>
    <w:rsid w:val="4AE173C4"/>
    <w:rsid w:val="4AE271AB"/>
    <w:rsid w:val="4AE751F1"/>
    <w:rsid w:val="4AE90539"/>
    <w:rsid w:val="4B052E99"/>
    <w:rsid w:val="4B182C88"/>
    <w:rsid w:val="4B191CC1"/>
    <w:rsid w:val="4B201A81"/>
    <w:rsid w:val="4B2257F9"/>
    <w:rsid w:val="4B4713C3"/>
    <w:rsid w:val="4B4B3962"/>
    <w:rsid w:val="4B597320"/>
    <w:rsid w:val="4B5A31E5"/>
    <w:rsid w:val="4B684257"/>
    <w:rsid w:val="4B7A4988"/>
    <w:rsid w:val="4B890858"/>
    <w:rsid w:val="4B90639C"/>
    <w:rsid w:val="4BDA08B9"/>
    <w:rsid w:val="4BDE5BC4"/>
    <w:rsid w:val="4BF947D5"/>
    <w:rsid w:val="4C0D2006"/>
    <w:rsid w:val="4C0F67E2"/>
    <w:rsid w:val="4C2832E3"/>
    <w:rsid w:val="4C52321B"/>
    <w:rsid w:val="4C634A0F"/>
    <w:rsid w:val="4C6A14DB"/>
    <w:rsid w:val="4C7B7B45"/>
    <w:rsid w:val="4C8A7D81"/>
    <w:rsid w:val="4C912C37"/>
    <w:rsid w:val="4C9921B7"/>
    <w:rsid w:val="4CAD7399"/>
    <w:rsid w:val="4CD15729"/>
    <w:rsid w:val="4CDE5BD3"/>
    <w:rsid w:val="4CE4545C"/>
    <w:rsid w:val="4CF60C26"/>
    <w:rsid w:val="4D0372FC"/>
    <w:rsid w:val="4D2B35A7"/>
    <w:rsid w:val="4D2B4E4D"/>
    <w:rsid w:val="4D343E46"/>
    <w:rsid w:val="4D3A1520"/>
    <w:rsid w:val="4D561208"/>
    <w:rsid w:val="4D6E11CA"/>
    <w:rsid w:val="4D8E715B"/>
    <w:rsid w:val="4D90789C"/>
    <w:rsid w:val="4D9D560B"/>
    <w:rsid w:val="4DA17ECE"/>
    <w:rsid w:val="4DBE3EFF"/>
    <w:rsid w:val="4DC843A5"/>
    <w:rsid w:val="4DD23507"/>
    <w:rsid w:val="4DD3102D"/>
    <w:rsid w:val="4DD67B34"/>
    <w:rsid w:val="4DDC078D"/>
    <w:rsid w:val="4E0A60CA"/>
    <w:rsid w:val="4E192B90"/>
    <w:rsid w:val="4E1B35C4"/>
    <w:rsid w:val="4E385966"/>
    <w:rsid w:val="4E764A36"/>
    <w:rsid w:val="4E922C96"/>
    <w:rsid w:val="4EE04F09"/>
    <w:rsid w:val="4F061A14"/>
    <w:rsid w:val="4F0E0F61"/>
    <w:rsid w:val="4F24273B"/>
    <w:rsid w:val="4F3E7FEE"/>
    <w:rsid w:val="4F6317C3"/>
    <w:rsid w:val="4F65001B"/>
    <w:rsid w:val="4F6B5FB0"/>
    <w:rsid w:val="4F892E78"/>
    <w:rsid w:val="4F973257"/>
    <w:rsid w:val="4F995F33"/>
    <w:rsid w:val="4F9F30B6"/>
    <w:rsid w:val="4FA2361E"/>
    <w:rsid w:val="4FA3493A"/>
    <w:rsid w:val="4FA90F7D"/>
    <w:rsid w:val="4FB85168"/>
    <w:rsid w:val="4FC22971"/>
    <w:rsid w:val="4FCB449C"/>
    <w:rsid w:val="4FD317B8"/>
    <w:rsid w:val="4FD32A58"/>
    <w:rsid w:val="4FDD42F7"/>
    <w:rsid w:val="4FE51CA7"/>
    <w:rsid w:val="4FE635C3"/>
    <w:rsid w:val="4FF15C31"/>
    <w:rsid w:val="4FF43C08"/>
    <w:rsid w:val="50005C7E"/>
    <w:rsid w:val="501E0C85"/>
    <w:rsid w:val="50287EE9"/>
    <w:rsid w:val="502F450F"/>
    <w:rsid w:val="503334D4"/>
    <w:rsid w:val="503C0DC6"/>
    <w:rsid w:val="504718C4"/>
    <w:rsid w:val="505A5003"/>
    <w:rsid w:val="505A77E4"/>
    <w:rsid w:val="5072026C"/>
    <w:rsid w:val="50746A1B"/>
    <w:rsid w:val="507F23E8"/>
    <w:rsid w:val="50870323"/>
    <w:rsid w:val="509B00DA"/>
    <w:rsid w:val="50A2158B"/>
    <w:rsid w:val="50A80CD7"/>
    <w:rsid w:val="50D37CC2"/>
    <w:rsid w:val="50DB7396"/>
    <w:rsid w:val="50E56BC4"/>
    <w:rsid w:val="50F45296"/>
    <w:rsid w:val="50FA5ADF"/>
    <w:rsid w:val="51053BF3"/>
    <w:rsid w:val="510A4649"/>
    <w:rsid w:val="511F771D"/>
    <w:rsid w:val="517246D6"/>
    <w:rsid w:val="517465F2"/>
    <w:rsid w:val="51752349"/>
    <w:rsid w:val="51804301"/>
    <w:rsid w:val="51A42D3D"/>
    <w:rsid w:val="51A87C0F"/>
    <w:rsid w:val="51B74EB7"/>
    <w:rsid w:val="51C53B74"/>
    <w:rsid w:val="51CA149C"/>
    <w:rsid w:val="51CB78FE"/>
    <w:rsid w:val="51D07D5D"/>
    <w:rsid w:val="51DA5CDA"/>
    <w:rsid w:val="51ED5BF1"/>
    <w:rsid w:val="52020E9A"/>
    <w:rsid w:val="520908F3"/>
    <w:rsid w:val="522E2CD6"/>
    <w:rsid w:val="52515E61"/>
    <w:rsid w:val="526801AD"/>
    <w:rsid w:val="527942A5"/>
    <w:rsid w:val="52846D9A"/>
    <w:rsid w:val="528829A3"/>
    <w:rsid w:val="52B70F1D"/>
    <w:rsid w:val="52B72CCB"/>
    <w:rsid w:val="52C6511E"/>
    <w:rsid w:val="52D66E3F"/>
    <w:rsid w:val="52D7511B"/>
    <w:rsid w:val="52F72E2D"/>
    <w:rsid w:val="531447B9"/>
    <w:rsid w:val="534E7AD3"/>
    <w:rsid w:val="537A08C9"/>
    <w:rsid w:val="538C6FA6"/>
    <w:rsid w:val="538F2C99"/>
    <w:rsid w:val="539F25EF"/>
    <w:rsid w:val="53A16478"/>
    <w:rsid w:val="53B70154"/>
    <w:rsid w:val="53FD45F1"/>
    <w:rsid w:val="54006191"/>
    <w:rsid w:val="5402095A"/>
    <w:rsid w:val="54065012"/>
    <w:rsid w:val="540F6813"/>
    <w:rsid w:val="542D76E9"/>
    <w:rsid w:val="543366E2"/>
    <w:rsid w:val="543502BD"/>
    <w:rsid w:val="543A30B4"/>
    <w:rsid w:val="543F11CA"/>
    <w:rsid w:val="54434FDD"/>
    <w:rsid w:val="54480031"/>
    <w:rsid w:val="546B61FD"/>
    <w:rsid w:val="54705828"/>
    <w:rsid w:val="547917DA"/>
    <w:rsid w:val="54803D68"/>
    <w:rsid w:val="54945E2E"/>
    <w:rsid w:val="549C72CE"/>
    <w:rsid w:val="54C503A6"/>
    <w:rsid w:val="54C636E0"/>
    <w:rsid w:val="54CB6F02"/>
    <w:rsid w:val="54E81862"/>
    <w:rsid w:val="55004201"/>
    <w:rsid w:val="55122D61"/>
    <w:rsid w:val="55306D65"/>
    <w:rsid w:val="5541520B"/>
    <w:rsid w:val="55467AF8"/>
    <w:rsid w:val="55481935"/>
    <w:rsid w:val="555C3CBC"/>
    <w:rsid w:val="55797FBA"/>
    <w:rsid w:val="558200C3"/>
    <w:rsid w:val="55B47A2A"/>
    <w:rsid w:val="55BD684B"/>
    <w:rsid w:val="55C73B6D"/>
    <w:rsid w:val="55D907AD"/>
    <w:rsid w:val="55E27144"/>
    <w:rsid w:val="55E847F2"/>
    <w:rsid w:val="55F80C7A"/>
    <w:rsid w:val="55FF50B5"/>
    <w:rsid w:val="56100079"/>
    <w:rsid w:val="562456EF"/>
    <w:rsid w:val="562D1183"/>
    <w:rsid w:val="5630620C"/>
    <w:rsid w:val="56386A7C"/>
    <w:rsid w:val="564A614B"/>
    <w:rsid w:val="564F2B09"/>
    <w:rsid w:val="56521689"/>
    <w:rsid w:val="565A7B1F"/>
    <w:rsid w:val="56627C20"/>
    <w:rsid w:val="56664956"/>
    <w:rsid w:val="56726A98"/>
    <w:rsid w:val="567315FF"/>
    <w:rsid w:val="567B46D5"/>
    <w:rsid w:val="56A11B28"/>
    <w:rsid w:val="56B85264"/>
    <w:rsid w:val="56C54CD4"/>
    <w:rsid w:val="56E4714F"/>
    <w:rsid w:val="56F5765A"/>
    <w:rsid w:val="570122F7"/>
    <w:rsid w:val="57137F1B"/>
    <w:rsid w:val="571B5158"/>
    <w:rsid w:val="571B6867"/>
    <w:rsid w:val="57227540"/>
    <w:rsid w:val="574D3BFE"/>
    <w:rsid w:val="577A4441"/>
    <w:rsid w:val="5780349A"/>
    <w:rsid w:val="57841110"/>
    <w:rsid w:val="578A4E52"/>
    <w:rsid w:val="57AA0610"/>
    <w:rsid w:val="57AE0558"/>
    <w:rsid w:val="57B91294"/>
    <w:rsid w:val="57C32112"/>
    <w:rsid w:val="57D0303B"/>
    <w:rsid w:val="57D04F5B"/>
    <w:rsid w:val="57D32355"/>
    <w:rsid w:val="58027D33"/>
    <w:rsid w:val="58065AD5"/>
    <w:rsid w:val="58111660"/>
    <w:rsid w:val="58122E6D"/>
    <w:rsid w:val="5814471C"/>
    <w:rsid w:val="581C2F61"/>
    <w:rsid w:val="58297442"/>
    <w:rsid w:val="584C2108"/>
    <w:rsid w:val="585267E8"/>
    <w:rsid w:val="58625E52"/>
    <w:rsid w:val="587F072F"/>
    <w:rsid w:val="588A3D6A"/>
    <w:rsid w:val="5896536D"/>
    <w:rsid w:val="58B57158"/>
    <w:rsid w:val="58B971FC"/>
    <w:rsid w:val="58D934E2"/>
    <w:rsid w:val="58DB3067"/>
    <w:rsid w:val="58E169C3"/>
    <w:rsid w:val="58E54F1D"/>
    <w:rsid w:val="58E97957"/>
    <w:rsid w:val="58F44C79"/>
    <w:rsid w:val="58FC58DC"/>
    <w:rsid w:val="58FE78A6"/>
    <w:rsid w:val="591250FF"/>
    <w:rsid w:val="591276BE"/>
    <w:rsid w:val="59242238"/>
    <w:rsid w:val="5929493D"/>
    <w:rsid w:val="593818C4"/>
    <w:rsid w:val="597436C4"/>
    <w:rsid w:val="59780880"/>
    <w:rsid w:val="597B28C5"/>
    <w:rsid w:val="598002BB"/>
    <w:rsid w:val="598853C1"/>
    <w:rsid w:val="598952C5"/>
    <w:rsid w:val="598B33A2"/>
    <w:rsid w:val="598F769E"/>
    <w:rsid w:val="59904EF5"/>
    <w:rsid w:val="599B481D"/>
    <w:rsid w:val="599E4BE5"/>
    <w:rsid w:val="59AE7815"/>
    <w:rsid w:val="59B91508"/>
    <w:rsid w:val="59D95C1D"/>
    <w:rsid w:val="59DB132F"/>
    <w:rsid w:val="59DF76D7"/>
    <w:rsid w:val="59FF2BDB"/>
    <w:rsid w:val="5A04713E"/>
    <w:rsid w:val="5A184997"/>
    <w:rsid w:val="5A292CF1"/>
    <w:rsid w:val="5A481B21"/>
    <w:rsid w:val="5A4A2677"/>
    <w:rsid w:val="5A5A13F7"/>
    <w:rsid w:val="5A640F10"/>
    <w:rsid w:val="5A655703"/>
    <w:rsid w:val="5A757CA3"/>
    <w:rsid w:val="5A793B57"/>
    <w:rsid w:val="5A8E2FFF"/>
    <w:rsid w:val="5ABD72ED"/>
    <w:rsid w:val="5B03515E"/>
    <w:rsid w:val="5B087DD5"/>
    <w:rsid w:val="5B150A03"/>
    <w:rsid w:val="5B174C4F"/>
    <w:rsid w:val="5B29073E"/>
    <w:rsid w:val="5B2B048D"/>
    <w:rsid w:val="5B354900"/>
    <w:rsid w:val="5B4204A3"/>
    <w:rsid w:val="5B6138E8"/>
    <w:rsid w:val="5B7B221C"/>
    <w:rsid w:val="5B876808"/>
    <w:rsid w:val="5B8F6A94"/>
    <w:rsid w:val="5B90055D"/>
    <w:rsid w:val="5BB60859"/>
    <w:rsid w:val="5BB66216"/>
    <w:rsid w:val="5BD4177D"/>
    <w:rsid w:val="5BD551C2"/>
    <w:rsid w:val="5BD62414"/>
    <w:rsid w:val="5BE72873"/>
    <w:rsid w:val="5BF42115"/>
    <w:rsid w:val="5C142867"/>
    <w:rsid w:val="5C154FB0"/>
    <w:rsid w:val="5C2E6034"/>
    <w:rsid w:val="5C3377FC"/>
    <w:rsid w:val="5C4F19E5"/>
    <w:rsid w:val="5C515F3F"/>
    <w:rsid w:val="5C665B0A"/>
    <w:rsid w:val="5C787938"/>
    <w:rsid w:val="5C8C51C9"/>
    <w:rsid w:val="5C9F7E79"/>
    <w:rsid w:val="5CB17754"/>
    <w:rsid w:val="5CC91F79"/>
    <w:rsid w:val="5CCF4F47"/>
    <w:rsid w:val="5CF2529B"/>
    <w:rsid w:val="5CFA65D6"/>
    <w:rsid w:val="5D027239"/>
    <w:rsid w:val="5D1F5DC9"/>
    <w:rsid w:val="5D26561D"/>
    <w:rsid w:val="5D5A72EE"/>
    <w:rsid w:val="5D5F28DD"/>
    <w:rsid w:val="5D6677C8"/>
    <w:rsid w:val="5D6D0B56"/>
    <w:rsid w:val="5D722BA0"/>
    <w:rsid w:val="5D8440F2"/>
    <w:rsid w:val="5D8D310D"/>
    <w:rsid w:val="5DA56542"/>
    <w:rsid w:val="5DA81501"/>
    <w:rsid w:val="5DAC343B"/>
    <w:rsid w:val="5DAE61D8"/>
    <w:rsid w:val="5DCA1372"/>
    <w:rsid w:val="5DEF3441"/>
    <w:rsid w:val="5DFA7B3C"/>
    <w:rsid w:val="5DFC54C6"/>
    <w:rsid w:val="5E155EC7"/>
    <w:rsid w:val="5E244E86"/>
    <w:rsid w:val="5E2F22B0"/>
    <w:rsid w:val="5E3E4683"/>
    <w:rsid w:val="5E520B77"/>
    <w:rsid w:val="5E5B745B"/>
    <w:rsid w:val="5E5E39F4"/>
    <w:rsid w:val="5E604B5F"/>
    <w:rsid w:val="5E666AE2"/>
    <w:rsid w:val="5E73602C"/>
    <w:rsid w:val="5E746563"/>
    <w:rsid w:val="5E783D07"/>
    <w:rsid w:val="5E800D5D"/>
    <w:rsid w:val="5E9C51EC"/>
    <w:rsid w:val="5E9C7069"/>
    <w:rsid w:val="5EA44206"/>
    <w:rsid w:val="5EA54938"/>
    <w:rsid w:val="5ED510A9"/>
    <w:rsid w:val="5EF14AD5"/>
    <w:rsid w:val="5EFA598A"/>
    <w:rsid w:val="5EFC725B"/>
    <w:rsid w:val="5EFD5F0A"/>
    <w:rsid w:val="5F025C16"/>
    <w:rsid w:val="5F052390"/>
    <w:rsid w:val="5F482700"/>
    <w:rsid w:val="5F623764"/>
    <w:rsid w:val="5F7F2BD0"/>
    <w:rsid w:val="5F8108E9"/>
    <w:rsid w:val="5F9E4C02"/>
    <w:rsid w:val="5FB567E4"/>
    <w:rsid w:val="5FD55896"/>
    <w:rsid w:val="5FE514E0"/>
    <w:rsid w:val="5FF81B89"/>
    <w:rsid w:val="5FFF0A5C"/>
    <w:rsid w:val="6000078C"/>
    <w:rsid w:val="60032A5F"/>
    <w:rsid w:val="6013249E"/>
    <w:rsid w:val="601F5ACF"/>
    <w:rsid w:val="60201767"/>
    <w:rsid w:val="602045A6"/>
    <w:rsid w:val="602A40C1"/>
    <w:rsid w:val="602B51F2"/>
    <w:rsid w:val="604229D5"/>
    <w:rsid w:val="604A4363"/>
    <w:rsid w:val="605E0C2A"/>
    <w:rsid w:val="607B7D40"/>
    <w:rsid w:val="60856F6E"/>
    <w:rsid w:val="608E3C25"/>
    <w:rsid w:val="60937701"/>
    <w:rsid w:val="60BB42CE"/>
    <w:rsid w:val="60C50CA9"/>
    <w:rsid w:val="60CE7B5E"/>
    <w:rsid w:val="60CF38D6"/>
    <w:rsid w:val="60D40EEC"/>
    <w:rsid w:val="60D74D6C"/>
    <w:rsid w:val="60F06394"/>
    <w:rsid w:val="60F22306"/>
    <w:rsid w:val="60F5158E"/>
    <w:rsid w:val="610619ED"/>
    <w:rsid w:val="6106379C"/>
    <w:rsid w:val="610F0788"/>
    <w:rsid w:val="611275BB"/>
    <w:rsid w:val="6124530A"/>
    <w:rsid w:val="61377DF9"/>
    <w:rsid w:val="613F10C7"/>
    <w:rsid w:val="6143228A"/>
    <w:rsid w:val="61447E20"/>
    <w:rsid w:val="615061E7"/>
    <w:rsid w:val="615269E1"/>
    <w:rsid w:val="61582574"/>
    <w:rsid w:val="615B6DE0"/>
    <w:rsid w:val="61665E34"/>
    <w:rsid w:val="616C5699"/>
    <w:rsid w:val="6170330B"/>
    <w:rsid w:val="61721986"/>
    <w:rsid w:val="618648DC"/>
    <w:rsid w:val="618C76A3"/>
    <w:rsid w:val="61985B53"/>
    <w:rsid w:val="61AB355C"/>
    <w:rsid w:val="61C462E1"/>
    <w:rsid w:val="61D45648"/>
    <w:rsid w:val="61D84602"/>
    <w:rsid w:val="61E138C1"/>
    <w:rsid w:val="6216517A"/>
    <w:rsid w:val="62347E94"/>
    <w:rsid w:val="623520D2"/>
    <w:rsid w:val="625D1976"/>
    <w:rsid w:val="62652BF8"/>
    <w:rsid w:val="62697DE3"/>
    <w:rsid w:val="62917095"/>
    <w:rsid w:val="62B00EBA"/>
    <w:rsid w:val="62B32F76"/>
    <w:rsid w:val="62B34A4C"/>
    <w:rsid w:val="62BE4D1C"/>
    <w:rsid w:val="62DF5E56"/>
    <w:rsid w:val="62E25B42"/>
    <w:rsid w:val="62E62F4B"/>
    <w:rsid w:val="62EF165B"/>
    <w:rsid w:val="63013369"/>
    <w:rsid w:val="6302525B"/>
    <w:rsid w:val="63076D43"/>
    <w:rsid w:val="63086285"/>
    <w:rsid w:val="630A5099"/>
    <w:rsid w:val="63116428"/>
    <w:rsid w:val="632D6B95"/>
    <w:rsid w:val="633A4165"/>
    <w:rsid w:val="63422A85"/>
    <w:rsid w:val="634B04AA"/>
    <w:rsid w:val="635051A2"/>
    <w:rsid w:val="63720829"/>
    <w:rsid w:val="63733013"/>
    <w:rsid w:val="63967ABA"/>
    <w:rsid w:val="63BC0179"/>
    <w:rsid w:val="63C06722"/>
    <w:rsid w:val="63C94E27"/>
    <w:rsid w:val="63CA1A6F"/>
    <w:rsid w:val="63EB0A27"/>
    <w:rsid w:val="63FB2005"/>
    <w:rsid w:val="63FC0E86"/>
    <w:rsid w:val="640E418C"/>
    <w:rsid w:val="64106ED5"/>
    <w:rsid w:val="64236413"/>
    <w:rsid w:val="643101B4"/>
    <w:rsid w:val="643D4406"/>
    <w:rsid w:val="644C5AFC"/>
    <w:rsid w:val="644D16E1"/>
    <w:rsid w:val="6454481E"/>
    <w:rsid w:val="64772B19"/>
    <w:rsid w:val="64883414"/>
    <w:rsid w:val="648B532D"/>
    <w:rsid w:val="6497631F"/>
    <w:rsid w:val="64CC2606"/>
    <w:rsid w:val="64CD637E"/>
    <w:rsid w:val="64E06963"/>
    <w:rsid w:val="64E41FD0"/>
    <w:rsid w:val="64E81E96"/>
    <w:rsid w:val="65012E8F"/>
    <w:rsid w:val="6507613D"/>
    <w:rsid w:val="65085608"/>
    <w:rsid w:val="65137B6D"/>
    <w:rsid w:val="6527584D"/>
    <w:rsid w:val="652807FE"/>
    <w:rsid w:val="65293EFC"/>
    <w:rsid w:val="652C01BA"/>
    <w:rsid w:val="652F0DE7"/>
    <w:rsid w:val="65310536"/>
    <w:rsid w:val="65372FD8"/>
    <w:rsid w:val="653A2AE4"/>
    <w:rsid w:val="655820EC"/>
    <w:rsid w:val="656C3255"/>
    <w:rsid w:val="658E1770"/>
    <w:rsid w:val="658E4C66"/>
    <w:rsid w:val="65967861"/>
    <w:rsid w:val="659A06A2"/>
    <w:rsid w:val="659E23D6"/>
    <w:rsid w:val="65AD450C"/>
    <w:rsid w:val="65C07C91"/>
    <w:rsid w:val="65CA45AC"/>
    <w:rsid w:val="65CF695E"/>
    <w:rsid w:val="65D10941"/>
    <w:rsid w:val="65DE5C5E"/>
    <w:rsid w:val="65DF788F"/>
    <w:rsid w:val="65E872EC"/>
    <w:rsid w:val="65EA1F91"/>
    <w:rsid w:val="65EE2A50"/>
    <w:rsid w:val="660233D6"/>
    <w:rsid w:val="66170676"/>
    <w:rsid w:val="662B0C58"/>
    <w:rsid w:val="6634276C"/>
    <w:rsid w:val="663F6AE4"/>
    <w:rsid w:val="664C20C4"/>
    <w:rsid w:val="66523CE7"/>
    <w:rsid w:val="6659611C"/>
    <w:rsid w:val="665E4ED8"/>
    <w:rsid w:val="66720105"/>
    <w:rsid w:val="66780355"/>
    <w:rsid w:val="667E3B26"/>
    <w:rsid w:val="66855163"/>
    <w:rsid w:val="668D2F76"/>
    <w:rsid w:val="669D111B"/>
    <w:rsid w:val="66A86CE7"/>
    <w:rsid w:val="66A9361C"/>
    <w:rsid w:val="66BC3E0D"/>
    <w:rsid w:val="66C2307A"/>
    <w:rsid w:val="66EC5E03"/>
    <w:rsid w:val="66F404DF"/>
    <w:rsid w:val="66FD2667"/>
    <w:rsid w:val="67024795"/>
    <w:rsid w:val="67332E10"/>
    <w:rsid w:val="67337219"/>
    <w:rsid w:val="67432FA1"/>
    <w:rsid w:val="675F4C1F"/>
    <w:rsid w:val="676850B6"/>
    <w:rsid w:val="67955879"/>
    <w:rsid w:val="679663D1"/>
    <w:rsid w:val="67A64AC5"/>
    <w:rsid w:val="67A663D1"/>
    <w:rsid w:val="67C73089"/>
    <w:rsid w:val="67E10ABE"/>
    <w:rsid w:val="67FC047A"/>
    <w:rsid w:val="681A18DB"/>
    <w:rsid w:val="681E4062"/>
    <w:rsid w:val="68303FFE"/>
    <w:rsid w:val="6845216B"/>
    <w:rsid w:val="684A3125"/>
    <w:rsid w:val="68640337"/>
    <w:rsid w:val="6864524C"/>
    <w:rsid w:val="687834B4"/>
    <w:rsid w:val="687E00BB"/>
    <w:rsid w:val="68924132"/>
    <w:rsid w:val="68A4505F"/>
    <w:rsid w:val="68AA4E91"/>
    <w:rsid w:val="68BB19A5"/>
    <w:rsid w:val="68EE65FA"/>
    <w:rsid w:val="68FE0B80"/>
    <w:rsid w:val="690C715D"/>
    <w:rsid w:val="69324368"/>
    <w:rsid w:val="695E1C9B"/>
    <w:rsid w:val="6978335F"/>
    <w:rsid w:val="69872FA0"/>
    <w:rsid w:val="69883508"/>
    <w:rsid w:val="699874F4"/>
    <w:rsid w:val="69B4065B"/>
    <w:rsid w:val="69EB49EF"/>
    <w:rsid w:val="69F543AD"/>
    <w:rsid w:val="69FF5F68"/>
    <w:rsid w:val="6A0348C0"/>
    <w:rsid w:val="6A0561E6"/>
    <w:rsid w:val="6A0E3484"/>
    <w:rsid w:val="6A2B4DE4"/>
    <w:rsid w:val="6A411CF3"/>
    <w:rsid w:val="6A525B54"/>
    <w:rsid w:val="6A554E4C"/>
    <w:rsid w:val="6A5634DD"/>
    <w:rsid w:val="6A6D29EA"/>
    <w:rsid w:val="6A6D66A9"/>
    <w:rsid w:val="6A7D0229"/>
    <w:rsid w:val="6A8C3AEA"/>
    <w:rsid w:val="6A923047"/>
    <w:rsid w:val="6AAF6C52"/>
    <w:rsid w:val="6ADE79A4"/>
    <w:rsid w:val="6B016D82"/>
    <w:rsid w:val="6B0A5709"/>
    <w:rsid w:val="6B0D04D9"/>
    <w:rsid w:val="6B20463D"/>
    <w:rsid w:val="6B2A62D8"/>
    <w:rsid w:val="6B420E6A"/>
    <w:rsid w:val="6B452600"/>
    <w:rsid w:val="6B5A7BC6"/>
    <w:rsid w:val="6B6339AC"/>
    <w:rsid w:val="6B64510C"/>
    <w:rsid w:val="6B68067C"/>
    <w:rsid w:val="6B6A52A7"/>
    <w:rsid w:val="6B7262E7"/>
    <w:rsid w:val="6B7632CC"/>
    <w:rsid w:val="6B7E1C3B"/>
    <w:rsid w:val="6B9A6652"/>
    <w:rsid w:val="6B9B255F"/>
    <w:rsid w:val="6B9B7D99"/>
    <w:rsid w:val="6BA93BCD"/>
    <w:rsid w:val="6BB23283"/>
    <w:rsid w:val="6BB6110A"/>
    <w:rsid w:val="6BD33444"/>
    <w:rsid w:val="6BFD0A30"/>
    <w:rsid w:val="6C283EAB"/>
    <w:rsid w:val="6C30278D"/>
    <w:rsid w:val="6C44301A"/>
    <w:rsid w:val="6C472A06"/>
    <w:rsid w:val="6C4E3194"/>
    <w:rsid w:val="6C7D5A44"/>
    <w:rsid w:val="6C865790"/>
    <w:rsid w:val="6C8B74D5"/>
    <w:rsid w:val="6C93778B"/>
    <w:rsid w:val="6CA200F0"/>
    <w:rsid w:val="6CB120C5"/>
    <w:rsid w:val="6CB57E24"/>
    <w:rsid w:val="6CBA2CA5"/>
    <w:rsid w:val="6CBB4E68"/>
    <w:rsid w:val="6CE12C67"/>
    <w:rsid w:val="6CEF35E6"/>
    <w:rsid w:val="6D00597F"/>
    <w:rsid w:val="6D144A3B"/>
    <w:rsid w:val="6D273402"/>
    <w:rsid w:val="6D276BA7"/>
    <w:rsid w:val="6D2C2D1C"/>
    <w:rsid w:val="6D550ED5"/>
    <w:rsid w:val="6D5B09CB"/>
    <w:rsid w:val="6D5B6E2D"/>
    <w:rsid w:val="6D6C477F"/>
    <w:rsid w:val="6D6D02D9"/>
    <w:rsid w:val="6D721C26"/>
    <w:rsid w:val="6D730F9E"/>
    <w:rsid w:val="6D74197E"/>
    <w:rsid w:val="6D7C6B93"/>
    <w:rsid w:val="6D844075"/>
    <w:rsid w:val="6DBC51E2"/>
    <w:rsid w:val="6DC05B50"/>
    <w:rsid w:val="6DD4764A"/>
    <w:rsid w:val="6DDE7A33"/>
    <w:rsid w:val="6DDE7DCD"/>
    <w:rsid w:val="6DDF6C4C"/>
    <w:rsid w:val="6DE501CF"/>
    <w:rsid w:val="6DE92D2C"/>
    <w:rsid w:val="6DFB3F5C"/>
    <w:rsid w:val="6E211B37"/>
    <w:rsid w:val="6E414065"/>
    <w:rsid w:val="6E454862"/>
    <w:rsid w:val="6E4A38D7"/>
    <w:rsid w:val="6E517793"/>
    <w:rsid w:val="6E783BC2"/>
    <w:rsid w:val="6E9F0F98"/>
    <w:rsid w:val="6EB52283"/>
    <w:rsid w:val="6EB8662B"/>
    <w:rsid w:val="6ECA1584"/>
    <w:rsid w:val="6EDD3662"/>
    <w:rsid w:val="6EE449F0"/>
    <w:rsid w:val="6EF03395"/>
    <w:rsid w:val="6EF96336"/>
    <w:rsid w:val="6EFC288F"/>
    <w:rsid w:val="6F0A08FB"/>
    <w:rsid w:val="6F1A00DF"/>
    <w:rsid w:val="6F215C44"/>
    <w:rsid w:val="6F2A5439"/>
    <w:rsid w:val="6F2F65B3"/>
    <w:rsid w:val="6F3431BE"/>
    <w:rsid w:val="6F3E2352"/>
    <w:rsid w:val="6F415567"/>
    <w:rsid w:val="6F55723B"/>
    <w:rsid w:val="6F5673DF"/>
    <w:rsid w:val="6F770908"/>
    <w:rsid w:val="6F861085"/>
    <w:rsid w:val="6F884440"/>
    <w:rsid w:val="6F8F1E48"/>
    <w:rsid w:val="6F9945D8"/>
    <w:rsid w:val="6F9E54E7"/>
    <w:rsid w:val="6FA60AE1"/>
    <w:rsid w:val="6FB0356D"/>
    <w:rsid w:val="6FC543CE"/>
    <w:rsid w:val="6FC95C27"/>
    <w:rsid w:val="6FCC1FFC"/>
    <w:rsid w:val="6FCE7B7A"/>
    <w:rsid w:val="6FD809F9"/>
    <w:rsid w:val="6FD8131E"/>
    <w:rsid w:val="6FE11EB6"/>
    <w:rsid w:val="6FF033BA"/>
    <w:rsid w:val="6FFE2F8D"/>
    <w:rsid w:val="700669DE"/>
    <w:rsid w:val="70231548"/>
    <w:rsid w:val="702376E0"/>
    <w:rsid w:val="70473489"/>
    <w:rsid w:val="705D2CAC"/>
    <w:rsid w:val="705D7E9A"/>
    <w:rsid w:val="706957DA"/>
    <w:rsid w:val="706E310B"/>
    <w:rsid w:val="706F443E"/>
    <w:rsid w:val="7085135F"/>
    <w:rsid w:val="709C56F0"/>
    <w:rsid w:val="709D754D"/>
    <w:rsid w:val="70AC73C6"/>
    <w:rsid w:val="70CA3156"/>
    <w:rsid w:val="70CD6499"/>
    <w:rsid w:val="70DA691A"/>
    <w:rsid w:val="70E3033B"/>
    <w:rsid w:val="70E355E0"/>
    <w:rsid w:val="70F27898"/>
    <w:rsid w:val="711E1809"/>
    <w:rsid w:val="711F0DBC"/>
    <w:rsid w:val="712612F0"/>
    <w:rsid w:val="71325C58"/>
    <w:rsid w:val="716408C7"/>
    <w:rsid w:val="71683CEA"/>
    <w:rsid w:val="717770BE"/>
    <w:rsid w:val="71810C1C"/>
    <w:rsid w:val="718A5D23"/>
    <w:rsid w:val="719C7DEC"/>
    <w:rsid w:val="71B66530"/>
    <w:rsid w:val="71C056F2"/>
    <w:rsid w:val="71D670BC"/>
    <w:rsid w:val="71F563BB"/>
    <w:rsid w:val="720355A3"/>
    <w:rsid w:val="720E039D"/>
    <w:rsid w:val="721E176B"/>
    <w:rsid w:val="7244658A"/>
    <w:rsid w:val="724A24DB"/>
    <w:rsid w:val="725105EF"/>
    <w:rsid w:val="72591224"/>
    <w:rsid w:val="725E3F36"/>
    <w:rsid w:val="725F483B"/>
    <w:rsid w:val="72640322"/>
    <w:rsid w:val="72640B40"/>
    <w:rsid w:val="726B3547"/>
    <w:rsid w:val="726D3460"/>
    <w:rsid w:val="728766E6"/>
    <w:rsid w:val="728E413E"/>
    <w:rsid w:val="729F331A"/>
    <w:rsid w:val="72C62809"/>
    <w:rsid w:val="72D7130B"/>
    <w:rsid w:val="72E72D01"/>
    <w:rsid w:val="72F223EB"/>
    <w:rsid w:val="72F3202A"/>
    <w:rsid w:val="72F736F8"/>
    <w:rsid w:val="73027B3B"/>
    <w:rsid w:val="731E2008"/>
    <w:rsid w:val="731F024D"/>
    <w:rsid w:val="732C6966"/>
    <w:rsid w:val="733C69A4"/>
    <w:rsid w:val="733D5272"/>
    <w:rsid w:val="73661E78"/>
    <w:rsid w:val="73691968"/>
    <w:rsid w:val="736B2FE5"/>
    <w:rsid w:val="73720D18"/>
    <w:rsid w:val="73B45C20"/>
    <w:rsid w:val="73BA21C4"/>
    <w:rsid w:val="73BB764C"/>
    <w:rsid w:val="73D51D18"/>
    <w:rsid w:val="73D9089C"/>
    <w:rsid w:val="73EF4EDE"/>
    <w:rsid w:val="73F330FA"/>
    <w:rsid w:val="73F817B4"/>
    <w:rsid w:val="7407684F"/>
    <w:rsid w:val="74085625"/>
    <w:rsid w:val="74252A61"/>
    <w:rsid w:val="74257971"/>
    <w:rsid w:val="74416441"/>
    <w:rsid w:val="744D4DE6"/>
    <w:rsid w:val="74517D5F"/>
    <w:rsid w:val="74632817"/>
    <w:rsid w:val="74694510"/>
    <w:rsid w:val="7469649B"/>
    <w:rsid w:val="746A6FB8"/>
    <w:rsid w:val="746E2ABD"/>
    <w:rsid w:val="74834AED"/>
    <w:rsid w:val="749926F2"/>
    <w:rsid w:val="74B07143"/>
    <w:rsid w:val="74C766AB"/>
    <w:rsid w:val="74C81F10"/>
    <w:rsid w:val="74DD29BA"/>
    <w:rsid w:val="74E31D72"/>
    <w:rsid w:val="74F852E3"/>
    <w:rsid w:val="75056299"/>
    <w:rsid w:val="75183CFD"/>
    <w:rsid w:val="751F0FBA"/>
    <w:rsid w:val="7531365E"/>
    <w:rsid w:val="753F24CB"/>
    <w:rsid w:val="75485BA0"/>
    <w:rsid w:val="754F3848"/>
    <w:rsid w:val="755740DE"/>
    <w:rsid w:val="755F67E2"/>
    <w:rsid w:val="756D2859"/>
    <w:rsid w:val="75823513"/>
    <w:rsid w:val="75834F63"/>
    <w:rsid w:val="75891776"/>
    <w:rsid w:val="75975EA9"/>
    <w:rsid w:val="75A16CA0"/>
    <w:rsid w:val="75A650F5"/>
    <w:rsid w:val="75AB270C"/>
    <w:rsid w:val="75AB4A4B"/>
    <w:rsid w:val="75B1422C"/>
    <w:rsid w:val="75B16389"/>
    <w:rsid w:val="75B83BA5"/>
    <w:rsid w:val="75F06356"/>
    <w:rsid w:val="75F9201D"/>
    <w:rsid w:val="76365ED1"/>
    <w:rsid w:val="76382AD2"/>
    <w:rsid w:val="76512F72"/>
    <w:rsid w:val="765C7562"/>
    <w:rsid w:val="76607052"/>
    <w:rsid w:val="767B20DE"/>
    <w:rsid w:val="76852E3F"/>
    <w:rsid w:val="7690083F"/>
    <w:rsid w:val="769479B8"/>
    <w:rsid w:val="76971335"/>
    <w:rsid w:val="769737B0"/>
    <w:rsid w:val="769A6A08"/>
    <w:rsid w:val="76A52CAD"/>
    <w:rsid w:val="76CB538A"/>
    <w:rsid w:val="76D914DE"/>
    <w:rsid w:val="76F31920"/>
    <w:rsid w:val="77112A42"/>
    <w:rsid w:val="77185685"/>
    <w:rsid w:val="772C162A"/>
    <w:rsid w:val="77336C0B"/>
    <w:rsid w:val="774262AE"/>
    <w:rsid w:val="7742706B"/>
    <w:rsid w:val="774630B6"/>
    <w:rsid w:val="774921DC"/>
    <w:rsid w:val="774E4B38"/>
    <w:rsid w:val="77511BFC"/>
    <w:rsid w:val="776A6350"/>
    <w:rsid w:val="77706E23"/>
    <w:rsid w:val="77914E0D"/>
    <w:rsid w:val="77A54CBD"/>
    <w:rsid w:val="77B07919"/>
    <w:rsid w:val="77B238DE"/>
    <w:rsid w:val="77D40B74"/>
    <w:rsid w:val="77DC24C0"/>
    <w:rsid w:val="77F71C38"/>
    <w:rsid w:val="78031237"/>
    <w:rsid w:val="781D024C"/>
    <w:rsid w:val="7821671D"/>
    <w:rsid w:val="78227C9A"/>
    <w:rsid w:val="782C2669"/>
    <w:rsid w:val="78514E82"/>
    <w:rsid w:val="78670B6C"/>
    <w:rsid w:val="787216C4"/>
    <w:rsid w:val="78790104"/>
    <w:rsid w:val="78795F4D"/>
    <w:rsid w:val="787A38FB"/>
    <w:rsid w:val="788D0D8C"/>
    <w:rsid w:val="78905524"/>
    <w:rsid w:val="789528E7"/>
    <w:rsid w:val="78D11F8B"/>
    <w:rsid w:val="78E63B56"/>
    <w:rsid w:val="78F46560"/>
    <w:rsid w:val="78FF4DE7"/>
    <w:rsid w:val="79003977"/>
    <w:rsid w:val="791E260E"/>
    <w:rsid w:val="79393B8B"/>
    <w:rsid w:val="793A05E9"/>
    <w:rsid w:val="793D5A12"/>
    <w:rsid w:val="79442010"/>
    <w:rsid w:val="7947274B"/>
    <w:rsid w:val="795B122E"/>
    <w:rsid w:val="796C5D0E"/>
    <w:rsid w:val="7973709D"/>
    <w:rsid w:val="79803991"/>
    <w:rsid w:val="798B2638"/>
    <w:rsid w:val="798C1D00"/>
    <w:rsid w:val="79945405"/>
    <w:rsid w:val="7998540E"/>
    <w:rsid w:val="79BF4A3B"/>
    <w:rsid w:val="79DD09BA"/>
    <w:rsid w:val="79F17337"/>
    <w:rsid w:val="79FB3A1A"/>
    <w:rsid w:val="79FC3536"/>
    <w:rsid w:val="7A0C04FD"/>
    <w:rsid w:val="7A230AC3"/>
    <w:rsid w:val="7A456C8B"/>
    <w:rsid w:val="7A535CD0"/>
    <w:rsid w:val="7A5759FD"/>
    <w:rsid w:val="7A6B1915"/>
    <w:rsid w:val="7A804167"/>
    <w:rsid w:val="7A834F93"/>
    <w:rsid w:val="7A91165F"/>
    <w:rsid w:val="7A9C4DB8"/>
    <w:rsid w:val="7AA5597C"/>
    <w:rsid w:val="7AAB0F56"/>
    <w:rsid w:val="7AAD5834"/>
    <w:rsid w:val="7AB11DEB"/>
    <w:rsid w:val="7AB24CC5"/>
    <w:rsid w:val="7AB829CC"/>
    <w:rsid w:val="7AC438A2"/>
    <w:rsid w:val="7ACA4D77"/>
    <w:rsid w:val="7ADB4602"/>
    <w:rsid w:val="7B010AC3"/>
    <w:rsid w:val="7B063BCA"/>
    <w:rsid w:val="7B0A3A31"/>
    <w:rsid w:val="7B0D3F38"/>
    <w:rsid w:val="7B3B5510"/>
    <w:rsid w:val="7B55321B"/>
    <w:rsid w:val="7B5A6766"/>
    <w:rsid w:val="7B5F1478"/>
    <w:rsid w:val="7B8437E3"/>
    <w:rsid w:val="7B871525"/>
    <w:rsid w:val="7B8B1F77"/>
    <w:rsid w:val="7BC93D8B"/>
    <w:rsid w:val="7BD007D6"/>
    <w:rsid w:val="7BD83C3B"/>
    <w:rsid w:val="7BEF58E9"/>
    <w:rsid w:val="7C02738A"/>
    <w:rsid w:val="7C0B5CB2"/>
    <w:rsid w:val="7C0C09F6"/>
    <w:rsid w:val="7C3C5E6C"/>
    <w:rsid w:val="7C4E1D77"/>
    <w:rsid w:val="7C776EA4"/>
    <w:rsid w:val="7C9175C1"/>
    <w:rsid w:val="7CBC5DBF"/>
    <w:rsid w:val="7CCD7AAC"/>
    <w:rsid w:val="7CD01990"/>
    <w:rsid w:val="7CE80291"/>
    <w:rsid w:val="7CEE6A57"/>
    <w:rsid w:val="7D23320B"/>
    <w:rsid w:val="7D415004"/>
    <w:rsid w:val="7D454800"/>
    <w:rsid w:val="7D480C45"/>
    <w:rsid w:val="7D510D1E"/>
    <w:rsid w:val="7D6116F6"/>
    <w:rsid w:val="7D6B48B5"/>
    <w:rsid w:val="7D753E75"/>
    <w:rsid w:val="7D756733"/>
    <w:rsid w:val="7D8C697F"/>
    <w:rsid w:val="7DA131B6"/>
    <w:rsid w:val="7DBB4623"/>
    <w:rsid w:val="7DC90129"/>
    <w:rsid w:val="7DD73298"/>
    <w:rsid w:val="7DE247F1"/>
    <w:rsid w:val="7DED3CF7"/>
    <w:rsid w:val="7E08723E"/>
    <w:rsid w:val="7E0E55E6"/>
    <w:rsid w:val="7E1A3F8B"/>
    <w:rsid w:val="7E2E4E3D"/>
    <w:rsid w:val="7E2F4430"/>
    <w:rsid w:val="7E3808B5"/>
    <w:rsid w:val="7E3E236F"/>
    <w:rsid w:val="7E682501"/>
    <w:rsid w:val="7E7805A7"/>
    <w:rsid w:val="7E81712E"/>
    <w:rsid w:val="7E977CD1"/>
    <w:rsid w:val="7EAA248B"/>
    <w:rsid w:val="7EAD6B68"/>
    <w:rsid w:val="7EDB34B9"/>
    <w:rsid w:val="7EE27E0A"/>
    <w:rsid w:val="7EFE7628"/>
    <w:rsid w:val="7F1457EB"/>
    <w:rsid w:val="7F1530EF"/>
    <w:rsid w:val="7F323556"/>
    <w:rsid w:val="7F376DBE"/>
    <w:rsid w:val="7F5070F9"/>
    <w:rsid w:val="7F596D35"/>
    <w:rsid w:val="7F601E71"/>
    <w:rsid w:val="7F8A13C9"/>
    <w:rsid w:val="7FB56661"/>
    <w:rsid w:val="7FB70E7A"/>
    <w:rsid w:val="7FBB179D"/>
    <w:rsid w:val="7FC156E1"/>
    <w:rsid w:val="7FD445A9"/>
    <w:rsid w:val="7FDD1714"/>
    <w:rsid w:val="7FFF7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qFormat/>
    <w:uiPriority w:val="0"/>
    <w:pPr>
      <w:keepNext/>
      <w:tabs>
        <w:tab w:val="left" w:pos="3600"/>
      </w:tabs>
      <w:adjustRightInd w:val="0"/>
      <w:snapToGrid w:val="0"/>
      <w:spacing w:line="500" w:lineRule="exact"/>
      <w:jc w:val="left"/>
      <w:outlineLvl w:val="1"/>
    </w:pPr>
    <w:rPr>
      <w:b/>
      <w:sz w:val="24"/>
    </w:rPr>
  </w:style>
  <w:style w:type="paragraph" w:styleId="4">
    <w:name w:val="heading 3"/>
    <w:basedOn w:val="1"/>
    <w:next w:val="1"/>
    <w:autoRedefine/>
    <w:qFormat/>
    <w:uiPriority w:val="0"/>
    <w:pPr>
      <w:keepNext/>
      <w:keepLines/>
      <w:tabs>
        <w:tab w:val="left" w:pos="1440"/>
      </w:tabs>
      <w:spacing w:before="120" w:after="240"/>
      <w:ind w:left="720" w:hanging="720"/>
      <w:outlineLvl w:val="2"/>
    </w:pPr>
    <w:rPr>
      <w:rFonts w:eastAsia="黑体"/>
      <w:b/>
      <w:kern w:val="0"/>
      <w:sz w:val="28"/>
      <w:szCs w:val="20"/>
    </w:rPr>
  </w:style>
  <w:style w:type="paragraph" w:styleId="5">
    <w:name w:val="heading 4"/>
    <w:basedOn w:val="1"/>
    <w:next w:val="1"/>
    <w:autoRedefine/>
    <w:qFormat/>
    <w:uiPriority w:val="0"/>
    <w:pPr>
      <w:keepNext/>
      <w:keepLines/>
      <w:numPr>
        <w:ilvl w:val="3"/>
        <w:numId w:val="1"/>
      </w:numPr>
      <w:tabs>
        <w:tab w:val="left" w:pos="420"/>
      </w:tabs>
      <w:spacing w:before="60" w:after="60" w:line="377" w:lineRule="auto"/>
      <w:outlineLvl w:val="3"/>
    </w:pPr>
    <w:rPr>
      <w:b/>
      <w:bCs/>
      <w:sz w:val="24"/>
      <w:szCs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autoRedefine/>
    <w:qFormat/>
    <w:uiPriority w:val="0"/>
    <w:pPr>
      <w:ind w:left="420" w:leftChars="200"/>
    </w:pPr>
  </w:style>
  <w:style w:type="paragraph" w:styleId="7">
    <w:name w:val="Normal Indent"/>
    <w:basedOn w:val="1"/>
    <w:autoRedefine/>
    <w:qFormat/>
    <w:uiPriority w:val="0"/>
    <w:rPr>
      <w:snapToGrid w:val="0"/>
      <w:sz w:val="28"/>
    </w:rPr>
  </w:style>
  <w:style w:type="paragraph" w:styleId="8">
    <w:name w:val="annotation text"/>
    <w:basedOn w:val="1"/>
    <w:link w:val="103"/>
    <w:autoRedefine/>
    <w:qFormat/>
    <w:uiPriority w:val="0"/>
    <w:pPr>
      <w:jc w:val="left"/>
    </w:pPr>
  </w:style>
  <w:style w:type="paragraph" w:styleId="9">
    <w:name w:val="Body Text"/>
    <w:basedOn w:val="1"/>
    <w:next w:val="10"/>
    <w:link w:val="113"/>
    <w:autoRedefine/>
    <w:qFormat/>
    <w:uiPriority w:val="0"/>
    <w:pPr>
      <w:spacing w:line="440" w:lineRule="exact"/>
      <w:textAlignment w:val="center"/>
    </w:pPr>
    <w:rPr>
      <w:rFonts w:eastAsia="华文中宋"/>
      <w:sz w:val="28"/>
    </w:rPr>
  </w:style>
  <w:style w:type="paragraph" w:customStyle="1" w:styleId="10">
    <w:name w:val="Normal (Web)1"/>
    <w:basedOn w:val="1"/>
    <w:next w:val="11"/>
    <w:autoRedefine/>
    <w:qFormat/>
    <w:uiPriority w:val="0"/>
    <w:pPr>
      <w:widowControl/>
      <w:jc w:val="left"/>
    </w:pPr>
    <w:rPr>
      <w:rFonts w:ascii="宋体"/>
      <w:kern w:val="0"/>
      <w:sz w:val="24"/>
      <w:szCs w:val="21"/>
    </w:rPr>
  </w:style>
  <w:style w:type="paragraph" w:customStyle="1" w:styleId="11">
    <w:name w:val="Date1"/>
    <w:basedOn w:val="1"/>
    <w:next w:val="1"/>
    <w:autoRedefine/>
    <w:qFormat/>
    <w:uiPriority w:val="0"/>
    <w:pPr>
      <w:ind w:left="2500" w:leftChars="2500"/>
    </w:pPr>
  </w:style>
  <w:style w:type="paragraph" w:styleId="12">
    <w:name w:val="Body Text Indent"/>
    <w:basedOn w:val="1"/>
    <w:next w:val="1"/>
    <w:autoRedefine/>
    <w:unhideWhenUsed/>
    <w:qFormat/>
    <w:uiPriority w:val="0"/>
    <w:pPr>
      <w:ind w:firstLine="480" w:firstLineChars="200"/>
    </w:pPr>
    <w:rPr>
      <w:kern w:val="0"/>
      <w:sz w:val="24"/>
    </w:rPr>
  </w:style>
  <w:style w:type="paragraph" w:styleId="13">
    <w:name w:val="List Bullet 2"/>
    <w:basedOn w:val="1"/>
    <w:next w:val="14"/>
    <w:autoRedefine/>
    <w:qFormat/>
    <w:uiPriority w:val="0"/>
    <w:pPr>
      <w:numPr>
        <w:ilvl w:val="0"/>
        <w:numId w:val="2"/>
      </w:numPr>
    </w:pPr>
  </w:style>
  <w:style w:type="paragraph" w:customStyle="1" w:styleId="14">
    <w:name w:val="xl70"/>
    <w:basedOn w:val="1"/>
    <w:next w:val="15"/>
    <w:autoRedefine/>
    <w:qFormat/>
    <w:uiPriority w:val="0"/>
    <w:pPr>
      <w:widowControl/>
      <w:spacing w:before="280" w:after="280"/>
    </w:pPr>
    <w:rPr>
      <w:rFonts w:ascii="宋体"/>
    </w:rPr>
  </w:style>
  <w:style w:type="paragraph" w:customStyle="1" w:styleId="15">
    <w:name w:val="正文缩进1"/>
    <w:basedOn w:val="1"/>
    <w:next w:val="16"/>
    <w:autoRedefine/>
    <w:qFormat/>
    <w:uiPriority w:val="0"/>
    <w:pPr>
      <w:ind w:firstLine="420"/>
    </w:pPr>
    <w:rPr>
      <w:rFonts w:ascii="宋体"/>
      <w:sz w:val="28"/>
    </w:rPr>
  </w:style>
  <w:style w:type="paragraph" w:customStyle="1" w:styleId="16">
    <w:name w:val="td1"/>
    <w:basedOn w:val="1"/>
    <w:next w:val="1"/>
    <w:autoRedefine/>
    <w:qFormat/>
    <w:uiPriority w:val="0"/>
    <w:pPr>
      <w:widowControl/>
      <w:spacing w:before="280" w:after="280" w:line="300" w:lineRule="atLeast"/>
      <w:ind w:firstLine="200"/>
    </w:pPr>
    <w:rPr>
      <w:color w:val="000000"/>
      <w:sz w:val="18"/>
    </w:rPr>
  </w:style>
  <w:style w:type="paragraph" w:styleId="17">
    <w:name w:val="toc 5"/>
    <w:basedOn w:val="1"/>
    <w:next w:val="1"/>
    <w:qFormat/>
    <w:uiPriority w:val="39"/>
    <w:pPr>
      <w:ind w:left="1680" w:leftChars="800"/>
    </w:pPr>
  </w:style>
  <w:style w:type="paragraph" w:styleId="18">
    <w:name w:val="toc 3"/>
    <w:basedOn w:val="1"/>
    <w:next w:val="1"/>
    <w:qFormat/>
    <w:uiPriority w:val="39"/>
    <w:pPr>
      <w:ind w:left="840" w:leftChars="400"/>
    </w:pPr>
  </w:style>
  <w:style w:type="paragraph" w:styleId="19">
    <w:name w:val="Plain Text"/>
    <w:basedOn w:val="1"/>
    <w:autoRedefine/>
    <w:qFormat/>
    <w:uiPriority w:val="0"/>
    <w:rPr>
      <w:rFonts w:ascii="宋体" w:hAnsi="Courier New"/>
      <w:sz w:val="28"/>
      <w:szCs w:val="21"/>
    </w:rPr>
  </w:style>
  <w:style w:type="paragraph" w:styleId="20">
    <w:name w:val="List Bullet 5"/>
    <w:basedOn w:val="1"/>
    <w:qFormat/>
    <w:uiPriority w:val="0"/>
    <w:pPr>
      <w:numPr>
        <w:ilvl w:val="0"/>
        <w:numId w:val="3"/>
      </w:numPr>
    </w:pPr>
  </w:style>
  <w:style w:type="paragraph" w:styleId="21">
    <w:name w:val="Body Text Indent 2"/>
    <w:basedOn w:val="1"/>
    <w:next w:val="1"/>
    <w:autoRedefine/>
    <w:unhideWhenUsed/>
    <w:qFormat/>
    <w:uiPriority w:val="0"/>
    <w:pPr>
      <w:spacing w:after="120" w:line="480" w:lineRule="auto"/>
      <w:ind w:left="420" w:leftChars="200"/>
    </w:pPr>
    <w:rPr>
      <w:rFonts w:hint="eastAsia"/>
    </w:rPr>
  </w:style>
  <w:style w:type="paragraph" w:styleId="22">
    <w:name w:val="Balloon Text"/>
    <w:basedOn w:val="1"/>
    <w:link w:val="136"/>
    <w:qFormat/>
    <w:uiPriority w:val="0"/>
    <w:rPr>
      <w:sz w:val="18"/>
      <w:szCs w:val="18"/>
    </w:rPr>
  </w:style>
  <w:style w:type="paragraph" w:styleId="23">
    <w:name w:val="footer"/>
    <w:basedOn w:val="1"/>
    <w:next w:val="1"/>
    <w:autoRedefine/>
    <w:qFormat/>
    <w:uiPriority w:val="99"/>
    <w:pPr>
      <w:tabs>
        <w:tab w:val="center" w:pos="4153"/>
        <w:tab w:val="right" w:pos="8306"/>
      </w:tabs>
      <w:snapToGrid w:val="0"/>
      <w:jc w:val="left"/>
    </w:pPr>
    <w:rPr>
      <w:kern w:val="0"/>
      <w:sz w:val="18"/>
      <w:szCs w:val="20"/>
    </w:rPr>
  </w:style>
  <w:style w:type="paragraph" w:styleId="2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5">
    <w:name w:val="toc 1"/>
    <w:basedOn w:val="1"/>
    <w:next w:val="1"/>
    <w:autoRedefine/>
    <w:qFormat/>
    <w:uiPriority w:val="39"/>
    <w:pPr>
      <w:widowControl/>
      <w:tabs>
        <w:tab w:val="right" w:leader="hyphen" w:pos="9060"/>
      </w:tabs>
      <w:jc w:val="left"/>
    </w:pPr>
    <w:rPr>
      <w:rFonts w:ascii="宋体" w:hAnsi="宋体" w:cs="宋体"/>
      <w:kern w:val="0"/>
      <w:sz w:val="24"/>
    </w:rPr>
  </w:style>
  <w:style w:type="paragraph" w:styleId="26">
    <w:name w:val="List"/>
    <w:basedOn w:val="1"/>
    <w:next w:val="13"/>
    <w:autoRedefine/>
    <w:qFormat/>
    <w:uiPriority w:val="0"/>
    <w:pPr>
      <w:jc w:val="center"/>
    </w:pPr>
    <w:rPr>
      <w:kern w:val="0"/>
      <w:szCs w:val="20"/>
    </w:rPr>
  </w:style>
  <w:style w:type="paragraph" w:styleId="27">
    <w:name w:val="Body Text Indent 3"/>
    <w:basedOn w:val="1"/>
    <w:autoRedefine/>
    <w:qFormat/>
    <w:uiPriority w:val="0"/>
    <w:pPr>
      <w:spacing w:after="120"/>
      <w:ind w:left="420" w:leftChars="200"/>
    </w:pPr>
    <w:rPr>
      <w:sz w:val="16"/>
      <w:szCs w:val="16"/>
    </w:rPr>
  </w:style>
  <w:style w:type="paragraph" w:styleId="28">
    <w:name w:val="toc 2"/>
    <w:basedOn w:val="1"/>
    <w:next w:val="1"/>
    <w:autoRedefine/>
    <w:qFormat/>
    <w:uiPriority w:val="39"/>
    <w:pPr>
      <w:spacing w:line="360" w:lineRule="auto"/>
      <w:ind w:firstLine="200" w:firstLineChars="200"/>
    </w:pPr>
    <w:rPr>
      <w:iCs/>
      <w:szCs w:val="20"/>
    </w:rPr>
  </w:style>
  <w:style w:type="paragraph" w:styleId="29">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30">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31">
    <w:name w:val="Title"/>
    <w:basedOn w:val="1"/>
    <w:next w:val="1"/>
    <w:autoRedefine/>
    <w:qFormat/>
    <w:uiPriority w:val="0"/>
    <w:pPr>
      <w:spacing w:before="240" w:after="60"/>
      <w:jc w:val="center"/>
      <w:outlineLvl w:val="0"/>
    </w:pPr>
    <w:rPr>
      <w:rFonts w:ascii="等线 Light" w:hAnsi="等线 Light"/>
      <w:b/>
      <w:bCs/>
      <w:sz w:val="32"/>
      <w:szCs w:val="32"/>
    </w:rPr>
  </w:style>
  <w:style w:type="paragraph" w:styleId="32">
    <w:name w:val="annotation subject"/>
    <w:basedOn w:val="8"/>
    <w:next w:val="8"/>
    <w:link w:val="104"/>
    <w:autoRedefine/>
    <w:qFormat/>
    <w:uiPriority w:val="0"/>
    <w:rPr>
      <w:b/>
      <w:bCs/>
    </w:rPr>
  </w:style>
  <w:style w:type="paragraph" w:styleId="33">
    <w:name w:val="Body Text First Indent"/>
    <w:basedOn w:val="9"/>
    <w:next w:val="1"/>
    <w:link w:val="114"/>
    <w:autoRedefine/>
    <w:qFormat/>
    <w:uiPriority w:val="0"/>
    <w:pPr>
      <w:spacing w:after="120" w:line="240" w:lineRule="auto"/>
      <w:ind w:firstLine="420" w:firstLineChars="100"/>
      <w:textAlignment w:val="auto"/>
    </w:pPr>
    <w:rPr>
      <w:rFonts w:eastAsia="宋体"/>
      <w:sz w:val="21"/>
    </w:rPr>
  </w:style>
  <w:style w:type="paragraph" w:styleId="34">
    <w:name w:val="Body Text First Indent 2"/>
    <w:basedOn w:val="12"/>
    <w:next w:val="33"/>
    <w:autoRedefine/>
    <w:qFormat/>
    <w:uiPriority w:val="0"/>
    <w:pPr>
      <w:ind w:firstLine="420"/>
    </w:p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0"/>
    <w:rPr>
      <w:b/>
    </w:rPr>
  </w:style>
  <w:style w:type="character" w:styleId="39">
    <w:name w:val="page number"/>
    <w:basedOn w:val="37"/>
    <w:autoRedefine/>
    <w:qFormat/>
    <w:uiPriority w:val="0"/>
  </w:style>
  <w:style w:type="character" w:styleId="40">
    <w:name w:val="FollowedHyperlink"/>
    <w:basedOn w:val="37"/>
    <w:autoRedefine/>
    <w:qFormat/>
    <w:uiPriority w:val="0"/>
    <w:rPr>
      <w:color w:val="800080"/>
      <w:u w:val="none"/>
    </w:rPr>
  </w:style>
  <w:style w:type="character" w:styleId="41">
    <w:name w:val="Emphasis"/>
    <w:basedOn w:val="37"/>
    <w:autoRedefine/>
    <w:qFormat/>
    <w:uiPriority w:val="0"/>
  </w:style>
  <w:style w:type="character" w:styleId="42">
    <w:name w:val="HTML Definition"/>
    <w:basedOn w:val="37"/>
    <w:autoRedefine/>
    <w:qFormat/>
    <w:uiPriority w:val="0"/>
  </w:style>
  <w:style w:type="character" w:styleId="43">
    <w:name w:val="HTML Variable"/>
    <w:basedOn w:val="37"/>
    <w:autoRedefine/>
    <w:qFormat/>
    <w:uiPriority w:val="0"/>
  </w:style>
  <w:style w:type="character" w:styleId="44">
    <w:name w:val="Hyperlink"/>
    <w:basedOn w:val="37"/>
    <w:autoRedefine/>
    <w:qFormat/>
    <w:uiPriority w:val="0"/>
    <w:rPr>
      <w:color w:val="0000FF"/>
      <w:u w:val="none"/>
    </w:rPr>
  </w:style>
  <w:style w:type="character" w:styleId="45">
    <w:name w:val="HTML Code"/>
    <w:basedOn w:val="37"/>
    <w:autoRedefine/>
    <w:qFormat/>
    <w:uiPriority w:val="0"/>
    <w:rPr>
      <w:rFonts w:ascii="Courier New" w:hAnsi="Courier New"/>
      <w:sz w:val="20"/>
    </w:rPr>
  </w:style>
  <w:style w:type="character" w:styleId="46">
    <w:name w:val="annotation reference"/>
    <w:basedOn w:val="37"/>
    <w:autoRedefine/>
    <w:qFormat/>
    <w:uiPriority w:val="0"/>
    <w:rPr>
      <w:sz w:val="21"/>
      <w:szCs w:val="21"/>
    </w:rPr>
  </w:style>
  <w:style w:type="character" w:styleId="47">
    <w:name w:val="HTML Cite"/>
    <w:basedOn w:val="37"/>
    <w:autoRedefine/>
    <w:qFormat/>
    <w:uiPriority w:val="0"/>
  </w:style>
  <w:style w:type="character" w:styleId="48">
    <w:name w:val="HTML Keyboard"/>
    <w:basedOn w:val="37"/>
    <w:autoRedefine/>
    <w:qFormat/>
    <w:uiPriority w:val="0"/>
    <w:rPr>
      <w:rFonts w:ascii="Courier New" w:hAnsi="Courier New"/>
      <w:sz w:val="20"/>
    </w:rPr>
  </w:style>
  <w:style w:type="character" w:styleId="49">
    <w:name w:val="HTML Sample"/>
    <w:basedOn w:val="37"/>
    <w:autoRedefine/>
    <w:qFormat/>
    <w:uiPriority w:val="0"/>
    <w:rPr>
      <w:rFonts w:ascii="Courier New" w:hAnsi="Courier New"/>
      <w:u w:val="none"/>
    </w:rPr>
  </w:style>
  <w:style w:type="paragraph" w:customStyle="1" w:styleId="50">
    <w:name w:val="Default"/>
    <w:basedOn w:val="51"/>
    <w:next w:val="1"/>
    <w:autoRedefine/>
    <w:qFormat/>
    <w:uiPriority w:val="0"/>
    <w:pPr>
      <w:widowControl w:val="0"/>
      <w:autoSpaceDE w:val="0"/>
      <w:autoSpaceDN w:val="0"/>
    </w:pPr>
    <w:rPr>
      <w:rFonts w:hAnsi="Calibri" w:cs="宋体"/>
      <w:color w:val="000000"/>
      <w:szCs w:val="24"/>
    </w:rPr>
  </w:style>
  <w:style w:type="paragraph" w:customStyle="1" w:styleId="51">
    <w:name w:val="纯文本1"/>
    <w:autoRedefine/>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52">
    <w:name w:val="样式 正文首行缩进 + 首行缩进:  2 字符1"/>
    <w:basedOn w:val="1"/>
    <w:next w:val="25"/>
    <w:autoRedefine/>
    <w:qFormat/>
    <w:uiPriority w:val="0"/>
    <w:pPr>
      <w:spacing w:line="360" w:lineRule="auto"/>
      <w:ind w:firstLine="480" w:firstLineChars="200"/>
    </w:pPr>
    <w:rPr>
      <w:sz w:val="24"/>
    </w:rPr>
  </w:style>
  <w:style w:type="paragraph" w:customStyle="1" w:styleId="53">
    <w:name w:val="11111"/>
    <w:basedOn w:val="1"/>
    <w:next w:val="1"/>
    <w:autoRedefine/>
    <w:qFormat/>
    <w:uiPriority w:val="0"/>
    <w:pPr>
      <w:spacing w:line="360" w:lineRule="auto"/>
      <w:ind w:firstLine="200" w:firstLineChars="200"/>
    </w:pPr>
    <w:rPr>
      <w:rFonts w:ascii="宋体" w:hAnsi="宋体" w:cs="宋体"/>
      <w:sz w:val="24"/>
    </w:rPr>
  </w:style>
  <w:style w:type="paragraph" w:customStyle="1" w:styleId="54">
    <w:name w:val="列出段落1"/>
    <w:basedOn w:val="1"/>
    <w:autoRedefine/>
    <w:qFormat/>
    <w:uiPriority w:val="99"/>
    <w:pPr>
      <w:ind w:firstLine="420" w:firstLineChars="200"/>
    </w:pPr>
    <w:rPr>
      <w:rFonts w:ascii="Calibri" w:hAnsi="Calibri"/>
      <w:szCs w:val="22"/>
    </w:rPr>
  </w:style>
  <w:style w:type="paragraph" w:customStyle="1" w:styleId="55">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Cs w:val="20"/>
    </w:rPr>
  </w:style>
  <w:style w:type="paragraph" w:customStyle="1" w:styleId="56">
    <w:name w:val="表格"/>
    <w:basedOn w:val="1"/>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57">
    <w:name w:val="【正文】"/>
    <w:basedOn w:val="1"/>
    <w:link w:val="72"/>
    <w:autoRedefine/>
    <w:qFormat/>
    <w:uiPriority w:val="0"/>
    <w:pPr>
      <w:spacing w:line="500" w:lineRule="exact"/>
      <w:ind w:firstLine="200" w:firstLineChars="200"/>
    </w:pPr>
    <w:rPr>
      <w:kern w:val="0"/>
      <w:sz w:val="24"/>
      <w:szCs w:val="20"/>
    </w:rPr>
  </w:style>
  <w:style w:type="paragraph" w:customStyle="1" w:styleId="58">
    <w:name w:val="_Style 4"/>
    <w:basedOn w:val="1"/>
    <w:autoRedefine/>
    <w:qFormat/>
    <w:uiPriority w:val="0"/>
    <w:pPr>
      <w:snapToGrid w:val="0"/>
      <w:spacing w:line="360" w:lineRule="auto"/>
      <w:ind w:firstLine="529" w:firstLineChars="200"/>
    </w:pPr>
  </w:style>
  <w:style w:type="paragraph" w:customStyle="1" w:styleId="59">
    <w:name w:val="【表中文字】"/>
    <w:basedOn w:val="60"/>
    <w:autoRedefine/>
    <w:qFormat/>
    <w:uiPriority w:val="0"/>
    <w:rPr>
      <w:szCs w:val="20"/>
    </w:rPr>
  </w:style>
  <w:style w:type="paragraph" w:customStyle="1" w:styleId="60">
    <w:name w:val=".表1-1-1内容"/>
    <w:basedOn w:val="1"/>
    <w:qFormat/>
    <w:uiPriority w:val="0"/>
    <w:pPr>
      <w:spacing w:line="300" w:lineRule="exact"/>
      <w:jc w:val="center"/>
    </w:pPr>
    <w:rPr>
      <w:kern w:val="0"/>
      <w:szCs w:val="21"/>
    </w:rPr>
  </w:style>
  <w:style w:type="paragraph" w:customStyle="1" w:styleId="61">
    <w:name w:val="表格文字"/>
    <w:basedOn w:val="62"/>
    <w:next w:val="1"/>
    <w:autoRedefine/>
    <w:qFormat/>
    <w:uiPriority w:val="0"/>
    <w:pPr>
      <w:widowControl/>
      <w:tabs>
        <w:tab w:val="left" w:pos="567"/>
      </w:tabs>
    </w:pPr>
    <w:rPr>
      <w:rFonts w:hAnsi="宋体" w:cs="宋体"/>
      <w:color w:val="000000"/>
      <w:szCs w:val="21"/>
    </w:rPr>
  </w:style>
  <w:style w:type="paragraph" w:customStyle="1" w:styleId="62">
    <w:name w:val="表头"/>
    <w:basedOn w:val="63"/>
    <w:next w:val="19"/>
    <w:autoRedefine/>
    <w:qFormat/>
    <w:uiPriority w:val="0"/>
    <w:pPr>
      <w:tabs>
        <w:tab w:val="left" w:pos="567"/>
      </w:tabs>
      <w:snapToGrid w:val="0"/>
      <w:spacing w:line="360" w:lineRule="auto"/>
    </w:pPr>
    <w:rPr>
      <w:rFonts w:eastAsia="黑体"/>
      <w:szCs w:val="22"/>
    </w:rPr>
  </w:style>
  <w:style w:type="paragraph" w:customStyle="1" w:styleId="63">
    <w:name w:val="正文1"/>
    <w:basedOn w:val="64"/>
    <w:autoRedefine/>
    <w:qFormat/>
    <w:uiPriority w:val="0"/>
    <w:pPr>
      <w:tabs>
        <w:tab w:val="left" w:pos="567"/>
      </w:tabs>
    </w:pPr>
  </w:style>
  <w:style w:type="paragraph" w:customStyle="1" w:styleId="64">
    <w:name w:val="正文11"/>
    <w:qFormat/>
    <w:uiPriority w:val="0"/>
    <w:pPr>
      <w:widowControl w:val="0"/>
      <w:tabs>
        <w:tab w:val="left" w:pos="567"/>
      </w:tabs>
      <w:adjustRightInd w:val="0"/>
      <w:spacing w:line="360" w:lineRule="atLeast"/>
      <w:ind w:left="567" w:hanging="567"/>
      <w:textAlignment w:val="baseline"/>
    </w:pPr>
    <w:rPr>
      <w:rFonts w:ascii="宋体" w:hAnsi="Times New Roman" w:eastAsia="宋体" w:cs="Times New Roman"/>
      <w:sz w:val="24"/>
      <w:lang w:val="en-US" w:eastAsia="zh-CN" w:bidi="ar-SA"/>
    </w:rPr>
  </w:style>
  <w:style w:type="paragraph" w:customStyle="1" w:styleId="65">
    <w:name w:val="样式4"/>
    <w:basedOn w:val="1"/>
    <w:autoRedefine/>
    <w:qFormat/>
    <w:uiPriority w:val="0"/>
    <w:pPr>
      <w:adjustRightInd w:val="0"/>
      <w:snapToGrid w:val="0"/>
      <w:jc w:val="center"/>
    </w:pPr>
    <w:rPr>
      <w:sz w:val="24"/>
      <w:szCs w:val="20"/>
    </w:rPr>
  </w:style>
  <w:style w:type="paragraph" w:customStyle="1" w:styleId="66">
    <w:name w:val="正文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7">
    <w:name w:val="【表头】"/>
    <w:basedOn w:val="1"/>
    <w:next w:val="1"/>
    <w:autoRedefine/>
    <w:qFormat/>
    <w:uiPriority w:val="0"/>
    <w:pPr>
      <w:spacing w:line="460" w:lineRule="exact"/>
      <w:jc w:val="center"/>
    </w:pPr>
    <w:rPr>
      <w:b/>
      <w:kern w:val="0"/>
      <w:sz w:val="24"/>
      <w:szCs w:val="20"/>
    </w:rPr>
  </w:style>
  <w:style w:type="paragraph" w:customStyle="1" w:styleId="68">
    <w:name w:val="内容"/>
    <w:basedOn w:val="1"/>
    <w:autoRedefine/>
    <w:qFormat/>
    <w:uiPriority w:val="0"/>
    <w:pPr>
      <w:spacing w:beforeLines="50" w:afterLines="50"/>
      <w:ind w:firstLine="200" w:firstLineChars="200"/>
    </w:pPr>
    <w:rPr>
      <w:color w:val="000000"/>
      <w:sz w:val="24"/>
    </w:rPr>
  </w:style>
  <w:style w:type="paragraph" w:customStyle="1" w:styleId="69">
    <w:name w:val="正文00"/>
    <w:basedOn w:val="1"/>
    <w:next w:val="70"/>
    <w:autoRedefine/>
    <w:qFormat/>
    <w:uiPriority w:val="0"/>
    <w:pPr>
      <w:spacing w:line="360" w:lineRule="auto"/>
      <w:ind w:firstLine="480" w:firstLineChars="200"/>
    </w:pPr>
    <w:rPr>
      <w:sz w:val="24"/>
    </w:rPr>
  </w:style>
  <w:style w:type="paragraph" w:customStyle="1" w:styleId="70">
    <w:name w:val="样式 Times New Roman 五号 居中1"/>
    <w:basedOn w:val="1"/>
    <w:next w:val="62"/>
    <w:autoRedefine/>
    <w:qFormat/>
    <w:uiPriority w:val="0"/>
    <w:pPr>
      <w:jc w:val="center"/>
    </w:pPr>
    <w:rPr>
      <w:rFonts w:cs="宋体"/>
    </w:rPr>
  </w:style>
  <w:style w:type="paragraph" w:customStyle="1" w:styleId="71">
    <w:name w:val="表中文字"/>
    <w:basedOn w:val="62"/>
    <w:autoRedefine/>
    <w:qFormat/>
    <w:uiPriority w:val="0"/>
    <w:pPr>
      <w:jc w:val="center"/>
    </w:pPr>
  </w:style>
  <w:style w:type="character" w:customStyle="1" w:styleId="72">
    <w:name w:val="【正文】 Char"/>
    <w:link w:val="57"/>
    <w:autoRedefine/>
    <w:qFormat/>
    <w:uiPriority w:val="0"/>
    <w:rPr>
      <w:kern w:val="0"/>
      <w:sz w:val="24"/>
      <w:szCs w:val="20"/>
    </w:rPr>
  </w:style>
  <w:style w:type="paragraph" w:customStyle="1" w:styleId="73">
    <w:name w:val="巴彦正文"/>
    <w:basedOn w:val="1"/>
    <w:autoRedefine/>
    <w:qFormat/>
    <w:uiPriority w:val="0"/>
    <w:pPr>
      <w:spacing w:line="360" w:lineRule="auto"/>
      <w:ind w:firstLine="200" w:firstLineChars="200"/>
    </w:pPr>
    <w:rPr>
      <w:sz w:val="28"/>
    </w:rPr>
  </w:style>
  <w:style w:type="paragraph" w:customStyle="1" w:styleId="74">
    <w:name w:val="北京正文2"/>
    <w:basedOn w:val="1"/>
    <w:autoRedefine/>
    <w:qFormat/>
    <w:uiPriority w:val="0"/>
    <w:pPr>
      <w:adjustRightInd w:val="0"/>
      <w:snapToGrid w:val="0"/>
      <w:spacing w:line="360" w:lineRule="auto"/>
      <w:ind w:firstLine="200" w:firstLineChars="200"/>
    </w:pPr>
    <w:rPr>
      <w:snapToGrid w:val="0"/>
      <w:color w:val="0070C0"/>
      <w:kern w:val="0"/>
      <w:sz w:val="24"/>
    </w:rPr>
  </w:style>
  <w:style w:type="paragraph" w:customStyle="1" w:styleId="75">
    <w:name w:val="cucd-0"/>
    <w:autoRedefine/>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76">
    <w:name w:val="表内文字-lgf"/>
    <w:basedOn w:val="1"/>
    <w:autoRedefine/>
    <w:qFormat/>
    <w:uiPriority w:val="0"/>
    <w:pPr>
      <w:adjustRightInd w:val="0"/>
      <w:snapToGrid w:val="0"/>
      <w:jc w:val="center"/>
    </w:pPr>
    <w:rPr>
      <w:bCs/>
      <w:spacing w:val="-2"/>
      <w:kern w:val="0"/>
      <w:szCs w:val="21"/>
    </w:rPr>
  </w:style>
  <w:style w:type="paragraph" w:customStyle="1" w:styleId="77">
    <w:name w:val="表格文字居中"/>
    <w:basedOn w:val="1"/>
    <w:next w:val="1"/>
    <w:autoRedefine/>
    <w:qFormat/>
    <w:uiPriority w:val="0"/>
    <w:pPr>
      <w:keepNext/>
      <w:adjustRightInd w:val="0"/>
      <w:snapToGrid w:val="0"/>
      <w:spacing w:line="0" w:lineRule="atLeast"/>
      <w:jc w:val="center"/>
    </w:pPr>
    <w:rPr>
      <w:rFonts w:hAnsi="宋体"/>
      <w:color w:val="FF0000"/>
      <w:szCs w:val="21"/>
    </w:rPr>
  </w:style>
  <w:style w:type="character" w:customStyle="1" w:styleId="78">
    <w:name w:val="before4"/>
    <w:basedOn w:val="37"/>
    <w:autoRedefine/>
    <w:qFormat/>
    <w:uiPriority w:val="0"/>
    <w:rPr>
      <w:color w:val="FF6600"/>
      <w:bdr w:val="single" w:color="237C96" w:sz="36" w:space="0"/>
    </w:rPr>
  </w:style>
  <w:style w:type="character" w:customStyle="1" w:styleId="79">
    <w:name w:val="hover15"/>
    <w:basedOn w:val="37"/>
    <w:autoRedefine/>
    <w:qFormat/>
    <w:uiPriority w:val="0"/>
    <w:rPr>
      <w:color w:val="FF6600"/>
    </w:rPr>
  </w:style>
  <w:style w:type="character" w:customStyle="1" w:styleId="80">
    <w:name w:val="before8"/>
    <w:basedOn w:val="37"/>
    <w:autoRedefine/>
    <w:qFormat/>
    <w:uiPriority w:val="0"/>
    <w:rPr>
      <w:color w:val="FF6600"/>
      <w:bdr w:val="single" w:color="237C96" w:sz="36" w:space="0"/>
    </w:rPr>
  </w:style>
  <w:style w:type="character" w:customStyle="1" w:styleId="81">
    <w:name w:val="hover14"/>
    <w:basedOn w:val="37"/>
    <w:autoRedefine/>
    <w:qFormat/>
    <w:uiPriority w:val="0"/>
    <w:rPr>
      <w:color w:val="FF6600"/>
    </w:rPr>
  </w:style>
  <w:style w:type="paragraph" w:customStyle="1" w:styleId="82">
    <w:name w:val="表内字"/>
    <w:autoRedefine/>
    <w:qFormat/>
    <w:uiPriority w:val="0"/>
    <w:pPr>
      <w:spacing w:line="312" w:lineRule="auto"/>
      <w:jc w:val="center"/>
    </w:pPr>
    <w:rPr>
      <w:rFonts w:ascii="Times New Roman" w:hAnsi="Times New Roman" w:eastAsia="宋体" w:cs="Times New Roman"/>
      <w:color w:val="000000"/>
      <w:sz w:val="21"/>
      <w:lang w:val="en-US" w:eastAsia="zh-CN" w:bidi="ar-SA"/>
    </w:rPr>
  </w:style>
  <w:style w:type="paragraph" w:customStyle="1" w:styleId="83">
    <w:name w:val="表文"/>
    <w:basedOn w:val="1"/>
    <w:autoRedefine/>
    <w:qFormat/>
    <w:uiPriority w:val="0"/>
    <w:pPr>
      <w:tabs>
        <w:tab w:val="left" w:pos="1021"/>
      </w:tabs>
      <w:spacing w:line="360" w:lineRule="auto"/>
      <w:jc w:val="center"/>
    </w:pPr>
    <w:rPr>
      <w:kern w:val="0"/>
      <w:position w:val="-24"/>
      <w:szCs w:val="21"/>
    </w:rPr>
  </w:style>
  <w:style w:type="paragraph" w:customStyle="1" w:styleId="84">
    <w:name w:val="Table Paragraph"/>
    <w:basedOn w:val="1"/>
    <w:autoRedefine/>
    <w:qFormat/>
    <w:uiPriority w:val="0"/>
    <w:pPr>
      <w:jc w:val="left"/>
    </w:pPr>
    <w:rPr>
      <w:rFonts w:ascii="Calibri" w:hAnsi="Calibri"/>
      <w:kern w:val="0"/>
      <w:sz w:val="22"/>
      <w:lang w:eastAsia="en-US"/>
    </w:rPr>
  </w:style>
  <w:style w:type="paragraph" w:customStyle="1" w:styleId="85">
    <w:name w:val="表格题目"/>
    <w:basedOn w:val="1"/>
    <w:autoRedefine/>
    <w:qFormat/>
    <w:uiPriority w:val="0"/>
    <w:pPr>
      <w:spacing w:line="240" w:lineRule="atLeast"/>
      <w:jc w:val="center"/>
    </w:pPr>
    <w:rPr>
      <w:rFonts w:ascii="黑体" w:hAnsi="宋体" w:eastAsia="黑体"/>
      <w:sz w:val="24"/>
    </w:rPr>
  </w:style>
  <w:style w:type="paragraph" w:customStyle="1" w:styleId="86">
    <w:name w:val="【表中文字】-"/>
    <w:basedOn w:val="1"/>
    <w:autoRedefine/>
    <w:qFormat/>
    <w:uiPriority w:val="0"/>
    <w:pPr>
      <w:widowControl/>
      <w:jc w:val="center"/>
    </w:pPr>
    <w:rPr>
      <w:kern w:val="0"/>
      <w:sz w:val="20"/>
      <w:szCs w:val="20"/>
    </w:rPr>
  </w:style>
  <w:style w:type="paragraph" w:customStyle="1" w:styleId="87">
    <w:name w:val="正文2"/>
    <w:autoRedefine/>
    <w:qFormat/>
    <w:uiPriority w:val="0"/>
    <w:pPr>
      <w:widowControl w:val="0"/>
      <w:adjustRightInd w:val="0"/>
      <w:spacing w:line="360" w:lineRule="atLeast"/>
    </w:pPr>
    <w:rPr>
      <w:rFonts w:ascii="宋体" w:hAnsi="Times New Roman" w:eastAsia="宋体" w:cs="Times New Roman"/>
      <w:sz w:val="24"/>
      <w:lang w:val="en-US" w:eastAsia="zh-CN" w:bidi="ar-SA"/>
    </w:rPr>
  </w:style>
  <w:style w:type="paragraph" w:customStyle="1" w:styleId="88">
    <w:name w:val="正文小标题"/>
    <w:basedOn w:val="1"/>
    <w:next w:val="1"/>
    <w:autoRedefine/>
    <w:qFormat/>
    <w:uiPriority w:val="0"/>
    <w:pPr>
      <w:jc w:val="center"/>
    </w:pPr>
    <w:rPr>
      <w:b/>
      <w:kern w:val="0"/>
      <w:szCs w:val="18"/>
    </w:rPr>
  </w:style>
  <w:style w:type="paragraph" w:customStyle="1" w:styleId="89">
    <w:name w:val="正文 表格  居中"/>
    <w:basedOn w:val="1"/>
    <w:next w:val="1"/>
    <w:autoRedefine/>
    <w:qFormat/>
    <w:uiPriority w:val="0"/>
    <w:pPr>
      <w:jc w:val="center"/>
    </w:pPr>
  </w:style>
  <w:style w:type="table" w:customStyle="1" w:styleId="90">
    <w:name w:val="Table Normal"/>
    <w:autoRedefine/>
    <w:unhideWhenUsed/>
    <w:qFormat/>
    <w:uiPriority w:val="0"/>
    <w:tblPr>
      <w:tblCellMar>
        <w:top w:w="0" w:type="dxa"/>
        <w:left w:w="0" w:type="dxa"/>
        <w:bottom w:w="0" w:type="dxa"/>
        <w:right w:w="0" w:type="dxa"/>
      </w:tblCellMar>
    </w:tblPr>
  </w:style>
  <w:style w:type="paragraph" w:customStyle="1" w:styleId="91">
    <w:name w:val="表格正文"/>
    <w:autoRedefine/>
    <w:qFormat/>
    <w:uiPriority w:val="0"/>
    <w:pPr>
      <w:adjustRightInd w:val="0"/>
      <w:snapToGrid w:val="0"/>
      <w:jc w:val="center"/>
    </w:pPr>
    <w:rPr>
      <w:rFonts w:ascii="Times New Roman" w:hAnsi="Times New Roman" w:eastAsia="宋体" w:cs="Times New Roman"/>
      <w:color w:val="FF0000"/>
      <w:kern w:val="2"/>
      <w:sz w:val="21"/>
      <w:szCs w:val="21"/>
      <w:lang w:val="en-US" w:eastAsia="zh-CN" w:bidi="ar-SA"/>
    </w:rPr>
  </w:style>
  <w:style w:type="paragraph" w:customStyle="1" w:styleId="92">
    <w:name w:val="a正文"/>
    <w:basedOn w:val="93"/>
    <w:autoRedefine/>
    <w:qFormat/>
    <w:uiPriority w:val="0"/>
    <w:pPr>
      <w:spacing w:line="520" w:lineRule="exact"/>
      <w:ind w:firstLine="200"/>
    </w:pPr>
    <w:rPr>
      <w:sz w:val="24"/>
    </w:rPr>
  </w:style>
  <w:style w:type="paragraph" w:customStyle="1" w:styleId="93">
    <w:name w:val="正文格式"/>
    <w:basedOn w:val="1"/>
    <w:autoRedefine/>
    <w:qFormat/>
    <w:uiPriority w:val="0"/>
    <w:pPr>
      <w:spacing w:line="360" w:lineRule="auto"/>
      <w:ind w:firstLine="420" w:firstLineChars="200"/>
    </w:pPr>
    <w:rPr>
      <w:kern w:val="0"/>
      <w:szCs w:val="21"/>
    </w:rPr>
  </w:style>
  <w:style w:type="paragraph" w:customStyle="1" w:styleId="94">
    <w:name w:val="表中的文字"/>
    <w:basedOn w:val="31"/>
    <w:autoRedefine/>
    <w:qFormat/>
    <w:uiPriority w:val="0"/>
    <w:pPr>
      <w:spacing w:before="0" w:after="0"/>
      <w:outlineLvl w:val="9"/>
    </w:pPr>
    <w:rPr>
      <w:rFonts w:ascii="Times New Roman" w:hAnsi="Times New Roman"/>
      <w:b w:val="0"/>
      <w:sz w:val="21"/>
      <w:szCs w:val="21"/>
    </w:rPr>
  </w:style>
  <w:style w:type="paragraph" w:customStyle="1" w:styleId="95">
    <w:name w:val="表格内文字"/>
    <w:basedOn w:val="1"/>
    <w:next w:val="1"/>
    <w:autoRedefine/>
    <w:qFormat/>
    <w:uiPriority w:val="0"/>
    <w:pPr>
      <w:widowControl/>
      <w:tabs>
        <w:tab w:val="left" w:pos="3345"/>
      </w:tabs>
      <w:adjustRightInd w:val="0"/>
      <w:snapToGrid w:val="0"/>
      <w:jc w:val="center"/>
    </w:pPr>
    <w:rPr>
      <w:iCs/>
      <w:kern w:val="0"/>
      <w:szCs w:val="18"/>
    </w:rPr>
  </w:style>
  <w:style w:type="paragraph" w:customStyle="1" w:styleId="96">
    <w:name w:val="C首行缩进正文"/>
    <w:basedOn w:val="57"/>
    <w:autoRedefine/>
    <w:qFormat/>
    <w:uiPriority w:val="0"/>
  </w:style>
  <w:style w:type="paragraph" w:customStyle="1" w:styleId="97">
    <w:name w:val="C【表头】"/>
    <w:basedOn w:val="1"/>
    <w:autoRedefine/>
    <w:qFormat/>
    <w:uiPriority w:val="0"/>
    <w:pPr>
      <w:widowControl/>
      <w:adjustRightInd w:val="0"/>
      <w:snapToGrid w:val="0"/>
      <w:jc w:val="center"/>
    </w:pPr>
    <w:rPr>
      <w:rFonts w:eastAsia="黑体" w:cs="宋体"/>
      <w:kern w:val="0"/>
      <w:sz w:val="24"/>
      <w:szCs w:val="20"/>
    </w:rPr>
  </w:style>
  <w:style w:type="paragraph" w:customStyle="1" w:styleId="98">
    <w:name w:val="C【表中文字】-"/>
    <w:basedOn w:val="1"/>
    <w:autoRedefine/>
    <w:qFormat/>
    <w:uiPriority w:val="0"/>
    <w:pPr>
      <w:adjustRightInd w:val="0"/>
      <w:snapToGrid w:val="0"/>
      <w:jc w:val="center"/>
    </w:pPr>
    <w:rPr>
      <w:kern w:val="0"/>
      <w:szCs w:val="20"/>
    </w:rPr>
  </w:style>
  <w:style w:type="character" w:customStyle="1" w:styleId="99">
    <w:name w:val="【正文】 Char1"/>
    <w:autoRedefine/>
    <w:qFormat/>
    <w:uiPriority w:val="0"/>
    <w:rPr>
      <w:rFonts w:ascii="Times New Roman" w:hAnsi="Times New Roman" w:eastAsia="宋体"/>
      <w:sz w:val="24"/>
    </w:rPr>
  </w:style>
  <w:style w:type="paragraph" w:customStyle="1" w:styleId="100">
    <w:name w:val="C表两端"/>
    <w:basedOn w:val="1"/>
    <w:autoRedefine/>
    <w:qFormat/>
    <w:uiPriority w:val="0"/>
    <w:pPr>
      <w:adjustRightInd w:val="0"/>
      <w:snapToGrid w:val="0"/>
    </w:pPr>
    <w:rPr>
      <w:kern w:val="0"/>
      <w:szCs w:val="20"/>
    </w:rPr>
  </w:style>
  <w:style w:type="paragraph" w:customStyle="1" w:styleId="101">
    <w:name w:val="首行缩进正文"/>
    <w:basedOn w:val="57"/>
    <w:autoRedefine/>
    <w:qFormat/>
    <w:uiPriority w:val="0"/>
    <w:pPr>
      <w:spacing w:line="240" w:lineRule="auto"/>
    </w:pPr>
    <w:rPr>
      <w:sz w:val="21"/>
    </w:rPr>
  </w:style>
  <w:style w:type="paragraph" w:customStyle="1" w:styleId="102">
    <w:name w:val="标准正文"/>
    <w:basedOn w:val="1"/>
    <w:autoRedefine/>
    <w:qFormat/>
    <w:uiPriority w:val="0"/>
    <w:pPr>
      <w:widowControl/>
      <w:spacing w:before="60" w:after="60" w:line="360" w:lineRule="auto"/>
      <w:ind w:firstLine="482"/>
      <w:jc w:val="left"/>
    </w:pPr>
    <w:rPr>
      <w:rFonts w:ascii="Arial" w:hAnsi="Arial"/>
      <w:sz w:val="24"/>
      <w:szCs w:val="21"/>
      <w:lang w:eastAsia="en-US" w:bidi="en-US"/>
    </w:rPr>
  </w:style>
  <w:style w:type="character" w:customStyle="1" w:styleId="103">
    <w:name w:val="批注文字 Char"/>
    <w:basedOn w:val="37"/>
    <w:link w:val="8"/>
    <w:autoRedefine/>
    <w:qFormat/>
    <w:uiPriority w:val="0"/>
    <w:rPr>
      <w:kern w:val="2"/>
      <w:sz w:val="21"/>
      <w:szCs w:val="24"/>
    </w:rPr>
  </w:style>
  <w:style w:type="character" w:customStyle="1" w:styleId="104">
    <w:name w:val="批注主题 Char"/>
    <w:basedOn w:val="103"/>
    <w:link w:val="32"/>
    <w:autoRedefine/>
    <w:qFormat/>
    <w:uiPriority w:val="0"/>
    <w:rPr>
      <w:b/>
      <w:bCs/>
      <w:kern w:val="2"/>
      <w:sz w:val="21"/>
      <w:szCs w:val="24"/>
    </w:rPr>
  </w:style>
  <w:style w:type="paragraph" w:customStyle="1" w:styleId="105">
    <w:name w:val="WPSOffice手动目录 1"/>
    <w:autoRedefine/>
    <w:qFormat/>
    <w:uiPriority w:val="0"/>
    <w:rPr>
      <w:rFonts w:ascii="Times New Roman" w:hAnsi="Times New Roman" w:eastAsia="宋体" w:cs="Times New Roman"/>
      <w:lang w:val="en-US" w:eastAsia="zh-CN" w:bidi="ar-SA"/>
    </w:rPr>
  </w:style>
  <w:style w:type="paragraph" w:customStyle="1" w:styleId="106">
    <w:name w:val="报告书正文"/>
    <w:basedOn w:val="1"/>
    <w:autoRedefine/>
    <w:qFormat/>
    <w:uiPriority w:val="0"/>
    <w:pPr>
      <w:adjustRightInd w:val="0"/>
      <w:snapToGrid w:val="0"/>
      <w:spacing w:line="360" w:lineRule="auto"/>
      <w:ind w:firstLine="425"/>
      <w:textAlignment w:val="baseline"/>
    </w:pPr>
    <w:rPr>
      <w:rFonts w:ascii="Arial" w:hAnsi="Arial"/>
      <w:kern w:val="0"/>
      <w:sz w:val="24"/>
    </w:rPr>
  </w:style>
  <w:style w:type="paragraph" w:customStyle="1" w:styleId="107">
    <w:name w:val="填表样式"/>
    <w:basedOn w:val="1"/>
    <w:autoRedefine/>
    <w:qFormat/>
    <w:uiPriority w:val="0"/>
    <w:pPr>
      <w:adjustRightInd w:val="0"/>
      <w:snapToGrid w:val="0"/>
      <w:spacing w:line="360" w:lineRule="auto"/>
      <w:ind w:firstLine="720" w:firstLineChars="200"/>
    </w:pPr>
  </w:style>
  <w:style w:type="paragraph" w:customStyle="1" w:styleId="108">
    <w:name w:val="文本"/>
    <w:basedOn w:val="1"/>
    <w:autoRedefine/>
    <w:qFormat/>
    <w:uiPriority w:val="0"/>
    <w:pPr>
      <w:adjustRightInd w:val="0"/>
      <w:jc w:val="left"/>
      <w:textAlignment w:val="baseline"/>
    </w:pPr>
    <w:rPr>
      <w:rFonts w:ascii="宋体"/>
      <w:kern w:val="0"/>
      <w:sz w:val="28"/>
      <w:szCs w:val="20"/>
    </w:rPr>
  </w:style>
  <w:style w:type="paragraph" w:customStyle="1" w:styleId="109">
    <w:name w:val="表中字"/>
    <w:basedOn w:val="1"/>
    <w:autoRedefine/>
    <w:qFormat/>
    <w:uiPriority w:val="0"/>
    <w:pPr>
      <w:spacing w:line="240" w:lineRule="atLeast"/>
      <w:jc w:val="center"/>
    </w:pPr>
    <w:rPr>
      <w:szCs w:val="22"/>
      <w:lang w:val="zh-CN"/>
    </w:rPr>
  </w:style>
  <w:style w:type="paragraph" w:customStyle="1" w:styleId="110">
    <w:name w:val="Table Text"/>
    <w:basedOn w:val="1"/>
    <w:autoRedefine/>
    <w:semiHidden/>
    <w:qFormat/>
    <w:uiPriority w:val="0"/>
    <w:rPr>
      <w:rFonts w:ascii="宋体" w:hAnsi="宋体" w:cs="宋体"/>
      <w:sz w:val="20"/>
      <w:szCs w:val="20"/>
      <w:lang w:eastAsia="en-US"/>
    </w:rPr>
  </w:style>
  <w:style w:type="paragraph" w:customStyle="1" w:styleId="111">
    <w:name w:val="首行缩进表格正文"/>
    <w:basedOn w:val="1"/>
    <w:autoRedefine/>
    <w:qFormat/>
    <w:uiPriority w:val="0"/>
    <w:pPr>
      <w:spacing w:line="360" w:lineRule="auto"/>
      <w:ind w:firstLine="720" w:firstLineChars="200"/>
      <w:jc w:val="left"/>
    </w:pPr>
    <w:rPr>
      <w:sz w:val="24"/>
    </w:rPr>
  </w:style>
  <w:style w:type="paragraph" w:customStyle="1" w:styleId="112">
    <w:name w:val="正文样式1"/>
    <w:basedOn w:val="1"/>
    <w:qFormat/>
    <w:uiPriority w:val="0"/>
    <w:pPr>
      <w:adjustRightInd w:val="0"/>
      <w:spacing w:line="288" w:lineRule="auto"/>
      <w:ind w:firstLine="360" w:firstLineChars="150"/>
      <w:textAlignment w:val="baseline"/>
    </w:pPr>
    <w:rPr>
      <w:rFonts w:ascii="Calibri" w:hAnsi="Calibri"/>
      <w:kern w:val="0"/>
      <w:sz w:val="24"/>
      <w:szCs w:val="20"/>
    </w:rPr>
  </w:style>
  <w:style w:type="character" w:customStyle="1" w:styleId="113">
    <w:name w:val="正文文本 Char"/>
    <w:basedOn w:val="37"/>
    <w:link w:val="9"/>
    <w:qFormat/>
    <w:uiPriority w:val="0"/>
  </w:style>
  <w:style w:type="character" w:customStyle="1" w:styleId="114">
    <w:name w:val="正文首行缩进 Char"/>
    <w:basedOn w:val="113"/>
    <w:link w:val="33"/>
    <w:qFormat/>
    <w:uiPriority w:val="0"/>
  </w:style>
  <w:style w:type="paragraph" w:customStyle="1" w:styleId="115">
    <w:name w:val="设计表格"/>
    <w:basedOn w:val="1"/>
    <w:qFormat/>
    <w:uiPriority w:val="0"/>
    <w:pPr>
      <w:adjustRightInd w:val="0"/>
      <w:jc w:val="center"/>
    </w:pPr>
    <w:rPr>
      <w:kern w:val="0"/>
      <w:sz w:val="24"/>
    </w:rPr>
  </w:style>
  <w:style w:type="paragraph" w:customStyle="1" w:styleId="116">
    <w:name w:val="表中表-居中"/>
    <w:basedOn w:val="1"/>
    <w:qFormat/>
    <w:uiPriority w:val="0"/>
    <w:pPr>
      <w:autoSpaceDE w:val="0"/>
      <w:autoSpaceDN w:val="0"/>
      <w:adjustRightInd w:val="0"/>
      <w:snapToGrid w:val="0"/>
      <w:jc w:val="center"/>
    </w:pPr>
    <w:rPr>
      <w:rFonts w:eastAsia="仿宋"/>
      <w:szCs w:val="21"/>
    </w:rPr>
  </w:style>
  <w:style w:type="paragraph" w:customStyle="1" w:styleId="117">
    <w:name w:val="表头和图片"/>
    <w:basedOn w:val="19"/>
    <w:next w:val="1"/>
    <w:autoRedefine/>
    <w:qFormat/>
    <w:uiPriority w:val="0"/>
    <w:pPr>
      <w:spacing w:line="480" w:lineRule="exact"/>
      <w:jc w:val="center"/>
    </w:pPr>
    <w:rPr>
      <w:rFonts w:ascii="Times New Roman" w:hAnsi="Times New Roman" w:eastAsia="黑体"/>
      <w:b/>
    </w:rPr>
  </w:style>
  <w:style w:type="paragraph" w:customStyle="1" w:styleId="118">
    <w:name w:val="WW-纯文本"/>
    <w:basedOn w:val="1"/>
    <w:autoRedefine/>
    <w:qFormat/>
    <w:uiPriority w:val="0"/>
    <w:pPr>
      <w:suppressAutoHyphens/>
      <w:spacing w:line="312" w:lineRule="atLeast"/>
      <w:textAlignment w:val="baseline"/>
    </w:pPr>
    <w:rPr>
      <w:rFonts w:ascii="宋体" w:hAnsi="宋体" w:eastAsia="楷体_GB2312" w:cs="Courier New"/>
      <w:szCs w:val="21"/>
    </w:rPr>
  </w:style>
  <w:style w:type="paragraph" w:customStyle="1" w:styleId="119">
    <w:name w:val="Char Char Char Char Char Char Char2"/>
    <w:basedOn w:val="1"/>
    <w:qFormat/>
    <w:uiPriority w:val="0"/>
    <w:pPr>
      <w:snapToGrid w:val="0"/>
      <w:spacing w:line="360" w:lineRule="auto"/>
      <w:ind w:firstLine="529" w:firstLineChars="200"/>
    </w:pPr>
  </w:style>
  <w:style w:type="paragraph" w:customStyle="1" w:styleId="120">
    <w:name w:val="环评正文"/>
    <w:basedOn w:val="1"/>
    <w:qFormat/>
    <w:uiPriority w:val="0"/>
    <w:pPr>
      <w:spacing w:line="440" w:lineRule="exact"/>
      <w:ind w:firstLine="1446" w:firstLineChars="200"/>
    </w:pPr>
    <w:rPr>
      <w:kern w:val="0"/>
      <w:sz w:val="20"/>
      <w:szCs w:val="20"/>
    </w:rPr>
  </w:style>
  <w:style w:type="paragraph" w:customStyle="1" w:styleId="121">
    <w:name w:val="②JM正文"/>
    <w:basedOn w:val="122"/>
    <w:qFormat/>
    <w:uiPriority w:val="0"/>
    <w:pPr>
      <w:ind w:firstLine="720" w:firstLineChars="200"/>
    </w:pPr>
  </w:style>
  <w:style w:type="paragraph" w:customStyle="1" w:styleId="122">
    <w:name w:val="②JM正文 顶格"/>
    <w:next w:val="121"/>
    <w:qFormat/>
    <w:uiPriority w:val="0"/>
    <w:pPr>
      <w:spacing w:line="360" w:lineRule="auto"/>
    </w:pPr>
    <w:rPr>
      <w:rFonts w:ascii="Times New Roman" w:hAnsi="Times New Roman" w:eastAsia="宋体" w:cs="Times New Roman"/>
      <w:lang w:val="en-US" w:eastAsia="zh-CN" w:bidi="ar-SA"/>
    </w:rPr>
  </w:style>
  <w:style w:type="paragraph" w:customStyle="1" w:styleId="123">
    <w:name w:val="②JM正文 居中"/>
    <w:basedOn w:val="121"/>
    <w:next w:val="121"/>
    <w:qFormat/>
    <w:uiPriority w:val="0"/>
    <w:pPr>
      <w:ind w:firstLine="0" w:firstLineChars="0"/>
      <w:jc w:val="center"/>
    </w:pPr>
  </w:style>
  <w:style w:type="paragraph" w:customStyle="1" w:styleId="124">
    <w:name w:val="【表中表】"/>
    <w:basedOn w:val="1"/>
    <w:next w:val="1"/>
    <w:qFormat/>
    <w:uiPriority w:val="0"/>
    <w:pPr>
      <w:adjustRightInd w:val="0"/>
      <w:snapToGrid w:val="0"/>
      <w:jc w:val="center"/>
    </w:pPr>
    <w:rPr>
      <w:rFonts w:eastAsia="仿宋"/>
      <w:kern w:val="0"/>
      <w:szCs w:val="20"/>
    </w:rPr>
  </w:style>
  <w:style w:type="paragraph" w:customStyle="1" w:styleId="125">
    <w:name w:val="我的正文"/>
    <w:basedOn w:val="1"/>
    <w:qFormat/>
    <w:uiPriority w:val="0"/>
    <w:pPr>
      <w:adjustRightInd w:val="0"/>
      <w:snapToGrid w:val="0"/>
      <w:spacing w:line="480" w:lineRule="exact"/>
      <w:ind w:firstLine="720" w:firstLineChars="200"/>
      <w:jc w:val="left"/>
    </w:pPr>
    <w:rPr>
      <w:rFonts w:cs="宋体"/>
      <w:bCs/>
      <w:szCs w:val="21"/>
    </w:rPr>
  </w:style>
  <w:style w:type="paragraph" w:customStyle="1" w:styleId="126">
    <w:name w:val="报告表正文"/>
    <w:basedOn w:val="1"/>
    <w:qFormat/>
    <w:uiPriority w:val="0"/>
    <w:pPr>
      <w:spacing w:line="360" w:lineRule="auto"/>
      <w:ind w:firstLine="420" w:firstLineChars="200"/>
    </w:pPr>
    <w:rPr>
      <w:sz w:val="24"/>
      <w:szCs w:val="22"/>
      <w:lang w:val="zh-CN"/>
    </w:rPr>
  </w:style>
  <w:style w:type="paragraph" w:customStyle="1" w:styleId="127">
    <w:name w:val="通用正文"/>
    <w:basedOn w:val="128"/>
    <w:qFormat/>
    <w:uiPriority w:val="0"/>
    <w:pPr>
      <w:topLinePunct/>
    </w:pPr>
  </w:style>
  <w:style w:type="paragraph" w:customStyle="1" w:styleId="128">
    <w:name w:val="00通用正文"/>
    <w:basedOn w:val="1"/>
    <w:qFormat/>
    <w:uiPriority w:val="0"/>
    <w:pPr>
      <w:wordWrap w:val="0"/>
      <w:spacing w:line="360" w:lineRule="auto"/>
      <w:ind w:firstLine="420" w:firstLineChars="200"/>
      <w:jc w:val="left"/>
    </w:pPr>
    <w:rPr>
      <w:color w:val="000000"/>
      <w:sz w:val="24"/>
    </w:rPr>
  </w:style>
  <w:style w:type="paragraph" w:customStyle="1" w:styleId="129">
    <w:name w:val="01图表头"/>
    <w:basedOn w:val="128"/>
    <w:next w:val="130"/>
    <w:qFormat/>
    <w:uiPriority w:val="0"/>
    <w:pPr>
      <w:topLinePunct/>
      <w:spacing w:line="240" w:lineRule="auto"/>
      <w:ind w:firstLine="0" w:firstLineChars="0"/>
      <w:jc w:val="center"/>
    </w:pPr>
    <w:rPr>
      <w:b/>
    </w:rPr>
  </w:style>
  <w:style w:type="paragraph" w:customStyle="1" w:styleId="130">
    <w:name w:val="02表格式"/>
    <w:basedOn w:val="128"/>
    <w:qFormat/>
    <w:uiPriority w:val="0"/>
    <w:pPr>
      <w:topLinePunct/>
      <w:spacing w:line="240" w:lineRule="auto"/>
      <w:ind w:firstLine="0" w:firstLineChars="0"/>
      <w:jc w:val="center"/>
    </w:pPr>
    <w:rPr>
      <w:sz w:val="21"/>
      <w:szCs w:val="21"/>
    </w:rPr>
  </w:style>
  <w:style w:type="paragraph" w:customStyle="1" w:styleId="131">
    <w:name w:val="0表格文字"/>
    <w:basedOn w:val="128"/>
    <w:next w:val="128"/>
    <w:qFormat/>
    <w:uiPriority w:val="0"/>
    <w:pPr>
      <w:spacing w:line="240" w:lineRule="auto"/>
      <w:ind w:firstLine="0" w:firstLineChars="0"/>
      <w:jc w:val="center"/>
    </w:pPr>
    <w:rPr>
      <w:rFonts w:cs="宋体"/>
      <w:sz w:val="21"/>
      <w:szCs w:val="21"/>
    </w:rPr>
  </w:style>
  <w:style w:type="paragraph" w:customStyle="1" w:styleId="132">
    <w:name w:val="01通用正文"/>
    <w:basedOn w:val="128"/>
    <w:next w:val="128"/>
    <w:qFormat/>
    <w:uiPriority w:val="0"/>
    <w:pPr>
      <w:topLinePunct/>
      <w:spacing w:before="50" w:beforeLines="50"/>
    </w:pPr>
    <w:rPr>
      <w:rFonts w:hint="eastAsia"/>
    </w:rPr>
  </w:style>
  <w:style w:type="paragraph" w:customStyle="1" w:styleId="133">
    <w:name w:val="0图表表头"/>
    <w:basedOn w:val="128"/>
    <w:next w:val="134"/>
    <w:qFormat/>
    <w:uiPriority w:val="0"/>
    <w:pPr>
      <w:spacing w:line="240" w:lineRule="auto"/>
      <w:ind w:firstLine="0" w:firstLineChars="0"/>
      <w:jc w:val="center"/>
    </w:pPr>
    <w:rPr>
      <w:rFonts w:hint="eastAsia" w:cs="宋体"/>
      <w:b/>
    </w:rPr>
  </w:style>
  <w:style w:type="paragraph" w:customStyle="1" w:styleId="134">
    <w:name w:val="0通用正文"/>
    <w:basedOn w:val="1"/>
    <w:qFormat/>
    <w:uiPriority w:val="0"/>
    <w:pPr>
      <w:wordWrap w:val="0"/>
      <w:topLinePunct/>
      <w:spacing w:line="360" w:lineRule="auto"/>
      <w:ind w:firstLine="420" w:firstLineChars="200"/>
      <w:jc w:val="left"/>
    </w:pPr>
  </w:style>
  <w:style w:type="paragraph" w:customStyle="1" w:styleId="135">
    <w:name w:val="合稿【表中文字】"/>
    <w:basedOn w:val="1"/>
    <w:qFormat/>
    <w:uiPriority w:val="0"/>
    <w:pPr>
      <w:adjustRightInd w:val="0"/>
      <w:snapToGrid w:val="0"/>
      <w:spacing w:line="312" w:lineRule="auto"/>
      <w:ind w:left="9" w:leftChars="9" w:right="9" w:rightChars="9"/>
      <w:jc w:val="center"/>
    </w:pPr>
    <w:rPr>
      <w:snapToGrid w:val="0"/>
      <w:color w:val="000000"/>
      <w:szCs w:val="20"/>
    </w:rPr>
  </w:style>
  <w:style w:type="character" w:customStyle="1" w:styleId="136">
    <w:name w:val="批注框文本 Char"/>
    <w:basedOn w:val="37"/>
    <w:link w:val="22"/>
    <w:qFormat/>
    <w:uiPriority w:val="0"/>
    <w:rPr>
      <w:kern w:val="2"/>
      <w:sz w:val="18"/>
      <w:szCs w:val="18"/>
    </w:rPr>
  </w:style>
  <w:style w:type="paragraph" w:customStyle="1" w:styleId="137">
    <w:name w:val="AAA首行缩进2字符正文"/>
    <w:basedOn w:val="101"/>
    <w:qFormat/>
    <w:uiPriority w:val="0"/>
    <w:pPr>
      <w:adjustRightInd w:val="0"/>
      <w:snapToGrid w:val="0"/>
      <w:spacing w:line="500" w:lineRule="exact"/>
    </w:pPr>
    <w:rPr>
      <w:rFonts w:eastAsia="仿宋"/>
      <w:sz w:val="24"/>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customXml" Target="../customXml/item3.xml"/><Relationship Id="rId93" Type="http://schemas.openxmlformats.org/officeDocument/2006/relationships/customXml" Target="../customXml/item2.xml"/><Relationship Id="rId92" Type="http://schemas.openxmlformats.org/officeDocument/2006/relationships/numbering" Target="numbering.xml"/><Relationship Id="rId91" Type="http://schemas.openxmlformats.org/officeDocument/2006/relationships/customXml" Target="../customXml/item1.xml"/><Relationship Id="rId90" Type="http://schemas.openxmlformats.org/officeDocument/2006/relationships/image" Target="media/image57.jpeg"/><Relationship Id="rId9" Type="http://schemas.openxmlformats.org/officeDocument/2006/relationships/footer" Target="footer7.xml"/><Relationship Id="rId89" Type="http://schemas.openxmlformats.org/officeDocument/2006/relationships/image" Target="media/image56.jpeg"/><Relationship Id="rId88" Type="http://schemas.openxmlformats.org/officeDocument/2006/relationships/image" Target="media/image55.jpeg"/><Relationship Id="rId87" Type="http://schemas.openxmlformats.org/officeDocument/2006/relationships/image" Target="media/image54.jpeg"/><Relationship Id="rId86" Type="http://schemas.openxmlformats.org/officeDocument/2006/relationships/image" Target="media/image53.png"/><Relationship Id="rId85" Type="http://schemas.openxmlformats.org/officeDocument/2006/relationships/image" Target="media/image52.png"/><Relationship Id="rId84" Type="http://schemas.openxmlformats.org/officeDocument/2006/relationships/image" Target="media/image51.png"/><Relationship Id="rId83" Type="http://schemas.openxmlformats.org/officeDocument/2006/relationships/image" Target="media/image50.png"/><Relationship Id="rId82" Type="http://schemas.openxmlformats.org/officeDocument/2006/relationships/image" Target="media/image49.png"/><Relationship Id="rId81" Type="http://schemas.openxmlformats.org/officeDocument/2006/relationships/image" Target="media/image48.png"/><Relationship Id="rId80" Type="http://schemas.openxmlformats.org/officeDocument/2006/relationships/image" Target="media/image47.png"/><Relationship Id="rId8" Type="http://schemas.openxmlformats.org/officeDocument/2006/relationships/footer" Target="footer6.xml"/><Relationship Id="rId79" Type="http://schemas.openxmlformats.org/officeDocument/2006/relationships/image" Target="media/image46.png"/><Relationship Id="rId78" Type="http://schemas.openxmlformats.org/officeDocument/2006/relationships/image" Target="media/image45.png"/><Relationship Id="rId77" Type="http://schemas.openxmlformats.org/officeDocument/2006/relationships/image" Target="media/image44.png"/><Relationship Id="rId76" Type="http://schemas.openxmlformats.org/officeDocument/2006/relationships/image" Target="media/image43.png"/><Relationship Id="rId75" Type="http://schemas.openxmlformats.org/officeDocument/2006/relationships/image" Target="media/image42.png"/><Relationship Id="rId74" Type="http://schemas.openxmlformats.org/officeDocument/2006/relationships/oleObject" Target="embeddings/oleObject23.bin"/><Relationship Id="rId73" Type="http://schemas.openxmlformats.org/officeDocument/2006/relationships/oleObject" Target="embeddings/oleObject22.bin"/><Relationship Id="rId72" Type="http://schemas.openxmlformats.org/officeDocument/2006/relationships/oleObject" Target="embeddings/oleObject21.bin"/><Relationship Id="rId71" Type="http://schemas.openxmlformats.org/officeDocument/2006/relationships/image" Target="media/image41.png"/><Relationship Id="rId70" Type="http://schemas.openxmlformats.org/officeDocument/2006/relationships/image" Target="media/image40.png"/><Relationship Id="rId7" Type="http://schemas.openxmlformats.org/officeDocument/2006/relationships/footer" Target="footer5.xml"/><Relationship Id="rId69" Type="http://schemas.openxmlformats.org/officeDocument/2006/relationships/image" Target="media/image39.png"/><Relationship Id="rId68" Type="http://schemas.openxmlformats.org/officeDocument/2006/relationships/image" Target="media/image38.png"/><Relationship Id="rId67" Type="http://schemas.openxmlformats.org/officeDocument/2006/relationships/image" Target="media/image37.png"/><Relationship Id="rId66" Type="http://schemas.openxmlformats.org/officeDocument/2006/relationships/image" Target="media/image36.png"/><Relationship Id="rId65" Type="http://schemas.openxmlformats.org/officeDocument/2006/relationships/image" Target="media/image35.png"/><Relationship Id="rId64" Type="http://schemas.openxmlformats.org/officeDocument/2006/relationships/image" Target="media/image34.png"/><Relationship Id="rId63" Type="http://schemas.openxmlformats.org/officeDocument/2006/relationships/image" Target="media/image33.png"/><Relationship Id="rId62" Type="http://schemas.openxmlformats.org/officeDocument/2006/relationships/image" Target="media/image32.png"/><Relationship Id="rId61" Type="http://schemas.openxmlformats.org/officeDocument/2006/relationships/image" Target="media/image31.jpeg"/><Relationship Id="rId60" Type="http://schemas.openxmlformats.org/officeDocument/2006/relationships/image" Target="media/image30.png"/><Relationship Id="rId6" Type="http://schemas.openxmlformats.org/officeDocument/2006/relationships/footer" Target="footer4.xml"/><Relationship Id="rId59" Type="http://schemas.openxmlformats.org/officeDocument/2006/relationships/image" Target="media/image29.png"/><Relationship Id="rId58" Type="http://schemas.openxmlformats.org/officeDocument/2006/relationships/image" Target="media/image28.png"/><Relationship Id="rId57" Type="http://schemas.openxmlformats.org/officeDocument/2006/relationships/image" Target="media/image27.wmf"/><Relationship Id="rId56" Type="http://schemas.openxmlformats.org/officeDocument/2006/relationships/oleObject" Target="embeddings/oleObject20.bin"/><Relationship Id="rId55" Type="http://schemas.openxmlformats.org/officeDocument/2006/relationships/image" Target="media/image26.wmf"/><Relationship Id="rId54" Type="http://schemas.openxmlformats.org/officeDocument/2006/relationships/oleObject" Target="embeddings/oleObject19.bin"/><Relationship Id="rId53" Type="http://schemas.openxmlformats.org/officeDocument/2006/relationships/image" Target="media/image25.wmf"/><Relationship Id="rId52" Type="http://schemas.openxmlformats.org/officeDocument/2006/relationships/oleObject" Target="embeddings/oleObject18.bin"/><Relationship Id="rId51" Type="http://schemas.openxmlformats.org/officeDocument/2006/relationships/image" Target="media/image24.wmf"/><Relationship Id="rId50" Type="http://schemas.openxmlformats.org/officeDocument/2006/relationships/oleObject" Target="embeddings/oleObject17.bin"/><Relationship Id="rId5" Type="http://schemas.openxmlformats.org/officeDocument/2006/relationships/footer" Target="footer3.xml"/><Relationship Id="rId49" Type="http://schemas.openxmlformats.org/officeDocument/2006/relationships/image" Target="media/image23.wmf"/><Relationship Id="rId48" Type="http://schemas.openxmlformats.org/officeDocument/2006/relationships/oleObject" Target="embeddings/oleObject16.bin"/><Relationship Id="rId47" Type="http://schemas.openxmlformats.org/officeDocument/2006/relationships/image" Target="media/image22.wmf"/><Relationship Id="rId46" Type="http://schemas.openxmlformats.org/officeDocument/2006/relationships/oleObject" Target="embeddings/oleObject15.bin"/><Relationship Id="rId45" Type="http://schemas.openxmlformats.org/officeDocument/2006/relationships/image" Target="media/image21.wmf"/><Relationship Id="rId44" Type="http://schemas.openxmlformats.org/officeDocument/2006/relationships/image" Target="media/image20.png"/><Relationship Id="rId43" Type="http://schemas.openxmlformats.org/officeDocument/2006/relationships/image" Target="media/image19.wmf"/><Relationship Id="rId42" Type="http://schemas.openxmlformats.org/officeDocument/2006/relationships/oleObject" Target="embeddings/oleObject14.bin"/><Relationship Id="rId41" Type="http://schemas.openxmlformats.org/officeDocument/2006/relationships/image" Target="media/image18.png"/><Relationship Id="rId40" Type="http://schemas.openxmlformats.org/officeDocument/2006/relationships/image" Target="media/image17.png"/><Relationship Id="rId4" Type="http://schemas.openxmlformats.org/officeDocument/2006/relationships/footer" Target="footer2.xml"/><Relationship Id="rId39" Type="http://schemas.openxmlformats.org/officeDocument/2006/relationships/image" Target="media/image16.wmf"/><Relationship Id="rId38" Type="http://schemas.openxmlformats.org/officeDocument/2006/relationships/oleObject" Target="embeddings/oleObject13.bin"/><Relationship Id="rId37" Type="http://schemas.openxmlformats.org/officeDocument/2006/relationships/image" Target="media/image15.wmf"/><Relationship Id="rId36" Type="http://schemas.openxmlformats.org/officeDocument/2006/relationships/oleObject" Target="embeddings/oleObject12.bin"/><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emf"/><Relationship Id="rId30" Type="http://schemas.openxmlformats.org/officeDocument/2006/relationships/oleObject" Target="embeddings/oleObject11.bin"/><Relationship Id="rId3" Type="http://schemas.openxmlformats.org/officeDocument/2006/relationships/footer" Target="footer1.xml"/><Relationship Id="rId29" Type="http://schemas.openxmlformats.org/officeDocument/2006/relationships/oleObject" Target="embeddings/oleObject10.bin"/><Relationship Id="rId28" Type="http://schemas.openxmlformats.org/officeDocument/2006/relationships/oleObject" Target="embeddings/oleObject9.bin"/><Relationship Id="rId27" Type="http://schemas.openxmlformats.org/officeDocument/2006/relationships/oleObject" Target="embeddings/oleObject8.bin"/><Relationship Id="rId26" Type="http://schemas.openxmlformats.org/officeDocument/2006/relationships/oleObject" Target="embeddings/oleObject7.bin"/><Relationship Id="rId25" Type="http://schemas.openxmlformats.org/officeDocument/2006/relationships/oleObject" Target="embeddings/oleObject6.bin"/><Relationship Id="rId24" Type="http://schemas.openxmlformats.org/officeDocument/2006/relationships/image" Target="media/image9.wmf"/><Relationship Id="rId23" Type="http://schemas.openxmlformats.org/officeDocument/2006/relationships/oleObject" Target="embeddings/oleObject5.bin"/><Relationship Id="rId22" Type="http://schemas.openxmlformats.org/officeDocument/2006/relationships/image" Target="media/image8.wmf"/><Relationship Id="rId21" Type="http://schemas.openxmlformats.org/officeDocument/2006/relationships/oleObject" Target="embeddings/oleObject4.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6.wmf"/><Relationship Id="rId17" Type="http://schemas.openxmlformats.org/officeDocument/2006/relationships/oleObject" Target="embeddings/oleObject2.bin"/><Relationship Id="rId16" Type="http://schemas.openxmlformats.org/officeDocument/2006/relationships/image" Target="media/image5.wmf"/><Relationship Id="rId15" Type="http://schemas.openxmlformats.org/officeDocument/2006/relationships/oleObject" Target="embeddings/oleObject1.bin"/><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01d9d9de-87bb-45c3-a33b-d1432c1e8641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64867251</paraID>
      <start>7</start>
      <end>8</end>
      <status>unmodified</status>
      <modifiedWord/>
      <trackRevisions>false</trackRevisions>
    </reviewItem>
    <reviewItem>
      <errorID>7872f948-a36f-448f-81fc-5b70e4f8f6aa</errorID>
      <errorWord>(</errorWord>
      <group>L1_Format</group>
      <groupName>格式问题</groupName>
      <ability>L2_HalfPunc</ability>
      <abilityName>全半角检查</abilityName>
      <candidateList>
        <item>（</item>
      </candidateList>
      <explain>文本全半角错误。</explain>
      <paraID>6DC4251B</paraID>
      <start>12</start>
      <end>13</end>
      <status>unmodified</status>
      <modifiedWord/>
      <trackRevisions>false</trackRevisions>
    </reviewItem>
    <reviewItem>
      <errorID>464d6b03-2909-486a-bfd6-e8f394340917</errorID>
      <errorWord>)</errorWord>
      <group>L1_Format</group>
      <groupName>格式问题</groupName>
      <ability>L2_HalfPunc</ability>
      <abilityName>全半角检查</abilityName>
      <candidateList>
        <item>）</item>
      </candidateList>
      <explain>文本全半角错误。</explain>
      <paraID>6DC4251B</paraID>
      <start>26</start>
      <end>27</end>
      <status>unmodified</status>
      <modifiedWord/>
      <trackRevisions>false</trackRevisions>
    </reviewItem>
    <reviewItem>
      <errorID>a401a309-b56a-481f-9b3c-e5945bc68fde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4AB410CD</paraID>
      <start>0</start>
      <end>2</end>
      <status>unmodified</status>
      <modifiedWord/>
      <trackRevisions>false</trackRevisions>
    </reviewItem>
    <reviewItem>
      <errorID>6726df7b-f42b-40a8-bd67-686ed95f6d08</errorID>
      <errorWord>(</errorWord>
      <group>L1_Format</group>
      <groupName>格式问题</groupName>
      <ability>L2_HalfPunc</ability>
      <abilityName>全半角检查</abilityName>
      <candidateList>
        <item>（</item>
      </candidateList>
      <explain>文本全半角错误。</explain>
      <paraID>58A1B327</paraID>
      <start>234</start>
      <end>235</end>
      <status>unmodified</status>
      <modifiedWord/>
      <trackRevisions>false</trackRevisions>
    </reviewItem>
    <reviewItem>
      <errorID>1233326a-77f3-406f-8f20-f4d4e8e482d9</errorID>
      <errorWord>)</errorWord>
      <group>L1_Format</group>
      <groupName>格式问题</groupName>
      <ability>L2_HalfPunc</ability>
      <abilityName>全半角检查</abilityName>
      <candidateList>
        <item>）</item>
      </candidateList>
      <explain>文本全半角错误。</explain>
      <paraID>58A1B327</paraID>
      <start>240</start>
      <end>241</end>
      <status>unmodified</status>
      <modifiedWord/>
      <trackRevisions>false</trackRevisions>
    </reviewItem>
    <reviewItem>
      <errorID>c10548df-6312-47fa-ae50-74f21807e6dd</errorID>
      <errorWord>57．</errorWord>
      <group>L1_Format</group>
      <groupName>格式问题</groupName>
      <ability>L2_Ordinal</ability>
      <abilityName>序号格式</abilityName>
      <candidateList>
        <item>57.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339E85A8</paraID>
      <start>0</start>
      <end>3</end>
      <status>unmodified</status>
      <modifiedWord/>
      <trackRevisions>false</trackRevisions>
    </reviewItem>
    <reviewItem>
      <errorID>be970460-bb01-48d9-8cb5-1a67ab8bab89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62F5A598</paraID>
      <start>0</start>
      <end>2</end>
      <status>unmodified</status>
      <modifiedWord/>
      <trackRevisions>false</trackRevisions>
    </reviewItem>
    <reviewItem>
      <errorID>1ccceb0e-fef2-4e17-aa89-9a3b2ab4b558</errorID>
      <errorWord>相对于</errorWord>
      <group>L1_Word</group>
      <groupName>字词问题</groupName>
      <ability>L2_Typo</ability>
      <abilityName>字词错误</abilityName>
      <candidateList>
        <item>相对</item>
      </candidateList>
      <explain>❶〈动〉互相朝着对方，面对面：～而坐｜两山～。❷〈动〉指性质上互相对立，如大与小相对，美与丑相对。❸〈形〉属性词。依靠一定条件而存在，随着一定条件而变化的（跟“绝对”相对）：～高度｜在绝对的总的宇宙发展过程中，各个具体过程的发展都是～的。❹〈形〉属性词。比较的：～稳定｜～优势。</explain>
      <paraID>3C1FEACE</paraID>
      <start>77</start>
      <end>80</end>
      <status>unmodified</status>
      <modifiedWord/>
      <trackRevisions>false</trackRevisions>
    </reviewItem>
    <reviewItem>
      <errorID>6e5512ec-8923-480d-87f7-16ef38e40130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59CC067C</paraID>
      <start>0</start>
      <end>2</end>
      <status>unmodified</status>
      <modifiedWord/>
      <trackRevisions>false</trackRevisions>
    </reviewItem>
    <reviewItem>
      <errorID>262aa62c-8252-45c0-8bb6-56aff8af8082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55A93228</paraID>
      <start>0</start>
      <end>2</end>
      <status>unmodified</status>
      <modifiedWord/>
      <trackRevisions>false</trackRevisions>
    </reviewItem>
    <reviewItem>
      <errorID>dfeef671-c476-4c67-b034-7c8c48eda1bf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73CA2ADF</paraID>
      <start>0</start>
      <end>2</end>
      <status>unmodified</status>
      <modifiedWord/>
      <trackRevisions>false</trackRevisions>
    </reviewItem>
    <reviewItem>
      <errorID>a1de457e-432d-4d56-8a41-3e548b14f467</errorID>
      <errorWord>环保治理</errorWord>
      <group>L1_Word</group>
      <groupName>字词问题</groupName>
      <ability>L2_Typo</ability>
      <abilityName>字词错误</abilityName>
      <candidateList>
        <item>环境治理</item>
      </candidateList>
      <explain/>
      <paraID>64182685</paraID>
      <start>171</start>
      <end>175</end>
      <status>unmodified</status>
      <modifiedWord/>
      <trackRevisions>false</trackRevisions>
    </reviewItem>
    <reviewItem>
      <errorID>e8c84ca1-586a-4d2f-818f-2bb5dadf01c9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280FE6F</paraID>
      <start>0</start>
      <end>2</end>
      <status>unmodified</status>
      <modifiedWord/>
      <trackRevisions>false</trackRevisions>
    </reviewItem>
    <reviewItem>
      <errorID>15f78e48-d933-47e2-8430-08d334e028cf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3B6B9C72</paraID>
      <start>0</start>
      <end>2</end>
      <status>unmodified</status>
      <modifiedWord/>
      <trackRevisions>false</trackRevisions>
    </reviewItem>
    <reviewItem>
      <errorID>2fbc34e8-abf0-4869-8c67-93e6b79ed328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418DA0B8</paraID>
      <start>0</start>
      <end>2</end>
      <status>unmodified</status>
      <modifiedWord/>
      <trackRevisions>false</trackRevisions>
    </reviewItem>
    <reviewItem>
      <errorID>11195907-af13-47eb-8236-850979085f23</errorID>
      <errorWord>城乡结合部</errorWord>
      <group>L1_Word</group>
      <groupName>字词问题</groupName>
      <ability>L2_Typo</ability>
      <abilityName>字词错误</abilityName>
      <candidateList>
        <item>城乡接合部</item>
      </candidateList>
      <explain/>
      <paraID> 5924F02</paraID>
      <start>44</start>
      <end>49</end>
      <status>unmodified</status>
      <modifiedWord/>
      <trackRevisions>false</trackRevisions>
    </reviewItem>
    <reviewItem>
      <errorID>f46015c8-6396-4e6e-aec8-ad6140ee59da</errorID>
      <errorWord>城乡结合部</errorWord>
      <group>L1_Word</group>
      <groupName>字词问题</groupName>
      <ability>L2_Typo</ability>
      <abilityName>字词错误</abilityName>
      <candidateList>
        <item>城乡接合部</item>
      </candidateList>
      <explain/>
      <paraID> 352150D</paraID>
      <start>67</start>
      <end>72</end>
      <status>unmodified</status>
      <modifiedWord/>
      <trackRevisions>false</trackRevisions>
    </reviewItem>
    <reviewItem>
      <errorID>bed5ec70-3bf1-40bd-b0f3-fc6287fff651</errorID>
      <errorWord>，</errorWord>
      <group>L1_Word</group>
      <groupName>字词问题</groupName>
      <ability>L2_Typo</ability>
      <abilityName>字词错误</abilityName>
      <candidateList>
        <item>，对</item>
      </candidateList>
      <explain/>
      <paraID> 352150D</paraID>
      <start>83</start>
      <end>84</end>
      <status>unmodified</status>
      <modifiedWord/>
      <trackRevisions>false</trackRevisions>
    </reviewItem>
    <reviewItem>
      <errorID>bb1ba55f-0c03-42ae-83fc-c2dc677434b4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1CBFC958</paraID>
      <start>0</start>
      <end>2</end>
      <status>unmodified</status>
      <modifiedWord/>
      <trackRevisions>false</trackRevisions>
    </reviewItem>
    <reviewItem>
      <errorID>d39e350e-a698-48d7-8df9-818b1ef56601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14DB0848</paraID>
      <start>0</start>
      <end>3</end>
      <status>unmodified</status>
      <modifiedWord/>
      <trackRevisions>false</trackRevisions>
    </reviewItem>
    <reviewItem>
      <errorID>8779074d-2374-4f8e-b73a-403a25167b0b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B1D2C5C</paraID>
      <start>23</start>
      <end>24</end>
      <status>unmodified</status>
      <modifiedWord/>
      <trackRevisions>false</trackRevisions>
    </reviewItem>
    <reviewItem>
      <errorID>19d98116-554f-4983-adde-d7f8e6b395e0</errorID>
      <errorWord>工</errorWord>
      <group>L1_Word</group>
      <groupName>字词问题</groupName>
      <ability>L2_Typo</ability>
      <abilityName>字词错误</abilityName>
      <candidateList>
        <item>工和</item>
      </candidateList>
      <explain/>
      <paraID> B1D2C5C</paraID>
      <start>266</start>
      <end>267</end>
      <status>unmodified</status>
      <modifiedWord/>
      <trackRevisions>false</trackRevisions>
    </reviewItem>
    <reviewItem>
      <errorID>0a163cbf-c7f1-407a-a042-98f0762c726f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667DE30C</paraID>
      <start>104</start>
      <end>105</end>
      <status>unmodified</status>
      <modifiedWord/>
      <trackRevisions>false</trackRevisions>
    </reviewItem>
    <reviewItem>
      <errorID>bd09dcb0-5429-40cf-a157-8c21ce838c02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72BB83FC</paraID>
      <start>0</start>
      <end>3</end>
      <status>unmodified</status>
      <modifiedWord/>
      <trackRevisions>false</trackRevisions>
    </reviewItem>
    <reviewItem>
      <errorID>b1f181d3-babe-4009-9fa8-694e8c31f65c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4C4CE374</paraID>
      <start>0</start>
      <end>2</end>
      <status>unmodified</status>
      <modifiedWord/>
      <trackRevisions>false</trackRevisions>
    </reviewItem>
    <reviewItem>
      <errorID>cd4ef85b-6283-4b30-bef3-2603460489d7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56D4B4CA</paraID>
      <start>0</start>
      <end>2</end>
      <status>unmodified</status>
      <modifiedWord/>
      <trackRevisions>false</trackRevisions>
    </reviewItem>
    <reviewItem>
      <errorID>e3f1403c-3f1e-4be1-abbc-c882e4507a38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16276089</paraID>
      <start>0</start>
      <end>2</end>
      <status>unmodified</status>
      <modifiedWord/>
      <trackRevisions>false</trackRevisions>
    </reviewItem>
    <reviewItem>
      <errorID>0cbbaea0-3467-43c2-a8da-da21df6abc6c</errorID>
      <errorWord>(</errorWord>
      <group>L1_Format</group>
      <groupName>格式问题</groupName>
      <ability>L2_HalfPunc</ability>
      <abilityName>全半角检查</abilityName>
      <candidateList>
        <item>（</item>
      </candidateList>
      <explain>文本全半角错误。</explain>
      <paraID>42C02E35</paraID>
      <start>9</start>
      <end>10</end>
      <status>unmodified</status>
      <modifiedWord/>
      <trackRevisions>false</trackRevisions>
    </reviewItem>
    <reviewItem>
      <errorID>54eb9891-22ab-420c-b2de-da3b92b485f1</errorID>
      <errorWord>)</errorWord>
      <group>L1_Format</group>
      <groupName>格式问题</groupName>
      <ability>L2_HalfPunc</ability>
      <abilityName>全半角检查</abilityName>
      <candidateList>
        <item>）</item>
      </candidateList>
      <explain>文本全半角错误。</explain>
      <paraID>42C02E35</paraID>
      <start>22</start>
      <end>23</end>
      <status>unmodified</status>
      <modifiedWord/>
      <trackRevisions>false</trackRevisions>
    </reviewItem>
    <reviewItem>
      <errorID>875cb3c2-f23a-4992-b1d0-2b53c60014e9</errorID>
      <errorWord>：</errorWord>
      <group>L1_Punc</group>
      <groupName>标点问题</groupName>
      <ability>L2_Punc</ability>
      <abilityName>标点符号检查</abilityName>
      <candidateList/>
      <explain/>
      <paraID> 4FFD47F</paraID>
      <start>21</start>
      <end>22</end>
      <status>unmodified</status>
      <modifiedWord/>
      <trackRevisions>false</trackRevisions>
    </reviewItem>
    <reviewItem>
      <errorID>ae8d6ca1-5715-45cb-b50e-ee768b983366</errorID>
      <errorWord>：</errorWord>
      <group>L1_Punc</group>
      <groupName>标点问题</groupName>
      <ability>L2_Punc</ability>
      <abilityName>标点符号检查</abilityName>
      <candidateList/>
      <explain/>
      <paraID>7114DCBD</paraID>
      <start>21</start>
      <end>22</end>
      <status>unmodified</status>
      <modifiedWord/>
      <trackRevisions>false</trackRevisions>
    </reviewItem>
    <reviewItem>
      <errorID>99ce276c-df15-4525-a9d5-04309acb0c80</errorID>
      <errorWord>：</errorWord>
      <group>L1_Punc</group>
      <groupName>标点问题</groupName>
      <ability>L2_Punc</ability>
      <abilityName>标点符号检查</abilityName>
      <candidateList/>
      <explain/>
      <paraID>48B49DD9</paraID>
      <start>21</start>
      <end>22</end>
      <status>unmodified</status>
      <modifiedWord/>
      <trackRevisions>false</trackRevisions>
    </reviewItem>
    <reviewItem>
      <errorID>37c4c056-ec20-4380-a580-45ebb6b85119</errorID>
      <errorWord>：</errorWord>
      <group>L1_Punc</group>
      <groupName>标点问题</groupName>
      <ability>L2_Punc</ability>
      <abilityName>标点符号检查</abilityName>
      <candidateList/>
      <explain/>
      <paraID>66A0CF0F</paraID>
      <start>21</start>
      <end>22</end>
      <status>unmodified</status>
      <modifiedWord/>
      <trackRevisions>false</trackRevisions>
    </reviewItem>
    <reviewItem>
      <errorID>f7e60b0a-4d2d-4e8b-92d2-5a29b01cfbad</errorID>
      <errorWord>：</errorWord>
      <group>L1_Punc</group>
      <groupName>标点问题</groupName>
      <ability>L2_Punc</ability>
      <abilityName>标点符号检查</abilityName>
      <candidateList/>
      <explain/>
      <paraID>1BD5D523</paraID>
      <start>21</start>
      <end>22</end>
      <status>unmodified</status>
      <modifiedWord/>
      <trackRevisions>false</trackRevisions>
    </reviewItem>
    <reviewItem>
      <errorID>4428ab42-1f90-4d9b-ba1f-d767a8b95e7d</errorID>
      <errorWord>：</errorWord>
      <group>L1_Punc</group>
      <groupName>标点问题</groupName>
      <ability>L2_Punc</ability>
      <abilityName>标点符号检查</abilityName>
      <candidateList/>
      <explain/>
      <paraID>7C0C7E8B</paraID>
      <start>21</start>
      <end>22</end>
      <status>unmodified</status>
      <modifiedWord/>
      <trackRevisions>false</trackRevisions>
    </reviewItem>
    <reviewItem>
      <errorID>3114cabc-8aea-4858-8aab-b6e56927f1b9</errorID>
      <errorWord>：</errorWord>
      <group>L1_Punc</group>
      <groupName>标点问题</groupName>
      <ability>L2_Punc</ability>
      <abilityName>标点符号检查</abilityName>
      <candidateList/>
      <explain/>
      <paraID>1A6B8E89</paraID>
      <start>21</start>
      <end>22</end>
      <status>unmodified</status>
      <modifiedWord/>
      <trackRevisions>false</trackRevisions>
    </reviewItem>
    <reviewItem>
      <errorID>2d7d6718-d741-487e-9887-32a26ac250ed</errorID>
      <errorWord>：</errorWord>
      <group>L1_Punc</group>
      <groupName>标点问题</groupName>
      <ability>L2_Punc</ability>
      <abilityName>标点符号检查</abilityName>
      <candidateList/>
      <explain/>
      <paraID>182BBFFC</paraID>
      <start>21</start>
      <end>22</end>
      <status>unmodified</status>
      <modifiedWord/>
      <trackRevisions>false</trackRevisions>
    </reviewItem>
    <reviewItem>
      <errorID>1f14e605-dc81-486f-9bfc-fc64cfdb9822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1EAB6DBF</paraID>
      <start>0</start>
      <end>2</end>
      <status>unmodified</status>
      <modifiedWord/>
      <trackRevisions>false</trackRevisions>
    </reviewItem>
    <reviewItem>
      <errorID>3be932d1-baee-4df5-b5a4-febefa41c0c7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2EE3E8ED</paraID>
      <start>0</start>
      <end>2</end>
      <status>unmodified</status>
      <modifiedWord/>
      <trackRevisions>false</trackRevisions>
    </reviewItem>
    <reviewItem>
      <errorID>89cc1601-8ec2-4cf5-b434-b769fabdfa4b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40954030</paraID>
      <start>0</start>
      <end>2</end>
      <status>unmodified</status>
      <modifiedWord/>
      <trackRevisions>false</trackRevisions>
    </reviewItem>
    <reviewItem>
      <errorID>47971cd9-d77f-4952-9062-26221988328b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105A73E4</paraID>
      <start>0</start>
      <end>2</end>
      <status>unmodified</status>
      <modifiedWord/>
      <trackRevisions>false</trackRevisions>
    </reviewItem>
    <reviewItem>
      <errorID>6c9be464-6917-46a6-9e19-4c370e2c50cd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670CC3C1</paraID>
      <start>0</start>
      <end>2</end>
      <status>unmodified</status>
      <modifiedWord/>
      <trackRevisions>false</trackRevisions>
    </reviewItem>
    <reviewItem>
      <errorID>8c858c4c-6f15-411b-9ab2-09e5e9d06f82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7808466B</paraID>
      <start>0</start>
      <end>2</end>
      <status>unmodified</status>
      <modifiedWord/>
      <trackRevisions>false</trackRevisions>
    </reviewItem>
    <reviewItem>
      <errorID>c4838afe-da4a-4e57-a60c-e6bc76b5f478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54591880</paraID>
      <start>0</start>
      <end>3</end>
      <status>unmodified</status>
      <modifiedWord/>
      <trackRevisions>false</trackRevisions>
    </reviewItem>
    <reviewItem>
      <errorID>9b0ab842-63db-4269-acec-ebd3ed963e08</errorID>
      <errorWord>检斤</errorWord>
      <group>L1_Word</group>
      <groupName>字词问题</groupName>
      <ability>L2_Typo</ability>
      <abilityName>字词错误</abilityName>
      <candidateList>
        <item>检验</item>
      </candidateList>
      <explain/>
      <paraID>176C72A9</paraID>
      <start>17</start>
      <end>19</end>
      <status>unmodified</status>
      <modifiedWord/>
      <trackRevisions>false</trackRevisions>
    </reviewItem>
    <reviewItem>
      <errorID>8b4ddc67-c962-4159-9b57-a76a144fa1ae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5DECA708</paraID>
      <start>0</start>
      <end>2</end>
      <status>unmodified</status>
      <modifiedWord/>
      <trackRevisions>false</trackRevisions>
    </reviewItem>
    <reviewItem>
      <errorID>10c86158-f213-47e7-85cd-f912be7e54ad</errorID>
      <errorWord>达</errorWord>
      <group>L1_Word</group>
      <groupName>字词问题</groupName>
      <ability>L2_Typo</ability>
      <abilityName>字词错误</abilityName>
      <candidateList>
        <item>达到</item>
      </candidateList>
      <explain>〈动〉到（多指抽象事物或程度）：达得到｜达不到｜目的没有～｜～国际水平。</explain>
      <paraID> 91569E2</paraID>
      <start>48</start>
      <end>49</end>
      <status>unmodified</status>
      <modifiedWord/>
      <trackRevisions>false</trackRevisions>
    </reviewItem>
    <reviewItem>
      <errorID>4b457301-3be6-4d9e-938d-944880e75918</errorID>
      <errorWord>(</errorWord>
      <group>L1_Format</group>
      <groupName>格式问题</groupName>
      <ability>L2_HalfPunc</ability>
      <abilityName>全半角检查</abilityName>
      <candidateList>
        <item>（</item>
      </candidateList>
      <explain>文本全半角错误。</explain>
      <paraID> 91569E2</paraID>
      <start>64</start>
      <end>65</end>
      <status>unmodified</status>
      <modifiedWord/>
      <trackRevisions>false</trackRevisions>
    </reviewItem>
    <reviewItem>
      <errorID>49851831-b9de-433e-9671-26b732fb4f85</errorID>
      <errorWord>)</errorWord>
      <group>L1_Format</group>
      <groupName>格式问题</groupName>
      <ability>L2_HalfPunc</ability>
      <abilityName>全半角检查</abilityName>
      <candidateList>
        <item>）</item>
      </candidateList>
      <explain>文本全半角错误。</explain>
      <paraID> 91569E2</paraID>
      <start>70</start>
      <end>71</end>
      <status>unmodified</status>
      <modifiedWord/>
      <trackRevisions>false</trackRevisions>
    </reviewItem>
    <reviewItem>
      <errorID>73a2a4be-89a6-4c27-9d1c-e84979bcf822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7856EFC8</paraID>
      <start>167</start>
      <end>168</end>
      <status>unmodified</status>
      <modifiedWord/>
      <trackRevisions>false</trackRevisions>
    </reviewItem>
    <reviewItem>
      <errorID>77e7b754-0b36-4061-87b6-2ffc0cf99ab0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7EE5ABE3</paraID>
      <start>0</start>
      <end>2</end>
      <status>unmodified</status>
      <modifiedWord/>
      <trackRevisions>false</trackRevisions>
    </reviewItem>
    <reviewItem>
      <errorID>3325e85d-66d8-4e6e-beb9-f7b178e3bfd7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7ACDEF57</paraID>
      <start>0</start>
      <end>2</end>
      <status>unmodified</status>
      <modifiedWord/>
      <trackRevisions>false</trackRevisions>
    </reviewItem>
    <reviewItem>
      <errorID>4ebe8291-fb4a-4ad1-82ac-8f8a907cf0c4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1F50BCC7</paraID>
      <start>0</start>
      <end>2</end>
      <status>unmodified</status>
      <modifiedWord/>
      <trackRevisions>false</trackRevisions>
    </reviewItem>
    <reviewItem>
      <errorID>736aff1b-df20-4c14-b271-c59e08468589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1AED77E3</paraID>
      <start>0</start>
      <end>2</end>
      <status>unmodified</status>
      <modifiedWord/>
      <trackRevisions>false</trackRevisions>
    </reviewItem>
    <reviewItem>
      <errorID>0d830a09-e093-41ec-a05a-f731339c50d6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5E999B96</paraID>
      <start>0</start>
      <end>2</end>
      <status>unmodified</status>
      <modifiedWord/>
      <trackRevisions>false</trackRevisions>
    </reviewItem>
    <reviewItem>
      <errorID>61eda99c-e24a-4d9f-8045-c990bb3c7ce3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25B890B7</paraID>
      <start>0</start>
      <end>2</end>
      <status>unmodified</status>
      <modifiedWord/>
      <trackRevisions>false</trackRevisions>
    </reviewItem>
    <reviewItem>
      <errorID>30f74d8a-b7a5-424b-ae49-6f1facd23ec5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69620329</paraID>
      <start>0</start>
      <end>2</end>
      <status>unmodified</status>
      <modifiedWord/>
      <trackRevisions>false</trackRevisions>
    </reviewItem>
    <reviewItem>
      <errorID>c9f414c7-c436-464b-a134-ed869b9e6e6c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56546B32</paraID>
      <start>0</start>
      <end>2</end>
      <status>unmodified</status>
      <modifiedWord/>
      <trackRevisions>false</trackRevisions>
    </reviewItem>
    <reviewItem>
      <errorID>4fb7655b-3686-43b2-85a9-c4f4085c03c4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BC88FA2</paraID>
      <start>0</start>
      <end>2</end>
      <status>unmodified</status>
      <modifiedWord/>
      <trackRevisions>false</trackRevisions>
    </reviewItem>
    <reviewItem>
      <errorID>dff3b10d-3c60-4a40-8c00-e79d1b8f4309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5977FB92</paraID>
      <start>0</start>
      <end>2</end>
      <status>unmodified</status>
      <modifiedWord/>
      <trackRevisions>false</trackRevisions>
    </reviewItem>
    <reviewItem>
      <errorID>14acc6bb-d2cf-426f-be43-fccd3d40128d</errorID>
      <errorWord>(</errorWord>
      <group>L1_Format</group>
      <groupName>格式问题</groupName>
      <ability>L2_HalfPunc</ability>
      <abilityName>全半角检查</abilityName>
      <candidateList>
        <item>（</item>
      </candidateList>
      <explain>文本全半角错误。</explain>
      <paraID> C65950C</paraID>
      <start>21</start>
      <end>22</end>
      <status>unmodified</status>
      <modifiedWord/>
      <trackRevisions>false</trackRevisions>
    </reviewItem>
    <reviewItem>
      <errorID>d2248463-a819-45ae-b3ee-b9f35dbc1202</errorID>
      <errorWord>)</errorWord>
      <group>L1_Format</group>
      <groupName>格式问题</groupName>
      <ability>L2_HalfPunc</ability>
      <abilityName>全半角检查</abilityName>
      <candidateList>
        <item>）</item>
      </candidateList>
      <explain>文本全半角错误。</explain>
      <paraID> C65950C</paraID>
      <start>34</start>
      <end>35</end>
      <status>unmodified</status>
      <modifiedWord/>
      <trackRevisions>false</trackRevisions>
    </reviewItem>
    <reviewItem>
      <errorID>700f6750-e457-41b0-9b64-de06a56ff15f</errorID>
      <errorWord>:</errorWord>
      <group>L1_Format</group>
      <groupName>格式问题</groupName>
      <ability>L2_HalfPunc</ability>
      <abilityName>全半角检查</abilityName>
      <candidateList>
        <item>：</item>
      </candidateList>
      <explain>文本全半角错误。</explain>
      <paraID>1817E3BB</paraID>
      <start>1</start>
      <end>2</end>
      <status>unmodified</status>
      <modifiedWord/>
      <trackRevisions>false</trackRevisions>
    </reviewItem>
    <reviewItem>
      <errorID>501ef286-5d15-4e38-a66b-52a42b608e40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2DF1EA75</paraID>
      <start>0</start>
      <end>2</end>
      <status>unmodified</status>
      <modifiedWord/>
      <trackRevisions>false</trackRevisions>
    </reviewItem>
    <reviewItem>
      <errorID>e04407e8-b836-4cf0-859e-3b084d8f6778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70FF6078</paraID>
      <start>111</start>
      <end>112</end>
      <status>unmodified</status>
      <modifiedWord/>
      <trackRevisions>false</trackRevisions>
    </reviewItem>
    <reviewItem>
      <errorID>4aa96c94-9ecb-4ede-9586-c44000aa422f</errorID>
      <errorWord>，</errorWord>
      <group>L1_Word</group>
      <groupName>字词问题</groupName>
      <ability>L2_Typo</ability>
      <abilityName>字词错误</abilityName>
      <candidateList>
        <item>，在</item>
      </candidateList>
      <explain/>
      <paraID>76289087</paraID>
      <start>41</start>
      <end>42</end>
      <status>unmodified</status>
      <modifiedWord/>
      <trackRevisions>false</trackRevisions>
    </reviewItem>
    <reviewItem>
      <errorID>f3111401-7f8c-43ef-8318-4bf90fa5474e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B17E7E9</paraID>
      <start>0</start>
      <end>2</end>
      <status>unmodified</status>
      <modifiedWord/>
      <trackRevisions>false</trackRevisions>
    </reviewItem>
    <reviewItem>
      <errorID>d14e30d6-9d44-405e-a9b1-791c14b3198b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4C5953A3</paraID>
      <start>0</start>
      <end>2</end>
      <status>unmodified</status>
      <modifiedWord/>
      <trackRevisions>false</trackRevisions>
    </reviewItem>
    <reviewItem>
      <errorID>0467d2d1-ca77-4939-afe4-ba5a30d597a0</errorID>
      <errorWord>)</errorWord>
      <group>L1_Format</group>
      <groupName>格式问题</groupName>
      <ability>L2_HalfPunc</ability>
      <abilityName>全半角检查</abilityName>
      <candidateList>
        <item>）</item>
      </candidateList>
      <explain>文本全半角错误。</explain>
      <paraID>5DC78F06</paraID>
      <start>39</start>
      <end>40</end>
      <status>unmodified</status>
      <modifiedWord/>
      <trackRevisions>false</trackRevisions>
    </reviewItem>
    <reviewItem>
      <errorID>44944b24-d4b4-4686-878d-124d6feab798</errorID>
      <errorWord>：</errorWord>
      <group>L1_Format</group>
      <groupName>格式问题</groupName>
      <ability>L2_HalfPunc</ability>
      <abilityName>全半角检查</abilityName>
      <candidateList>
        <item>:</item>
      </candidateList>
      <explain>文本全半角错误。</explain>
      <paraID>1EC62C93</paraID>
      <start>20</start>
      <end>21</end>
      <status>unmodified</status>
      <modifiedWord/>
      <trackRevisions>false</trackRevisions>
    </reviewItem>
    <reviewItem>
      <errorID>36ae3b18-cfc9-4087-ae85-94157e8e560f</errorID>
      <errorWord>：</errorWord>
      <group>L1_Format</group>
      <groupName>格式问题</groupName>
      <ability>L2_HalfPunc</ability>
      <abilityName>全半角检查</abilityName>
      <candidateList>
        <item>:</item>
      </candidateList>
      <explain>文本全半角错误。</explain>
      <paraID>1EC62C93</paraID>
      <start>26</start>
      <end>27</end>
      <status>unmodified</status>
      <modifiedWord/>
      <trackRevisions>false</trackRevisions>
    </reviewItem>
    <reviewItem>
      <errorID>041b7bcc-9003-4989-a896-b3a6e839e09d</errorID>
      <errorWord>：</errorWord>
      <group>L1_Format</group>
      <groupName>格式问题</groupName>
      <ability>L2_HalfPunc</ability>
      <abilityName>全半角检查</abilityName>
      <candidateList>
        <item>:</item>
      </candidateList>
      <explain>文本全半角错误。</explain>
      <paraID>1EC62C93</paraID>
      <start>34</start>
      <end>35</end>
      <status>unmodified</status>
      <modifiedWord/>
      <trackRevisions>false</trackRevisions>
    </reviewItem>
    <reviewItem>
      <errorID>f7c9b035-ad69-4617-bb97-46db0a2d4546</errorID>
      <errorWord>：</errorWord>
      <group>L1_Format</group>
      <groupName>格式问题</groupName>
      <ability>L2_HalfPunc</ability>
      <abilityName>全半角检查</abilityName>
      <candidateList>
        <item>:</item>
      </candidateList>
      <explain>文本全半角错误。</explain>
      <paraID>1EC62C93</paraID>
      <start>40</start>
      <end>41</end>
      <status>unmodified</status>
      <modifiedWord/>
      <trackRevisions>false</trackRevisions>
    </reviewItem>
    <reviewItem>
      <errorID>674badc9-4ab8-4836-8f5d-55b6602acfa4</errorID>
      <errorWord>场</errorWord>
      <group>L1_Word</group>
      <groupName>字词问题</groupName>
      <ability>L2_Typo</ability>
      <abilityName>字词错误</abilityName>
      <candidateList>
        <item>厂</item>
      </candidateList>
      <explain>存在发音相同字词的误用。</explain>
      <paraID>7551E36D</paraID>
      <start>15</start>
      <end>16</end>
      <status>unmodified</status>
      <modifiedWord/>
      <trackRevisions>false</trackRevisions>
    </reviewItem>
    <reviewItem>
      <errorID>8f7794ac-de7a-415a-b138-cbd1e14f7f58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683B6F4A</paraID>
      <start>0</start>
      <end>2</end>
      <status>unmodified</status>
      <modifiedWord/>
      <trackRevisions>false</trackRevisions>
    </reviewItem>
    <reviewItem>
      <errorID>a99a28fb-b22f-4431-9304-675ab1faa8c5</errorID>
      <errorWord>下角料</errorWord>
      <group>L1_Word</group>
      <groupName>字词问题</groupName>
      <ability>L2_Typo</ability>
      <abilityName>字词错误</abilityName>
      <candidateList>
        <item>下脚料</item>
      </candidateList>
      <explain>存在发音相同字词的误用。</explain>
      <paraID>282DD377</paraID>
      <start>31</start>
      <end>34</end>
      <status>unmodified</status>
      <modifiedWord/>
      <trackRevisions>false</trackRevisions>
    </reviewItem>
    <reviewItem>
      <errorID>213d1b64-2068-4c54-8c42-8c162ce37e00</errorID>
      <errorWord>:</errorWord>
      <group>L1_Format</group>
      <groupName>格式问题</groupName>
      <ability>L2_HalfPunc</ability>
      <abilityName>全半角检查</abilityName>
      <candidateList>
        <item>：</item>
      </candidateList>
      <explain>文本全半角错误。</explain>
      <paraID>282DD377</paraID>
      <start>48</start>
      <end>49</end>
      <status>unmodified</status>
      <modifiedWord/>
      <trackRevisions>false</trackRevisions>
    </reviewItem>
    <reviewItem>
      <errorID>84efa319-db49-4d16-861e-d0d49a46a6e8</errorID>
      <errorWord>期</errorWord>
      <group>L1_Word</group>
      <groupName>字词问题</groupName>
      <ability>L2_Typo</ability>
      <abilityName>字词错误</abilityName>
      <candidateList>
        <item>期间</item>
      </candidateList>
      <explain>〈名〉某个时期里面：农忙～｜春节～｜抗战～。</explain>
      <paraID>3ABA0C8E</paraID>
      <start>2</start>
      <end>3</end>
      <status>unmodified</status>
      <modifiedWord/>
      <trackRevisions>false</trackRevisions>
    </reviewItem>
    <reviewItem>
      <errorID>e1f06704-21ed-4ce3-ae4d-9b6fa4ab5388</errorID>
      <errorWord>全员</errorWord>
      <group>L1_Word</group>
      <groupName>字词问题</groupName>
      <ability>L2_Typo</ability>
      <abilityName>字词错误</abilityName>
      <candidateList>
        <item>全体</item>
      </candidateList>
      <explain/>
      <paraID>3ABA0C8E</paraID>
      <start>23</start>
      <end>25</end>
      <status>unmodified</status>
      <modifiedWord/>
      <trackRevisions>false</trackRevisions>
    </reviewItem>
    <reviewItem>
      <errorID>091b4ef5-940b-4f9f-bfb1-9812576f2ee6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5CD479E2</paraID>
      <start>0</start>
      <end>2</end>
      <status>unmodified</status>
      <modifiedWord/>
      <trackRevisions>false</trackRevisions>
    </reviewItem>
    <reviewItem>
      <errorID>edbc1380-8f81-46ee-8120-4a4a7d096358</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3BBEF799</paraID>
      <start>29</start>
      <end>36</end>
      <status>unmodified</status>
      <modifiedWord/>
      <trackRevisions>false</trackRevisions>
    </reviewItem>
    <reviewItem>
      <errorID>c18dbf70-ab4d-40cb-9484-0f9605e488e2</errorID>
      <errorWord>-</errorWord>
      <group>L1_Format</group>
      <groupName>格式问题</groupName>
      <ability>L2_HalfPunc</ability>
      <abilityName>全半角检查</abilityName>
      <candidateList>
        <item>－</item>
      </candidateList>
      <explain>文本全半角错误。</explain>
      <paraID>2D4D981B</paraID>
      <start>54</start>
      <end>55</end>
      <status>unmodified</status>
      <modifiedWord/>
      <trackRevisions>false</trackRevisions>
    </reviewItem>
    <reviewItem>
      <errorID>3c5ef96b-6ad6-4cd9-98e9-e2acbbc41b01</errorID>
      <errorWord>《扬尘源颗粒物排放清单编制技术指南》（试行）</errorWord>
      <group>L1_Knowledge</group>
      <groupName>知识性问题</groupName>
      <ability>L2_Knowledge</ability>
      <abilityName>其他知识</abilityName>
      <candidateList>
        <item>《扬尘源颗粒物排放清单编制技术指南（试行）》</item>
      </candidateList>
      <explain>疑似政策文件、法律法规名称等书写不规范，请注意检查。</explain>
      <paraID>2EB0BC8D</paraID>
      <start>13</start>
      <end>35</end>
      <status>unmodified</status>
      <modifiedWord/>
      <trackRevisions>false</trackRevisions>
    </reviewItem>
    <reviewItem>
      <errorID>5e64d2b0-a9f2-470e-b420-a84118f37b2e</errorID>
      <errorWord>u：</errorWord>
      <group>L1_Format</group>
      <groupName>格式问题</groupName>
      <ability>L2_Ordinal</ability>
      <abilityName>序号格式</abilityName>
      <candidateList>
        <item>u.</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988071B</paraID>
      <start>0</start>
      <end>2</end>
      <status>unmodified</status>
      <modifiedWord/>
      <trackRevisions>false</trackRevisions>
    </reviewItem>
    <reviewItem>
      <errorID>ffa07a2f-0b2b-4920-af5f-bc898c5dcc9f</errorID>
      <errorWord>《扬尘源颗粒物排放清单编制技术指南》（试行）</errorWord>
      <group>L1_Knowledge</group>
      <groupName>知识性问题</groupName>
      <ability>L2_Knowledge</ability>
      <abilityName>其他知识</abilityName>
      <candidateList>
        <item>《扬尘源颗粒物排放清单编制技术指南（试行）》</item>
      </candidateList>
      <explain>疑似政策文件、法律法规名称等书写不规范，请注意检查。</explain>
      <paraID>6C048BA7</paraID>
      <start>21</start>
      <end>43</end>
      <status>unmodified</status>
      <modifiedWord/>
      <trackRevisions>false</trackRevisions>
    </reviewItem>
    <reviewItem>
      <errorID>33f8ff0e-1fea-46c4-801f-1e00002bea1a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E38032D</paraID>
      <start>0</start>
      <end>2</end>
      <status>unmodified</status>
      <modifiedWord/>
      <trackRevisions>false</trackRevisions>
    </reviewItem>
    <reviewItem>
      <errorID>d83501fc-bcf3-46d9-9c28-d7d7dd50dccd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66A843DC</paraID>
      <start>0</start>
      <end>2</end>
      <status>unmodified</status>
      <modifiedWord/>
      <trackRevisions>false</trackRevisions>
    </reviewItem>
    <reviewItem>
      <errorID>52a46941-b3b4-4e53-bacd-dd89395c449e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71A0ECA2</paraID>
      <start>0</start>
      <end>2</end>
      <status>unmodified</status>
      <modifiedWord/>
      <trackRevisions>false</trackRevisions>
    </reviewItem>
    <reviewItem>
      <errorID>ea5781aa-ea0c-461b-b9b7-7c1d3f77c245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71D4799C</paraID>
      <start>0</start>
      <end>2</end>
      <status>unmodified</status>
      <modifiedWord/>
      <trackRevisions>false</trackRevisions>
    </reviewItem>
    <reviewItem>
      <errorID>c687dc45-c0dd-46a3-a363-dfa315c6aed7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2EC996CE</paraID>
      <start>0</start>
      <end>2</end>
      <status>unmodified</status>
      <modifiedWord/>
      <trackRevisions>false</trackRevisions>
    </reviewItem>
    <reviewItem>
      <errorID>7ecd0252-660e-4610-97af-6e418ee7039b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4C42F2DC</paraID>
      <start>0</start>
      <end>2</end>
      <status>unmodified</status>
      <modifiedWord/>
      <trackRevisions>false</trackRevisions>
    </reviewItem>
    <reviewItem>
      <errorID>144b3c62-b2c0-4900-9bb9-b7ddad228870</errorID>
      <errorWord>(</errorWord>
      <group>L1_Format</group>
      <groupName>格式问题</groupName>
      <ability>L2_HalfPunc</ability>
      <abilityName>全半角检查</abilityName>
      <candidateList>
        <item>（</item>
      </candidateList>
      <explain>文本全半角错误。</explain>
      <paraID>6F0BC569</paraID>
      <start>9</start>
      <end>10</end>
      <status>unmodified</status>
      <modifiedWord/>
      <trackRevisions>false</trackRevisions>
    </reviewItem>
    <reviewItem>
      <errorID>5ed51c1b-7675-404e-a2e8-d82f3e1fdc5d</errorID>
      <errorWord>)</errorWord>
      <group>L1_Format</group>
      <groupName>格式问题</groupName>
      <ability>L2_HalfPunc</ability>
      <abilityName>全半角检查</abilityName>
      <candidateList>
        <item>）</item>
      </candidateList>
      <explain>文本全半角错误。</explain>
      <paraID>6F0BC569</paraID>
      <start>11</start>
      <end>12</end>
      <status>unmodified</status>
      <modifiedWord/>
      <trackRevisions>false</trackRevisions>
    </reviewItem>
    <reviewItem>
      <errorID>9b5f2d32-a847-4031-b5dd-5658063812b7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73E87D3B</paraID>
      <start>0</start>
      <end>2</end>
      <status>unmodified</status>
      <modifiedWord/>
      <trackRevisions>false</trackRevisions>
    </reviewItem>
    <reviewItem>
      <errorID>043ea36d-9692-4dcd-ad07-8da355437d39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3B2632E5</paraID>
      <start>0</start>
      <end>2</end>
      <status>unmodified</status>
      <modifiedWord/>
      <trackRevisions>false</trackRevisions>
    </reviewItem>
    <reviewItem>
      <errorID>588c5aa8-e5ef-4f32-93e8-e91b016e3867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39B174E0</paraID>
      <start>0</start>
      <end>2</end>
      <status>unmodified</status>
      <modifiedWord/>
      <trackRevisions>false</trackRevisions>
    </reviewItem>
    <reviewItem>
      <errorID>bb3c4915-bdae-434a-864b-718c35ba7001</errorID>
      <errorWord>(</errorWord>
      <group>L1_Format</group>
      <groupName>格式问题</groupName>
      <ability>L2_HalfPunc</ability>
      <abilityName>全半角检查</abilityName>
      <candidateList>
        <item>（</item>
      </candidateList>
      <explain>文本全半角错误。</explain>
      <paraID> 929B6E3</paraID>
      <start>26</start>
      <end>27</end>
      <status>unmodified</status>
      <modifiedWord/>
      <trackRevisions>false</trackRevisions>
    </reviewItem>
    <reviewItem>
      <errorID>4495669b-464f-4619-8de8-a43e7d020eee</errorID>
      <errorWord>)</errorWord>
      <group>L1_Format</group>
      <groupName>格式问题</groupName>
      <ability>L2_HalfPunc</ability>
      <abilityName>全半角检查</abilityName>
      <candidateList>
        <item>）</item>
      </candidateList>
      <explain>文本全半角错误。</explain>
      <paraID> 929B6E3</paraID>
      <start>38</start>
      <end>39</end>
      <status>unmodified</status>
      <modifiedWord/>
      <trackRevisions>false</trackRevisions>
    </reviewItem>
    <reviewItem>
      <errorID>711f2b0d-8c91-41db-a72c-0d865029c123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7647194B</paraID>
      <start>0</start>
      <end>2</end>
      <status>unmodified</status>
      <modifiedWord/>
      <trackRevisions>false</trackRevisions>
    </reviewItem>
    <reviewItem>
      <errorID>a5d6b2ef-a8a7-4b88-8496-86d42118921e</errorID>
      <errorWord>(</errorWord>
      <group>L1_Format</group>
      <groupName>格式问题</groupName>
      <ability>L2_HalfPunc</ability>
      <abilityName>全半角检查</abilityName>
      <candidateList>
        <item>（</item>
      </candidateList>
      <explain>文本全半角错误。</explain>
      <paraID>7B875D86</paraID>
      <start>76</start>
      <end>77</end>
      <status>unmodified</status>
      <modifiedWord/>
      <trackRevisions>false</trackRevisions>
    </reviewItem>
    <reviewItem>
      <errorID>46d465ac-f94f-4c9d-a7e1-4f465579c4d9</errorID>
      <errorWord>)</errorWord>
      <group>L1_Format</group>
      <groupName>格式问题</groupName>
      <ability>L2_HalfPunc</ability>
      <abilityName>全半角检查</abilityName>
      <candidateList>
        <item>）</item>
      </candidateList>
      <explain>文本全半角错误。</explain>
      <paraID>7B875D86</paraID>
      <start>81</start>
      <end>82</end>
      <status>unmodified</status>
      <modifiedWord/>
      <trackRevisions>false</trackRevisions>
    </reviewItem>
    <reviewItem>
      <errorID>52495981-2590-4c82-b0fe-693c0da7ff1b</errorID>
      <errorWord>(</errorWord>
      <group>L1_Format</group>
      <groupName>格式问题</groupName>
      <ability>L2_HalfPunc</ability>
      <abilityName>全半角检查</abilityName>
      <candidateList>
        <item>（</item>
      </candidateList>
      <explain>文本全半角错误。</explain>
      <paraID>7B875D86</paraID>
      <start>120</start>
      <end>121</end>
      <status>unmodified</status>
      <modifiedWord/>
      <trackRevisions>false</trackRevisions>
    </reviewItem>
    <reviewItem>
      <errorID>716d5d1a-0eac-44eb-8cf3-93ea1e00f476</errorID>
      <errorWord>)</errorWord>
      <group>L1_Format</group>
      <groupName>格式问题</groupName>
      <ability>L2_HalfPunc</ability>
      <abilityName>全半角检查</abilityName>
      <candidateList>
        <item>）</item>
      </candidateList>
      <explain>文本全半角错误。</explain>
      <paraID>7B875D86</paraID>
      <start>125</start>
      <end>126</end>
      <status>unmodified</status>
      <modifiedWord/>
      <trackRevisions>false</trackRevisions>
    </reviewItem>
    <reviewItem>
      <errorID>ec207a79-2ef5-4134-9387-3167625ce43d</errorID>
      <errorWord>)</errorWord>
      <group>L1_Format</group>
      <groupName>格式问题</groupName>
      <ability>L2_HalfPunc</ability>
      <abilityName>全半角检查</abilityName>
      <candidateList>
        <item>）</item>
      </candidateList>
      <explain>文本全半角错误。</explain>
      <paraID>3AA4C799</paraID>
      <start>105</start>
      <end>106</end>
      <status>unmodified</status>
      <modifiedWord/>
      <trackRevisions>false</trackRevisions>
    </reviewItem>
    <reviewItem>
      <errorID>d1482e20-dfd8-4dfb-981c-1f52ebc39c3d</errorID>
      <errorWord>（</errorWord>
      <group>L1_Punc</group>
      <groupName>标点问题</groupName>
      <ability>L2_Punc</ability>
      <abilityName>标点符号检查</abilityName>
      <candidateList/>
      <explain>同一形式括号套用。</explain>
      <paraID>70E0E923</paraID>
      <start>11</start>
      <end>12</end>
      <status>unmodified</status>
      <modifiedWord/>
      <trackRevisions>false</trackRevisions>
    </reviewItem>
    <reviewItem>
      <errorID>79cf0c03-2152-4d8c-ade0-3acca2926987</errorID>
      <errorWord>）</errorWord>
      <group>L1_Punc</group>
      <groupName>标点问题</groupName>
      <ability>L2_Punc</ability>
      <abilityName>标点符号检查</abilityName>
      <candidateList/>
      <explain>同一形式括号套用。</explain>
      <paraID>70E0E923</paraID>
      <start>13</start>
      <end>14</end>
      <status>unmodified</status>
      <modifiedWord/>
      <trackRevisions>false</trackRevisions>
    </reviewItem>
    <reviewItem>
      <errorID>e7297b4e-e0a3-4799-9146-212b8708bb6e</errorID>
      <errorWord>r、</errorWord>
      <group>L1_Format</group>
      <groupName>格式问题</groupName>
      <ability>L2_Ordinal</ability>
      <abilityName>序号格式</abilityName>
      <candidateList>
        <item>r.</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6842C9D5</paraID>
      <start>0</start>
      <end>2</end>
      <status>unmodified</status>
      <modifiedWord/>
      <trackRevisions>false</trackRevisions>
    </reviewItem>
    <reviewItem>
      <errorID>f80ce10b-3acc-4b50-ae39-def66b14766b</errorID>
      <errorWord>(</errorWord>
      <group>L1_Format</group>
      <groupName>格式问题</groupName>
      <ability>L2_HalfPunc</ability>
      <abilityName>全半角检查</abilityName>
      <candidateList>
        <item>（</item>
      </candidateList>
      <explain>文本全半角错误。</explain>
      <paraID>5EB2D2A9</paraID>
      <start>18</start>
      <end>19</end>
      <status>unmodified</status>
      <modifiedWord/>
      <trackRevisions>false</trackRevisions>
    </reviewItem>
    <reviewItem>
      <errorID>e029cc8e-6ab1-4375-9bca-3195e878d06f</errorID>
      <errorWord>)</errorWord>
      <group>L1_Format</group>
      <groupName>格式问题</groupName>
      <ability>L2_HalfPunc</ability>
      <abilityName>全半角检查</abilityName>
      <candidateList>
        <item>）</item>
      </candidateList>
      <explain>文本全半角错误。</explain>
      <paraID>5EB2D2A9</paraID>
      <start>29</start>
      <end>30</end>
      <status>unmodified</status>
      <modifiedWord/>
      <trackRevisions>false</trackRevisions>
    </reviewItem>
    <reviewItem>
      <errorID>227560c9-bd39-4052-9c7f-f57273a461c2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2A8E8FB1</paraID>
      <start>0</start>
      <end>2</end>
      <status>unmodified</status>
      <modifiedWord/>
      <trackRevisions>false</trackRevisions>
    </reviewItem>
    <reviewItem>
      <errorID>86f8299b-51bf-4f28-b5d1-381cdcadb740</errorID>
      <errorWord>(</errorWord>
      <group>L1_Format</group>
      <groupName>格式问题</groupName>
      <ability>L2_HalfPunc</ability>
      <abilityName>全半角检查</abilityName>
      <candidateList>
        <item>（</item>
      </candidateList>
      <explain>文本全半角错误。</explain>
      <paraID>38B90F8B</paraID>
      <start>3</start>
      <end>4</end>
      <status>unmodified</status>
      <modifiedWord/>
      <trackRevisions>false</trackRevisions>
    </reviewItem>
    <reviewItem>
      <errorID>a17b46ef-76ec-4739-94b3-20d09da24a5e</errorID>
      <errorWord>)</errorWord>
      <group>L1_Format</group>
      <groupName>格式问题</groupName>
      <ability>L2_HalfPunc</ability>
      <abilityName>全半角检查</abilityName>
      <candidateList>
        <item>）</item>
      </candidateList>
      <explain>文本全半角错误。</explain>
      <paraID>589F0F40</paraID>
      <start>2</start>
      <end>3</end>
      <status>unmodified</status>
      <modifiedWord/>
      <trackRevisions>false</trackRevisions>
    </reviewItem>
    <reviewItem>
      <errorID>e77f96d3-bfa3-4a36-82c5-a1061da40570</errorID>
      <errorWord>原粮</errorWord>
      <group>L1_Word</group>
      <groupName>字词问题</groupName>
      <ability>L2_Typo</ability>
      <abilityName>字词错误</abilityName>
      <candidateList>
        <item>运粮</item>
      </candidateList>
      <explain/>
      <paraID>3B4AF2A7</paraID>
      <start>0</start>
      <end>2</end>
      <status>unmodified</status>
      <modifiedWord/>
      <trackRevisions>false</trackRevisions>
    </reviewItem>
    <reviewItem>
      <errorID>7ac3e082-401c-409c-b124-73b8e582758c</errorID>
      <errorWord>(</errorWord>
      <group>L1_Format</group>
      <groupName>格式问题</groupName>
      <ability>L2_HalfPunc</ability>
      <abilityName>全半角检查</abilityName>
      <candidateList>
        <item>（</item>
      </candidateList>
      <explain>文本全半角错误。</explain>
      <paraID>7990DCEE</paraID>
      <start>19</start>
      <end>20</end>
      <status>unmodified</status>
      <modifiedWord/>
      <trackRevisions>false</trackRevisions>
    </reviewItem>
    <reviewItem>
      <errorID>507ed634-2530-4b56-8c7a-b38b95da8d74</errorID>
      <errorWord>)</errorWord>
      <group>L1_Format</group>
      <groupName>格式问题</groupName>
      <ability>L2_HalfPunc</ability>
      <abilityName>全半角检查</abilityName>
      <candidateList>
        <item>）</item>
      </candidateList>
      <explain>文本全半角错误。</explain>
      <paraID>7990DCEE</paraID>
      <start>21</start>
      <end>22</end>
      <status>unmodified</status>
      <modifiedWord/>
      <trackRevisions>false</trackRevisions>
    </reviewItem>
    <reviewItem>
      <errorID>7fbb39fc-d6e4-4a73-9935-16de8440c0a3</errorID>
      <errorWord>(</errorWord>
      <group>L1_Format</group>
      <groupName>格式问题</groupName>
      <ability>L2_HalfPunc</ability>
      <abilityName>全半角检查</abilityName>
      <candidateList>
        <item>（</item>
      </candidateList>
      <explain>文本全半角错误。</explain>
      <paraID>7990DCEE</paraID>
      <start>41</start>
      <end>42</end>
      <status>unmodified</status>
      <modifiedWord/>
      <trackRevisions>false</trackRevisions>
    </reviewItem>
    <reviewItem>
      <errorID>dd350f63-fe91-4e6f-a25d-e971f2731011</errorID>
      <errorWord>)</errorWord>
      <group>L1_Format</group>
      <groupName>格式问题</groupName>
      <ability>L2_HalfPunc</ability>
      <abilityName>全半角检查</abilityName>
      <candidateList>
        <item>）</item>
      </candidateList>
      <explain>文本全半角错误。</explain>
      <paraID>7990DCEE</paraID>
      <start>44</start>
      <end>45</end>
      <status>unmodified</status>
      <modifiedWord/>
      <trackRevisions>false</trackRevisions>
    </reviewItem>
    <reviewItem>
      <errorID>4e472b6e-3280-4c57-bf24-49c78b8e6e28</errorID>
      <errorWord>(</errorWord>
      <group>L1_Format</group>
      <groupName>格式问题</groupName>
      <ability>L2_HalfPunc</ability>
      <abilityName>全半角检查</abilityName>
      <candidateList>
        <item>（</item>
      </candidateList>
      <explain>文本全半角错误。</explain>
      <paraID>7990DCEE</paraID>
      <start>59</start>
      <end>60</end>
      <status>unmodified</status>
      <modifiedWord/>
      <trackRevisions>false</trackRevisions>
    </reviewItem>
    <reviewItem>
      <errorID>7aac5cd8-a1ad-4763-82ef-76b83fa5a044</errorID>
      <errorWord>)</errorWord>
      <group>L1_Format</group>
      <groupName>格式问题</groupName>
      <ability>L2_HalfPunc</ability>
      <abilityName>全半角检查</abilityName>
      <candidateList>
        <item>）</item>
      </candidateList>
      <explain>文本全半角错误。</explain>
      <paraID>7990DCEE</paraID>
      <start>69</start>
      <end>70</end>
      <status>unmodified</status>
      <modifiedWord/>
      <trackRevisions>false</trackRevisions>
    </reviewItem>
    <reviewItem>
      <errorID>21080de5-71b4-4564-a1c2-f1cfaa5189d5</errorID>
      <errorWord>(</errorWord>
      <group>L1_Format</group>
      <groupName>格式问题</groupName>
      <ability>L2_HalfPunc</ability>
      <abilityName>全半角检查</abilityName>
      <candidateList>
        <item>（</item>
      </candidateList>
      <explain>文本全半角错误。</explain>
      <paraID>5F08408B</paraID>
      <start>41</start>
      <end>42</end>
      <status>unmodified</status>
      <modifiedWord/>
      <trackRevisions>false</trackRevisions>
    </reviewItem>
    <reviewItem>
      <errorID>c6cc653e-14de-4c6f-87ae-e6199075dfcc</errorID>
      <errorWord>)</errorWord>
      <group>L1_Format</group>
      <groupName>格式问题</groupName>
      <ability>L2_HalfPunc</ability>
      <abilityName>全半角检查</abilityName>
      <candidateList>
        <item>）</item>
      </candidateList>
      <explain>文本全半角错误。</explain>
      <paraID>5F08408B</paraID>
      <start>44</start>
      <end>45</end>
      <status>unmodified</status>
      <modifiedWord/>
      <trackRevisions>false</trackRevisions>
    </reviewItem>
    <reviewItem>
      <errorID>df04b080-f460-447d-b500-c7bf4b804860</errorID>
      <errorWord>；</errorWord>
      <group>L1_Word</group>
      <groupName>字词问题</groupName>
      <ability>L2_Typo</ability>
      <abilityName>字词错误</abilityName>
      <candidateList>
        <item>；在</item>
      </candidateList>
      <explain/>
      <paraID>428908FF</paraID>
      <start>83</start>
      <end>84</end>
      <status>unmodified</status>
      <modifiedWord/>
      <trackRevisions>false</trackRevisions>
    </reviewItem>
    <reviewItem>
      <errorID>46a540dc-c581-4aca-89ff-d0cf509fbb91</errorID>
      <errorWord>退色</errorWord>
      <group>L1_Word</group>
      <groupName>字词问题</groupName>
      <ability>L2_Alias</ability>
      <abilityName>也作/曾用词</abilityName>
      <candidateList>
        <item>褪色</item>
      </candidateList>
      <explain>词汇[退色]为不规范表述或旧称，其规范书面表述为[褪色]。</explain>
      <paraID>2B350C7F</paraID>
      <start>181</start>
      <end>183</end>
      <status>unmodified</status>
      <modifiedWord/>
      <trackRevisions>false</trackRevisions>
    </reviewItem>
    <reviewItem>
      <errorID>a8c13534-b686-4468-91c4-c8cc146a00ed</errorID>
      <errorWord>报告表</errorWord>
      <group>L1_Word</group>
      <groupName>字词问题</groupName>
      <ability>L2_Typo</ability>
      <abilityName>字词错误</abilityName>
      <candidateList>
        <item>报告</item>
      </candidateList>
      <explain>❶〈动〉把事情或意见正式告诉上级或群众：你应当把事情的经过向领导～｜大会主席～了开会宗旨。❷〈名〉用口头或书面的形式向上级或群众所做的正式陈述：总结～｜动员～。</explain>
      <paraID> 27C02EF</paraID>
      <start>83</start>
      <end>86</end>
      <status>unmodified</status>
      <modifiedWord/>
      <trackRevisions>false</trackRevisions>
    </reviewItem>
    <reviewItem>
      <errorID>188b529b-4ea7-474d-8bcb-ba642666a460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45D5C0CF</paraID>
      <start>0</start>
      <end>2</end>
      <status>unmodified</status>
      <modifiedWord/>
      <trackRevisions>false</trackRevisions>
    </reviewItem>
    <reviewItem>
      <errorID>6c087831-3efe-46e1-902e-f38bb26c624c</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5FA7CEFA</paraID>
      <start>29</start>
      <end>36</end>
      <status>unmodified</status>
      <modifiedWord/>
      <trackRevisions>false</trackRevisions>
    </reviewItem>
    <reviewItem>
      <errorID>0a474e07-7835-4c87-b94f-1f577d740d47</errorID>
      <errorWord>-</errorWord>
      <group>L1_Format</group>
      <groupName>格式问题</groupName>
      <ability>L2_HalfPunc</ability>
      <abilityName>全半角检查</abilityName>
      <candidateList>
        <item>－</item>
      </candidateList>
      <explain>文本全半角错误。</explain>
      <paraID>4CB4E2A1</paraID>
      <start>54</start>
      <end>55</end>
      <status>unmodified</status>
      <modifiedWord/>
      <trackRevisions>false</trackRevisions>
    </reviewItem>
    <reviewItem>
      <errorID>1c670c23-7bde-45da-aebc-d3f9d3326ba7</errorID>
      <errorWord>《扬尘源颗粒物排放清单编制技术指南》（试行）</errorWord>
      <group>L1_Knowledge</group>
      <groupName>知识性问题</groupName>
      <ability>L2_Knowledge</ability>
      <abilityName>其他知识</abilityName>
      <candidateList>
        <item>《扬尘源颗粒物排放清单编制技术指南（试行）》</item>
      </candidateList>
      <explain>疑似政策文件、法律法规名称等书写不规范，请注意检查。</explain>
      <paraID> FC3933C</paraID>
      <start>13</start>
      <end>35</end>
      <status>unmodified</status>
      <modifiedWord/>
      <trackRevisions>false</trackRevisions>
    </reviewItem>
    <reviewItem>
      <errorID>6efef764-02cf-4e83-978b-0b45f111f072</errorID>
      <errorWord>u：</errorWord>
      <group>L1_Format</group>
      <groupName>格式问题</groupName>
      <ability>L2_Ordinal</ability>
      <abilityName>序号格式</abilityName>
      <candidateList>
        <item>u.</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6EC8A135</paraID>
      <start>0</start>
      <end>2</end>
      <status>unmodified</status>
      <modifiedWord/>
      <trackRevisions>false</trackRevisions>
    </reviewItem>
    <reviewItem>
      <errorID>222355ab-add7-47d0-ade8-3b074d1589b2</errorID>
      <errorWord>《扬尘源颗粒物排放清单编制技术指南》（试行）</errorWord>
      <group>L1_Knowledge</group>
      <groupName>知识性问题</groupName>
      <ability>L2_Knowledge</ability>
      <abilityName>其他知识</abilityName>
      <candidateList>
        <item>《扬尘源颗粒物排放清单编制技术指南（试行）》</item>
      </candidateList>
      <explain>疑似政策文件、法律法规名称等书写不规范，请注意检查。</explain>
      <paraID>32D6D1B7</paraID>
      <start>21</start>
      <end>43</end>
      <status>unmodified</status>
      <modifiedWord/>
      <trackRevisions>false</trackRevisions>
    </reviewItem>
    <reviewItem>
      <errorID>efd3e1c0-ce3a-4c2a-8104-ea0c5395130e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61B5F02F</paraID>
      <start>0</start>
      <end>2</end>
      <status>unmodified</status>
      <modifiedWord/>
      <trackRevisions>false</trackRevisions>
    </reviewItem>
    <reviewItem>
      <errorID>b802d257-ca31-4c33-92a3-73b607980e9a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52CCC41C</paraID>
      <start>0</start>
      <end>2</end>
      <status>unmodified</status>
      <modifiedWord/>
      <trackRevisions>false</trackRevisions>
    </reviewItem>
    <reviewItem>
      <errorID>8fc08d97-3dea-482e-8e24-11b0007b941d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4D2526DF</paraID>
      <start>0</start>
      <end>2</end>
      <status>unmodified</status>
      <modifiedWord/>
      <trackRevisions>false</trackRevisions>
    </reviewItem>
    <reviewItem>
      <errorID>81e59d76-cc0c-4e0f-a826-f9570e55fa24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43EE8336</paraID>
      <start>0</start>
      <end>2</end>
      <status>unmodified</status>
      <modifiedWord/>
      <trackRevisions>false</trackRevisions>
    </reviewItem>
    <reviewItem>
      <errorID>f5b64b74-3e9d-4333-9ef6-0e0478c40be4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8DB02C6</paraID>
      <start>0</start>
      <end>2</end>
      <status>unmodified</status>
      <modifiedWord/>
      <trackRevisions>false</trackRevisions>
    </reviewItem>
    <reviewItem>
      <errorID>a143a7b3-3bce-443d-92cb-d3814d795fd1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5158ED4C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84ACCC-F239-4D4E-ABDC-106AAD9A2C72}">
  <ds:schemaRefs/>
</ds:datastoreItem>
</file>

<file path=customXml/itemProps3.xml><?xml version="1.0" encoding="utf-8"?>
<ds:datastoreItem xmlns:ds="http://schemas.openxmlformats.org/officeDocument/2006/customXml" ds:itemID="{065d8237-f424-4ee6-8cf9-b6cb04523b7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350</Words>
  <Characters>371</Characters>
  <Lines>276</Lines>
  <Paragraphs>77</Paragraphs>
  <TotalTime>1174</TotalTime>
  <ScaleCrop>false</ScaleCrop>
  <LinksUpToDate>false</LinksUpToDate>
  <CharactersWithSpaces>464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2021-03-10T16:40:00Z</dcterms:created>
  <dc:creator>嘤萦影映</dc:creator>
  <cp:lastModifiedBy>The Eternal</cp:lastModifiedBy>
  <cp:lastPrinted>2024-10-17T06:21:00Z</cp:lastPrinted>
  <dcterms:modified xsi:type="dcterms:W3CDTF">2026-04-21T05:09:01Z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3DE951C0813248C58A42F297E1ADE66C_13</vt:lpwstr>
  </property>
  <property fmtid="{D5CDD505-2E9C-101B-9397-08002B2CF9AE}" pid="4" name="KSOTemplateDocerSaveRecord">
    <vt:lpwstr>eyJoZGlkIjoiMzg2M2NhZGQ0OTljM2YwNmYyOWY2OTU0YzE1MTM4YzIiLCJ1c2VySWQiOiI0NTkwMjAyMDkifQ==</vt:lpwstr>
  </property>
</Properties>
</file>